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12.jpeg" ContentType="image/jpeg"/>
  <Override PartName="/word/media/image9.gif" ContentType="image/gif"/>
  <Override PartName="/word/media/image8.gif" ContentType="image/gif"/>
  <Override PartName="/word/media/image18.jpeg" ContentType="image/jpeg"/>
  <Override PartName="/word/media/image7.gif" ContentType="image/gif"/>
  <Override PartName="/word/media/image26.jpeg" ContentType="image/jpeg"/>
  <Override PartName="/word/media/image11.gif" ContentType="image/gif"/>
  <Override PartName="/word/media/image10.jpeg" ContentType="image/jpeg"/>
  <Override PartName="/word/media/image6.gif" ContentType="image/gif"/>
  <Override PartName="/word/media/image5.gif" ContentType="image/gif"/>
  <Override PartName="/word/media/image14.jpeg" ContentType="image/jpeg"/>
  <Override PartName="/word/media/image25.jpeg" ContentType="image/jpeg"/>
  <Override PartName="/word/media/image24.jpeg" ContentType="image/jpeg"/>
  <Override PartName="/word/media/image19.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7.jpeg" ContentType="image/jpeg"/>
  <Override PartName="/word/media/image4.gif" ContentType="image/gif"/>
  <Override PartName="/word/media/image1.jpeg" ContentType="image/jpeg"/>
  <Override PartName="/word/media/image22.jpeg" ContentType="image/jpeg"/>
  <Override PartName="/word/media/image2.jpeg" ContentType="image/jpeg"/>
  <Override PartName="/word/media/image23.jpeg" ContentType="image/jpeg"/>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45-1_def14a.htm"/>
        <w:bookmarkStart w:id="1" w:name="kstm262445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10" w:before="557" w:after="283"/>
        <w:ind w:left="920" w:right="0" w:hanging="0"/>
        <w:jc w:val="center"/>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 xml:space="preserve">UNITED STATES SECURITIES AND EXCHANGE COMMISSION​ </w:t>
      </w:r>
    </w:p>
    <w:p>
      <w:pPr>
        <w:pStyle w:val="TextBody"/>
        <w:bidi w:val="0"/>
        <w:spacing w:lineRule="atLeast" w:line="230" w:before="36" w:after="283"/>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WASHINGTON, D.C. 20549​</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310" w:before="120" w:after="283"/>
        <w:jc w:val="center"/>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 xml:space="preserve">SCHEDULE 14A​ </w:t>
      </w:r>
    </w:p>
    <w:p>
      <w:pPr>
        <w:pStyle w:val="TextBody"/>
        <w:bidi w:val="0"/>
        <w:spacing w:lineRule="atLeast" w:line="230" w:before="36" w:after="283"/>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(Rule 14a-101)​</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80" w:before="120" w:after="283"/>
        <w:jc w:val="center"/>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INFORMATION REQUIRED IN PROXY STATEMENT</w:t>
        <w:br/>
        <w:t xml:space="preserve">SCHEDULE 14A INFORMATION​ </w:t>
      </w:r>
    </w:p>
    <w:p>
      <w:pPr>
        <w:pStyle w:val="TextBody"/>
        <w:bidi w:val="0"/>
        <w:spacing w:lineRule="atLeast" w:line="220" w:before="36" w:after="283"/>
        <w:jc w:val="center"/>
        <w:rPr>
          <w:rFonts w:ascii="Arial Narrow;Arial;Helvetica;sans-serif" w:hAnsi="Arial Narrow;Arial;Helvetica;sans-serif"/>
          <w:b/>
          <w:i w:val="false"/>
          <w:caps w:val="false"/>
          <w:smallCaps w:val="false"/>
          <w:color w:val="000000"/>
          <w:sz w:val="19"/>
        </w:rPr>
      </w:pPr>
      <w:r>
        <w:rPr>
          <w:rFonts w:ascii="Arial Narrow;Arial;Helvetica;sans-serif" w:hAnsi="Arial Narrow;Arial;Helvetica;sans-serif"/>
          <w:b/>
          <w:i w:val="false"/>
          <w:caps w:val="false"/>
          <w:smallCaps w:val="false"/>
          <w:color w:val="000000"/>
          <w:sz w:val="19"/>
        </w:rPr>
        <w:t>Proxy Statement Pursuant to Section 14(a) of the Securities Exchange Act of 1934</w:t>
      </w:r>
      <w:r>
        <w:rPr>
          <w:rFonts w:ascii="Arial Narrow;Arial;Helvetica;sans-serif" w:hAnsi="Arial Narrow;Arial;Helvetica;sans-serif"/>
          <w:b/>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Filed by the Registrant   ☒</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Filed by a party other than the Registrant   ☐</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Check the appropriate box:</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Preliminary proxy statement</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Confidential, for use of the Commission only (as permitted by Rule 14a-6(e)(2)).</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Definitive proxy statement</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Definitive additional materials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Soliciting material under Rule 14a-12</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390" w:before="120" w:after="283"/>
        <w:jc w:val="center"/>
        <w:rPr>
          <w:rFonts w:ascii="Arial Narrow;Arial;Helvetica;sans-serif" w:hAnsi="Arial Narrow;Arial;Helvetica;sans-serif"/>
          <w:b/>
          <w:i w:val="false"/>
          <w:caps w:val="false"/>
          <w:smallCaps w:val="false"/>
          <w:color w:val="000000"/>
          <w:sz w:val="36"/>
        </w:rPr>
      </w:pPr>
      <w:r>
        <w:rPr>
          <w:rFonts w:ascii="Arial Narrow;Arial;Helvetica;sans-serif" w:hAnsi="Arial Narrow;Arial;Helvetica;sans-serif"/>
          <w:b/>
          <w:i w:val="false"/>
          <w:caps w:val="false"/>
          <w:smallCaps w:val="false"/>
          <w:color w:val="000000"/>
          <w:sz w:val="36"/>
        </w:rPr>
        <w:t xml:space="preserve">James River Group Holdings, Inc.​ </w:t>
      </w:r>
    </w:p>
    <w:p>
      <w:pPr>
        <w:pStyle w:val="TextBody"/>
        <w:bidi w:val="0"/>
        <w:spacing w:before="0" w:after="283"/>
        <w:ind w:left="9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46" w:after="283"/>
        <w:jc w:val="center"/>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(Name of Registrant as Specified in Its Charter)</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center"/>
        <w:rPr>
          <w:caps w:val="false"/>
          <w:smallCaps w:val="false"/>
          <w:color w:val="000000"/>
        </w:rPr>
      </w:pPr>
      <w:r>
        <w:rPr>
          <w:caps w:val="false"/>
          <w:smallCaps w:val="false"/>
          <w:color w:val="000000"/>
        </w:rPr>
        <w:t>   </w:t>
      </w:r>
    </w:p>
    <w:p>
      <w:pPr>
        <w:pStyle w:val="TextBody"/>
        <w:bidi w:val="0"/>
        <w:spacing w:before="0" w:after="283"/>
        <w:ind w:left="9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46" w:after="283"/>
        <w:jc w:val="center"/>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(Name of Person(s) Filing Proxy Statement, if Other Than the Registrant)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Payment of filing fee (Check the appropriate box):</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No fee required.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Fee paid previously with preliminary materials.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0" w:after="0"/>
        <w:ind w:left="13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Fee computed on table in exhibit required by Item 25(b) per Exchange Act Rules 14a-6(i)(1) and 0-11.</w:t>
      </w:r>
      <w:r>
        <mc:AlternateContent>
          <mc:Choice Requires="wps">
            <w:drawing>
              <wp:anchor behindDoc="0" distT="762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6" w:before="0" w:after="283"/>
                        <w:jc w:val="left"/>
                        <w:rPr/>
                      </w:pPr>
                      <w:r>
                        <w:rPr/>
                        <w:t>☐</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423" w:after="1114"/>
        <w:ind w:left="920" w:right="0" w:hanging="0"/>
        <w:jc w:val="center"/>
        <w:rPr>
          <w:caps w:val="false"/>
          <w:smallCaps w:val="false"/>
          <w:color w:val="000000"/>
        </w:rPr>
      </w:pPr>
      <w:r>
        <w:rPr>
          <w:caps w:val="false"/>
          <w:smallCaps w:val="false"/>
          <w:color w:val="000000"/>
        </w:rPr>
        <w:drawing>
          <wp:inline distT="0" distB="0" distL="0" distR="0">
            <wp:extent cx="3952875" cy="3429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3952875" cy="3429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26" w:after="283"/>
        <w:jc w:val="center"/>
        <w:rPr>
          <w:rFonts w:ascii="Arial Narrow;Arial;Helvetica;sans-serif" w:hAnsi="Arial Narrow;Arial;Helvetica;sans-serif"/>
          <w:b/>
          <w:i w:val="false"/>
          <w:caps w:val="false"/>
          <w:smallCaps w:val="false"/>
          <w:color w:val="000000"/>
          <w:sz w:val="19"/>
        </w:rPr>
      </w:pPr>
      <w:r>
        <w:rPr>
          <w:rFonts w:ascii="Arial Narrow;Arial;Helvetica;sans-serif" w:hAnsi="Arial Narrow;Arial;Helvetica;sans-serif"/>
          <w:b/>
          <w:i w:val="false"/>
          <w:caps w:val="false"/>
          <w:smallCaps w:val="false"/>
          <w:color w:val="000000"/>
          <w:sz w:val="19"/>
        </w:rPr>
        <w:t>1414 Raleigh Road, Suite 405</w:t>
        <w:br/>
        <w:t>Chapel Hill, North Carolina 27517</w:t>
      </w:r>
      <w:r>
        <w:rPr>
          <w:rFonts w:ascii="Arial Narrow;Arial;Helvetica;sans-serif" w:hAnsi="Arial Narrow;Arial;Helvetica;sans-serif"/>
          <w:b/>
          <w:i w:val="false"/>
          <w:caps w:val="false"/>
          <w:smallCaps w:val="false"/>
          <w:color w:val="000000"/>
          <w:spacing w:val="4"/>
          <w:sz w:val="19"/>
        </w:rPr>
        <w:t xml:space="preserve"> </w:t>
      </w:r>
    </w:p>
    <w:p>
      <w:pPr>
        <w:pStyle w:val="TextBody"/>
        <w:bidi w:val="0"/>
        <w:spacing w:lineRule="atLeast" w:line="240" w:before="240" w:after="283"/>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z w:val="20"/>
        </w:rPr>
        <w:t>Dear Shareholder:</w:t>
      </w:r>
      <w:r>
        <w:rPr>
          <w:rFonts w:ascii="Arial Narrow;Arial;Helvetica;sans-serif" w:hAnsi="Arial Narrow;Arial;Helvetica;sans-serif"/>
          <w:b w:val="false"/>
          <w:i w:val="false"/>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You are cordially invited to attend the Annual Meeting of Shareholders (the “Annual Meeting”) of James River Group Holdings, Inc. (the “Company”) to be held at 8:00 a.m. Eastern time on Thursday, October 22, 2026 at our office located at 6641 West Broad Street, Suite 300, Richmond, Virginia 23230.</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describe the actions we expect to take at our Annual Meeting in detail in the attached Notice of Annual Meeting of Shareholders and proxy statement. Included with this proxy statement is a copy of our Annual Report for our year ended December 31, 2025. We encourage you to read our Annual Report. It includes information about our business as well as our consolidated audited financial statements.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Please use this opportunity to take part in our corporate affairs by voting on the business to come before the Annual Meeting. Whether or not you plan to attend our Annual Meeting, please complete, sign, date and return the accompanying proxy in the enclosed postage-paid envelope or vote electronically via the Internet or telephone. See “What options are available to me to vote my shares?” in the proxy statement for additional information. Returning the proxy or voting electronically does NOT deprive you of your right to attend the Annual Meeting or to vote your shares owned of record by you in person for the matters acted upon at the Annual Meeting.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look forward to seeing you at the Annual Meeting.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Sincerely,</w:t>
      </w:r>
      <w:r>
        <w:rPr>
          <w:rFonts w:ascii="Arial Narrow;Arial;Helvetica;sans-serif" w:hAnsi="Arial Narrow;Arial;Helvetica;sans-serif"/>
          <w:b w:val="false"/>
          <w:i w:val="false"/>
          <w:caps w:val="false"/>
          <w:smallCaps w:val="false"/>
          <w:color w:val="000000"/>
          <w:spacing w:val="4"/>
          <w:sz w:val="19"/>
        </w:rPr>
        <w:t xml:space="preserve"> </w:t>
      </w:r>
    </w:p>
    <w:tbl>
      <w:tblPr>
        <w:tblW w:w="3081" w:type="dxa"/>
        <w:jc w:val="left"/>
        <w:tblInd w:w="920" w:type="dxa"/>
        <w:tblLayout w:type="fixed"/>
        <w:tblCellMar>
          <w:top w:w="0" w:type="dxa"/>
          <w:left w:w="0" w:type="dxa"/>
          <w:bottom w:w="0" w:type="dxa"/>
          <w:right w:w="0" w:type="dxa"/>
        </w:tblCellMar>
      </w:tblPr>
      <w:tblGrid>
        <w:gridCol w:w="124"/>
        <w:gridCol w:w="247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476" w:type="dxa"/>
            <w:tcBorders/>
            <w:vAlign w:val="center"/>
          </w:tcPr>
          <w:p>
            <w:pPr>
              <w:pStyle w:val="TableContents"/>
              <w:bidi w:val="0"/>
              <w:spacing w:before="0" w:after="0"/>
              <w:jc w:val="left"/>
              <w:rPr/>
            </w:pPr>
            <w:r>
              <w:rPr/>
              <w:drawing>
                <wp:inline distT="0" distB="0" distL="0" distR="0">
                  <wp:extent cx="1438275" cy="3619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438275" cy="361950"/>
                          </a:xfrm>
                          <a:prstGeom prst="rect">
                            <a:avLst/>
                          </a:prstGeom>
                        </pic:spPr>
                      </pic:pic>
                    </a:graphicData>
                  </a:graphic>
                </wp:inline>
              </w:drawing>
            </w:r>
            <w:r>
              <w:rPr/>
              <w:t xml:space="preserve"> </w:t>
            </w:r>
          </w:p>
          <w:p>
            <w:pPr>
              <w:pStyle w:val="TableContents"/>
              <w:bidi w:val="0"/>
              <w:spacing w:lineRule="atLeast" w:line="226" w:before="156" w:after="283"/>
              <w:jc w:val="left"/>
              <w:rPr/>
            </w:pPr>
            <w:r>
              <w:rPr/>
              <w:t xml:space="preserve">Frank N. D’Orazio </w:t>
            </w:r>
          </w:p>
          <w:p>
            <w:pPr>
              <w:pStyle w:val="TableContents"/>
              <w:bidi w:val="0"/>
              <w:spacing w:lineRule="atLeast" w:line="226" w:before="120" w:after="283"/>
              <w:jc w:val="left"/>
              <w:rPr>
                <w:b/>
                <w:color w:val="002C73"/>
              </w:rPr>
            </w:pPr>
            <w:r>
              <w:rPr>
                <w:b/>
                <w:color w:val="002C73"/>
              </w:rPr>
              <w:t>Chief Executive Officer</w:t>
            </w:r>
          </w:p>
          <w:p>
            <w:pPr>
              <w:pStyle w:val="TableContents"/>
              <w:bidi w:val="0"/>
              <w:spacing w:lineRule="atLeast" w:line="226" w:before="120" w:after="283"/>
              <w:jc w:val="left"/>
              <w:rPr/>
            </w:pPr>
            <w:r>
              <w:rPr/>
              <w:t>September 16, 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2C73"/>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960" w:before="483" w:after="1114"/>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NOTICE OF ANNUAL MEETING OF SHAREHOLDERS</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About the Meeting</w:t>
      </w:r>
      <w:r>
        <w:rPr>
          <w:rFonts w:ascii="Arial;Helvetica;sans-serif" w:hAnsi="Arial;Helvetica;sans-serif"/>
          <w:b/>
          <w:i w:val="false"/>
          <w:caps w:val="false"/>
          <w:smallCaps w:val="false"/>
          <w:color w:val="000000"/>
          <w:spacing w:val="6"/>
          <w:sz w:val="32"/>
        </w:rPr>
        <w:t xml:space="preserve"> </w:t>
      </w:r>
    </w:p>
    <w:tbl>
      <w:tblPr>
        <w:tblW w:w="9285" w:type="dxa"/>
        <w:jc w:val="left"/>
        <w:tblInd w:w="920" w:type="dxa"/>
        <w:tblLayout w:type="fixed"/>
        <w:tblCellMar>
          <w:top w:w="0" w:type="dxa"/>
          <w:left w:w="0" w:type="dxa"/>
          <w:bottom w:w="0" w:type="dxa"/>
          <w:right w:w="0" w:type="dxa"/>
        </w:tblCellMar>
      </w:tblPr>
      <w:tblGrid>
        <w:gridCol w:w="124"/>
        <w:gridCol w:w="660"/>
        <w:gridCol w:w="109"/>
        <w:gridCol w:w="109"/>
        <w:gridCol w:w="2266"/>
        <w:gridCol w:w="109"/>
        <w:gridCol w:w="109"/>
        <w:gridCol w:w="690"/>
        <w:gridCol w:w="109"/>
        <w:gridCol w:w="109"/>
        <w:gridCol w:w="1942"/>
        <w:gridCol w:w="109"/>
        <w:gridCol w:w="109"/>
        <w:gridCol w:w="660"/>
        <w:gridCol w:w="109"/>
        <w:gridCol w:w="109"/>
        <w:gridCol w:w="1696"/>
        <w:gridCol w:w="157"/>
      </w:tblGrid>
      <w:tr>
        <w:trPr/>
        <w:tc>
          <w:tcPr>
            <w:tcW w:w="124" w:type="dxa"/>
            <w:vMerge w:val="restart"/>
            <w:tcBorders/>
            <w:shd w:fill="F2F2F2" w:val="clear"/>
            <w:vAlign w:val="center"/>
          </w:tcPr>
          <w:p>
            <w:pPr>
              <w:pStyle w:val="TableContents"/>
              <w:bidi w:val="0"/>
              <w:spacing w:before="0" w:after="283"/>
              <w:jc w:val="left"/>
              <w:rPr/>
            </w:pPr>
            <w:r>
              <w:rPr/>
              <w:t>​</w:t>
            </w:r>
          </w:p>
        </w:tc>
        <w:tc>
          <w:tcPr>
            <w:tcW w:w="660" w:type="dxa"/>
            <w:vMerge w:val="restart"/>
            <w:tcBorders/>
            <w:shd w:fill="F2F2F2" w:val="clear"/>
            <w:vAlign w:val="center"/>
          </w:tcPr>
          <w:p>
            <w:pPr>
              <w:pStyle w:val="TableContents"/>
              <w:bidi w:val="0"/>
              <w:spacing w:before="0" w:after="0"/>
              <w:jc w:val="left"/>
              <w:rPr/>
            </w:pPr>
            <w:r>
              <w:rPr/>
              <w:drawing>
                <wp:inline distT="0" distB="0" distL="0" distR="0">
                  <wp:extent cx="342900" cy="3524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342900" cy="352425"/>
                          </a:xfrm>
                          <a:prstGeom prst="rect">
                            <a:avLst/>
                          </a:prstGeom>
                        </pic:spPr>
                      </pic:pic>
                    </a:graphicData>
                  </a:graphic>
                </wp:inline>
              </w:drawing>
            </w:r>
            <w:r>
              <w:rPr/>
              <w:t xml:space="preserve"> </w:t>
            </w:r>
          </w:p>
        </w:tc>
        <w:tc>
          <w:tcPr>
            <w:tcW w:w="109" w:type="dxa"/>
            <w:vMerge w:val="restart"/>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266" w:type="dxa"/>
            <w:tcBorders/>
            <w:shd w:fill="F2F2F2" w:val="clear"/>
            <w:vAlign w:val="center"/>
          </w:tcPr>
          <w:p>
            <w:pPr>
              <w:pStyle w:val="TableContents"/>
              <w:bidi w:val="0"/>
              <w:spacing w:lineRule="atLeast" w:line="225" w:before="0" w:after="0"/>
              <w:jc w:val="left"/>
              <w:rPr/>
            </w:pPr>
            <w:r>
              <w:rPr/>
              <w:t xml:space="preserve">WHEN: </w:t>
            </w:r>
          </w:p>
        </w:tc>
        <w:tc>
          <w:tcPr>
            <w:tcW w:w="109" w:type="dxa"/>
            <w:tcBorders/>
            <w:shd w:fill="F2F2F2" w:val="clear"/>
            <w:vAlign w:val="center"/>
          </w:tcPr>
          <w:p>
            <w:pPr>
              <w:pStyle w:val="TableContents"/>
              <w:bidi w:val="0"/>
              <w:spacing w:before="0" w:after="283"/>
              <w:jc w:val="left"/>
              <w:rPr/>
            </w:pPr>
            <w:r>
              <w:rPr/>
              <w:t>​</w:t>
            </w:r>
          </w:p>
        </w:tc>
        <w:tc>
          <w:tcPr>
            <w:tcW w:w="109" w:type="dxa"/>
            <w:vMerge w:val="restart"/>
            <w:tcBorders/>
            <w:shd w:fill="F2F2F2" w:val="clear"/>
            <w:vAlign w:val="center"/>
          </w:tcPr>
          <w:p>
            <w:pPr>
              <w:pStyle w:val="TableContents"/>
              <w:bidi w:val="0"/>
              <w:spacing w:before="0" w:after="283"/>
              <w:jc w:val="left"/>
              <w:rPr/>
            </w:pPr>
            <w:r>
              <w:rPr/>
              <w:t>​</w:t>
            </w:r>
          </w:p>
        </w:tc>
        <w:tc>
          <w:tcPr>
            <w:tcW w:w="690" w:type="dxa"/>
            <w:vMerge w:val="restart"/>
            <w:tcBorders/>
            <w:shd w:fill="F2F2F2" w:val="clear"/>
            <w:vAlign w:val="center"/>
          </w:tcPr>
          <w:p>
            <w:pPr>
              <w:pStyle w:val="TableContents"/>
              <w:bidi w:val="0"/>
              <w:spacing w:before="0" w:after="0"/>
              <w:jc w:val="left"/>
              <w:rPr/>
            </w:pPr>
            <w:r>
              <w:rPr/>
              <w:drawing>
                <wp:inline distT="0" distB="0" distL="0" distR="0">
                  <wp:extent cx="361950" cy="3524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361950" cy="352425"/>
                          </a:xfrm>
                          <a:prstGeom prst="rect">
                            <a:avLst/>
                          </a:prstGeom>
                        </pic:spPr>
                      </pic:pic>
                    </a:graphicData>
                  </a:graphic>
                </wp:inline>
              </w:drawing>
            </w:r>
            <w:r>
              <w:rPr/>
              <w:t xml:space="preserve"> </w:t>
            </w:r>
          </w:p>
        </w:tc>
        <w:tc>
          <w:tcPr>
            <w:tcW w:w="109" w:type="dxa"/>
            <w:vMerge w:val="restart"/>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942" w:type="dxa"/>
            <w:tcBorders/>
            <w:shd w:fill="F2F2F2" w:val="clear"/>
            <w:vAlign w:val="center"/>
          </w:tcPr>
          <w:p>
            <w:pPr>
              <w:pStyle w:val="TableContents"/>
              <w:bidi w:val="0"/>
              <w:spacing w:lineRule="atLeast" w:line="225" w:before="0" w:after="0"/>
              <w:jc w:val="left"/>
              <w:rPr/>
            </w:pPr>
            <w:r>
              <w:rPr/>
              <w:t xml:space="preserve">WHERE: </w:t>
            </w:r>
          </w:p>
        </w:tc>
        <w:tc>
          <w:tcPr>
            <w:tcW w:w="109" w:type="dxa"/>
            <w:tcBorders/>
            <w:shd w:fill="F2F2F2" w:val="clear"/>
            <w:vAlign w:val="center"/>
          </w:tcPr>
          <w:p>
            <w:pPr>
              <w:pStyle w:val="TableContents"/>
              <w:bidi w:val="0"/>
              <w:spacing w:before="0" w:after="283"/>
              <w:jc w:val="left"/>
              <w:rPr/>
            </w:pPr>
            <w:r>
              <w:rPr/>
              <w:t>​</w:t>
            </w:r>
          </w:p>
        </w:tc>
        <w:tc>
          <w:tcPr>
            <w:tcW w:w="109" w:type="dxa"/>
            <w:vMerge w:val="restart"/>
            <w:tcBorders/>
            <w:shd w:fill="F2F2F2" w:val="clear"/>
            <w:vAlign w:val="center"/>
          </w:tcPr>
          <w:p>
            <w:pPr>
              <w:pStyle w:val="TableContents"/>
              <w:bidi w:val="0"/>
              <w:spacing w:before="0" w:after="283"/>
              <w:jc w:val="left"/>
              <w:rPr/>
            </w:pPr>
            <w:r>
              <w:rPr/>
              <w:t>​</w:t>
            </w:r>
          </w:p>
        </w:tc>
        <w:tc>
          <w:tcPr>
            <w:tcW w:w="660" w:type="dxa"/>
            <w:vMerge w:val="restart"/>
            <w:tcBorders/>
            <w:shd w:fill="F2F2F2" w:val="clear"/>
            <w:vAlign w:val="center"/>
          </w:tcPr>
          <w:p>
            <w:pPr>
              <w:pStyle w:val="TableContents"/>
              <w:bidi w:val="0"/>
              <w:spacing w:before="0" w:after="0"/>
              <w:jc w:val="left"/>
              <w:rPr/>
            </w:pPr>
            <w:r>
              <w:rPr/>
              <w:drawing>
                <wp:inline distT="0" distB="0" distL="0" distR="0">
                  <wp:extent cx="342900" cy="3429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342900" cy="342900"/>
                          </a:xfrm>
                          <a:prstGeom prst="rect">
                            <a:avLst/>
                          </a:prstGeom>
                        </pic:spPr>
                      </pic:pic>
                    </a:graphicData>
                  </a:graphic>
                </wp:inline>
              </w:drawing>
            </w:r>
            <w:r>
              <w:rPr/>
              <w:t xml:space="preserve"> </w:t>
            </w:r>
          </w:p>
        </w:tc>
        <w:tc>
          <w:tcPr>
            <w:tcW w:w="109" w:type="dxa"/>
            <w:vMerge w:val="restart"/>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696" w:type="dxa"/>
            <w:tcBorders/>
            <w:shd w:fill="F2F2F2" w:val="clear"/>
            <w:vAlign w:val="center"/>
          </w:tcPr>
          <w:p>
            <w:pPr>
              <w:pStyle w:val="TableContents"/>
              <w:bidi w:val="0"/>
              <w:spacing w:lineRule="atLeast" w:line="225" w:before="0" w:after="0"/>
              <w:jc w:val="left"/>
              <w:rPr/>
            </w:pPr>
            <w:r>
              <w:rPr/>
              <w:t xml:space="preserve">RECORD DATE: </w:t>
            </w:r>
          </w:p>
        </w:tc>
        <w:tc>
          <w:tcPr>
            <w:tcW w:w="157" w:type="dxa"/>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vAlign w:val="center"/>
          </w:tcPr>
          <w:p>
            <w:pPr>
              <w:pStyle w:val="Normal"/>
              <w:bidi w:val="0"/>
              <w:jc w:val="left"/>
              <w:rPr/>
            </w:pPr>
            <w:r>
              <w:rPr/>
            </w:r>
          </w:p>
        </w:tc>
        <w:tc>
          <w:tcPr>
            <w:tcW w:w="660"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2266" w:type="dxa"/>
            <w:tcBorders/>
            <w:shd w:fill="F2F2F2" w:val="clear"/>
            <w:vAlign w:val="center"/>
          </w:tcPr>
          <w:p>
            <w:pPr>
              <w:pStyle w:val="TableContents"/>
              <w:bidi w:val="0"/>
              <w:spacing w:lineRule="atLeast" w:line="226" w:before="0" w:after="0"/>
              <w:jc w:val="left"/>
              <w:rPr/>
            </w:pPr>
            <w:r>
              <w:rPr/>
              <w:t>8:00 a.m. Eastern time</w:t>
              <w:br/>
              <w:t xml:space="preserve">on Thursday, October 22, 2026 </w:t>
            </w:r>
          </w:p>
        </w:tc>
        <w:tc>
          <w:tcPr>
            <w:tcW w:w="109" w:type="dxa"/>
            <w:tcBorders/>
            <w:shd w:fill="F2F2F2" w:val="clear"/>
            <w:vAlign w:val="center"/>
          </w:tcPr>
          <w:p>
            <w:pPr>
              <w:pStyle w:val="TableContents"/>
              <w:bidi w:val="0"/>
              <w:spacing w:before="0" w:after="283"/>
              <w:jc w:val="left"/>
              <w:rPr/>
            </w:pPr>
            <w:r>
              <w:rPr/>
              <w:t>​</w:t>
            </w:r>
          </w:p>
        </w:tc>
        <w:tc>
          <w:tcPr>
            <w:tcW w:w="109" w:type="dxa"/>
            <w:vMerge w:val="continue"/>
            <w:tcBorders/>
            <w:shd w:fill="F2F2F2" w:val="clear"/>
            <w:vAlign w:val="center"/>
          </w:tcPr>
          <w:p>
            <w:pPr>
              <w:pStyle w:val="Normal"/>
              <w:bidi w:val="0"/>
              <w:jc w:val="left"/>
              <w:rPr/>
            </w:pPr>
            <w:r>
              <w:rPr/>
            </w:r>
          </w:p>
        </w:tc>
        <w:tc>
          <w:tcPr>
            <w:tcW w:w="690"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942" w:type="dxa"/>
            <w:tcBorders/>
            <w:shd w:fill="F2F2F2" w:val="clear"/>
            <w:vAlign w:val="center"/>
          </w:tcPr>
          <w:p>
            <w:pPr>
              <w:pStyle w:val="TableContents"/>
              <w:bidi w:val="0"/>
              <w:spacing w:lineRule="atLeast" w:line="226" w:before="0" w:after="0"/>
              <w:jc w:val="left"/>
              <w:rPr/>
            </w:pPr>
            <w:r>
              <w:rPr/>
              <w:t xml:space="preserve">At our office located </w:t>
              <w:br/>
              <w:t>at 6641 West Broad Street,</w:t>
              <w:br/>
              <w:t>Suite 300, Richmond,</w:t>
              <w:br/>
              <w:t xml:space="preserve">Virginia 23230 </w:t>
            </w:r>
          </w:p>
        </w:tc>
        <w:tc>
          <w:tcPr>
            <w:tcW w:w="109" w:type="dxa"/>
            <w:tcBorders/>
            <w:shd w:fill="F2F2F2" w:val="clear"/>
            <w:vAlign w:val="center"/>
          </w:tcPr>
          <w:p>
            <w:pPr>
              <w:pStyle w:val="TableContents"/>
              <w:bidi w:val="0"/>
              <w:spacing w:before="0" w:after="283"/>
              <w:jc w:val="left"/>
              <w:rPr/>
            </w:pPr>
            <w:r>
              <w:rPr/>
              <w:t>​</w:t>
            </w:r>
          </w:p>
        </w:tc>
        <w:tc>
          <w:tcPr>
            <w:tcW w:w="109" w:type="dxa"/>
            <w:vMerge w:val="continue"/>
            <w:tcBorders/>
            <w:shd w:fill="F2F2F2" w:val="clear"/>
            <w:vAlign w:val="center"/>
          </w:tcPr>
          <w:p>
            <w:pPr>
              <w:pStyle w:val="Normal"/>
              <w:bidi w:val="0"/>
              <w:jc w:val="left"/>
              <w:rPr/>
            </w:pPr>
            <w:r>
              <w:rPr/>
            </w:r>
          </w:p>
        </w:tc>
        <w:tc>
          <w:tcPr>
            <w:tcW w:w="660" w:type="dxa"/>
            <w:vMerge w:val="continue"/>
            <w:tcBorders/>
            <w:shd w:fill="F2F2F2" w:val="clear"/>
            <w:vAlign w:val="center"/>
          </w:tcPr>
          <w:p>
            <w:pPr>
              <w:pStyle w:val="Normal"/>
              <w:bidi w:val="0"/>
              <w:jc w:val="left"/>
              <w:rPr/>
            </w:pPr>
            <w:r>
              <w:rPr/>
            </w:r>
          </w:p>
        </w:tc>
        <w:tc>
          <w:tcPr>
            <w:tcW w:w="109" w:type="dxa"/>
            <w:vMerge w:val="continue"/>
            <w:tcBorders/>
            <w:shd w:fill="F2F2F2"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1696" w:type="dxa"/>
            <w:tcBorders/>
            <w:shd w:fill="F2F2F2" w:val="clear"/>
            <w:vAlign w:val="center"/>
          </w:tcPr>
          <w:p>
            <w:pPr>
              <w:pStyle w:val="TableContents"/>
              <w:bidi w:val="0"/>
              <w:spacing w:lineRule="atLeast" w:line="226" w:before="0" w:after="0"/>
              <w:jc w:val="left"/>
              <w:rPr/>
            </w:pPr>
            <w:r>
              <w:rPr/>
              <w:t>September 1, 2026</w:t>
            </w:r>
          </w:p>
        </w:tc>
        <w:tc>
          <w:tcPr>
            <w:tcW w:w="157" w:type="dxa"/>
            <w:tcBorders/>
            <w:shd w:fill="F2F2F2" w:val="clear"/>
            <w:vAlign w:val="center"/>
          </w:tcPr>
          <w:p>
            <w:pPr>
              <w:pStyle w:val="TableContents"/>
              <w:bidi w:val="0"/>
              <w:spacing w:before="0" w:after="283"/>
              <w:jc w:val="left"/>
              <w:rPr/>
            </w:pPr>
            <w:r>
              <w:rPr/>
              <w:t>​</w:t>
            </w:r>
          </w:p>
        </w:tc>
      </w:tr>
    </w:tbl>
    <w:p>
      <w:pPr>
        <w:pStyle w:val="TextBody"/>
        <w:bidi w:val="0"/>
        <w:spacing w:lineRule="atLeast" w:line="360" w:before="720"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Proxy Voting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It is important that your shares of common stock be represented and voted at the annual meeting of shareholders. You can vote your shares of common stock by completing and returning the proxy card or voting instruction card sent to you. You also have the option of voting your shares of common stock on the Internet or by telephone. Voting instructions are printed on your proxy card and are included in the accompanying proxy statement. You can revoke a proxy at any time prior to its exercise at the annual meeting of shareholders by following the instructions in the proxy statement.</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0" w:type="dxa"/>
          <w:right w:w="0" w:type="dxa"/>
        </w:tblCellMar>
      </w:tblPr>
      <w:tblGrid>
        <w:gridCol w:w="124"/>
        <w:gridCol w:w="658"/>
        <w:gridCol w:w="113"/>
        <w:gridCol w:w="113"/>
        <w:gridCol w:w="1368"/>
        <w:gridCol w:w="109"/>
        <w:gridCol w:w="109"/>
        <w:gridCol w:w="498"/>
        <w:gridCol w:w="120"/>
        <w:gridCol w:w="120"/>
        <w:gridCol w:w="1693"/>
        <w:gridCol w:w="109"/>
        <w:gridCol w:w="109"/>
        <w:gridCol w:w="690"/>
        <w:gridCol w:w="113"/>
        <w:gridCol w:w="113"/>
        <w:gridCol w:w="786"/>
        <w:gridCol w:w="109"/>
        <w:gridCol w:w="109"/>
        <w:gridCol w:w="523"/>
        <w:gridCol w:w="109"/>
        <w:gridCol w:w="109"/>
        <w:gridCol w:w="1219"/>
        <w:gridCol w:w="162"/>
      </w:tblGrid>
      <w:tr>
        <w:trPr/>
        <w:tc>
          <w:tcPr>
            <w:tcW w:w="124" w:type="dxa"/>
            <w:tcBorders/>
            <w:shd w:fill="F2F2F2" w:val="clear"/>
            <w:vAlign w:val="center"/>
          </w:tcPr>
          <w:p>
            <w:pPr>
              <w:pStyle w:val="TableContents"/>
              <w:bidi w:val="0"/>
              <w:spacing w:before="0" w:after="283"/>
              <w:jc w:val="left"/>
              <w:rPr/>
            </w:pPr>
            <w:r>
              <w:rPr/>
              <w:t>​</w:t>
            </w:r>
          </w:p>
        </w:tc>
        <w:tc>
          <w:tcPr>
            <w:tcW w:w="658" w:type="dxa"/>
            <w:tcBorders/>
            <w:shd w:fill="F2F2F2" w:val="clear"/>
            <w:vAlign w:val="center"/>
          </w:tcPr>
          <w:p>
            <w:pPr>
              <w:pStyle w:val="TableContents"/>
              <w:bidi w:val="0"/>
              <w:spacing w:before="0" w:after="0"/>
              <w:jc w:val="left"/>
              <w:rPr/>
            </w:pPr>
            <w:r>
              <w:rPr/>
              <w:drawing>
                <wp:inline distT="0" distB="0" distL="0" distR="0">
                  <wp:extent cx="342900" cy="29527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342900" cy="295275"/>
                          </a:xfrm>
                          <a:prstGeom prst="rect">
                            <a:avLst/>
                          </a:prstGeom>
                        </pic:spPr>
                      </pic:pic>
                    </a:graphicData>
                  </a:graphic>
                </wp:inline>
              </w:drawing>
            </w:r>
            <w:r>
              <w:rPr/>
              <w:t xml:space="preserve"> </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1368" w:type="dxa"/>
            <w:tcBorders/>
            <w:shd w:fill="F2F2F2" w:val="clear"/>
            <w:vAlign w:val="center"/>
          </w:tcPr>
          <w:p>
            <w:pPr>
              <w:pStyle w:val="TableContents"/>
              <w:bidi w:val="0"/>
              <w:spacing w:lineRule="atLeast" w:line="225" w:before="0" w:after="0"/>
              <w:jc w:val="left"/>
              <w:rPr/>
            </w:pPr>
            <w:r>
              <w:rPr/>
              <w:t>VIA THE</w:t>
              <w:br/>
              <w:t xml:space="preserve">INTERNET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498" w:type="dxa"/>
            <w:tcBorders/>
            <w:shd w:fill="F2F2F2" w:val="clear"/>
            <w:vAlign w:val="center"/>
          </w:tcPr>
          <w:p>
            <w:pPr>
              <w:pStyle w:val="TableContents"/>
              <w:bidi w:val="0"/>
              <w:spacing w:before="0" w:after="0"/>
              <w:jc w:val="left"/>
              <w:rPr/>
            </w:pPr>
            <w:r>
              <w:rPr/>
              <w:drawing>
                <wp:inline distT="0" distB="0" distL="0" distR="0">
                  <wp:extent cx="228600" cy="3524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28600" cy="352425"/>
                          </a:xfrm>
                          <a:prstGeom prst="rect">
                            <a:avLst/>
                          </a:prstGeom>
                        </pic:spPr>
                      </pic:pic>
                    </a:graphicData>
                  </a:graphic>
                </wp:inline>
              </w:drawing>
            </w:r>
            <w:r>
              <w:rPr/>
              <w:t xml:space="preserve"> </w:t>
            </w:r>
          </w:p>
        </w:tc>
        <w:tc>
          <w:tcPr>
            <w:tcW w:w="120" w:type="dxa"/>
            <w:tcBorders/>
            <w:shd w:fill="F2F2F2" w:val="clear"/>
            <w:vAlign w:val="center"/>
          </w:tcPr>
          <w:p>
            <w:pPr>
              <w:pStyle w:val="TableContents"/>
              <w:bidi w:val="0"/>
              <w:spacing w:before="0" w:after="283"/>
              <w:jc w:val="left"/>
              <w:rPr/>
            </w:pPr>
            <w:r>
              <w:rPr/>
              <w:t>​</w:t>
            </w:r>
          </w:p>
        </w:tc>
        <w:tc>
          <w:tcPr>
            <w:tcW w:w="120" w:type="dxa"/>
            <w:tcBorders/>
            <w:shd w:fill="F2F2F2" w:val="clear"/>
            <w:vAlign w:val="center"/>
          </w:tcPr>
          <w:p>
            <w:pPr>
              <w:pStyle w:val="TableContents"/>
              <w:bidi w:val="0"/>
              <w:spacing w:before="0" w:after="283"/>
              <w:jc w:val="left"/>
              <w:rPr/>
            </w:pPr>
            <w:r>
              <w:rPr/>
              <w:t>​</w:t>
            </w:r>
          </w:p>
        </w:tc>
        <w:tc>
          <w:tcPr>
            <w:tcW w:w="1693" w:type="dxa"/>
            <w:tcBorders/>
            <w:shd w:fill="F2F2F2" w:val="clear"/>
            <w:vAlign w:val="center"/>
          </w:tcPr>
          <w:p>
            <w:pPr>
              <w:pStyle w:val="TableContents"/>
              <w:bidi w:val="0"/>
              <w:spacing w:lineRule="atLeast" w:line="225" w:before="0" w:after="0"/>
              <w:jc w:val="left"/>
              <w:rPr/>
            </w:pPr>
            <w:r>
              <w:rPr/>
              <w:t xml:space="preserve">VIA THE </w:t>
              <w:br/>
              <w:t xml:space="preserve">TELEPHONE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90" w:type="dxa"/>
            <w:tcBorders/>
            <w:shd w:fill="F2F2F2" w:val="clear"/>
            <w:vAlign w:val="center"/>
          </w:tcPr>
          <w:p>
            <w:pPr>
              <w:pStyle w:val="TableContents"/>
              <w:bidi w:val="0"/>
              <w:spacing w:before="0" w:after="0"/>
              <w:jc w:val="left"/>
              <w:rPr/>
            </w:pPr>
            <w:r>
              <w:rPr/>
              <w:drawing>
                <wp:inline distT="0" distB="0" distL="0" distR="0">
                  <wp:extent cx="361950" cy="36195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361950" cy="361950"/>
                          </a:xfrm>
                          <a:prstGeom prst="rect">
                            <a:avLst/>
                          </a:prstGeom>
                        </pic:spPr>
                      </pic:pic>
                    </a:graphicData>
                  </a:graphic>
                </wp:inline>
              </w:drawing>
            </w:r>
            <w:r>
              <w:rPr/>
              <w:t xml:space="preserve"> </w:t>
            </w:r>
          </w:p>
        </w:tc>
        <w:tc>
          <w:tcPr>
            <w:tcW w:w="113" w:type="dxa"/>
            <w:tcBorders/>
            <w:shd w:fill="F2F2F2" w:val="clear"/>
            <w:vAlign w:val="center"/>
          </w:tcPr>
          <w:p>
            <w:pPr>
              <w:pStyle w:val="TableContents"/>
              <w:bidi w:val="0"/>
              <w:spacing w:before="0" w:after="283"/>
              <w:jc w:val="left"/>
              <w:rPr/>
            </w:pPr>
            <w:r>
              <w:rPr/>
              <w:t>​</w:t>
            </w:r>
          </w:p>
        </w:tc>
        <w:tc>
          <w:tcPr>
            <w:tcW w:w="113" w:type="dxa"/>
            <w:tcBorders/>
            <w:shd w:fill="F2F2F2" w:val="clear"/>
            <w:vAlign w:val="center"/>
          </w:tcPr>
          <w:p>
            <w:pPr>
              <w:pStyle w:val="TableContents"/>
              <w:bidi w:val="0"/>
              <w:spacing w:before="0" w:after="283"/>
              <w:jc w:val="left"/>
              <w:rPr/>
            </w:pPr>
            <w:r>
              <w:rPr/>
              <w:t>​</w:t>
            </w:r>
          </w:p>
        </w:tc>
        <w:tc>
          <w:tcPr>
            <w:tcW w:w="786" w:type="dxa"/>
            <w:tcBorders/>
            <w:shd w:fill="F2F2F2" w:val="clear"/>
            <w:vAlign w:val="center"/>
          </w:tcPr>
          <w:p>
            <w:pPr>
              <w:pStyle w:val="TableContents"/>
              <w:bidi w:val="0"/>
              <w:spacing w:lineRule="atLeast" w:line="225" w:before="0" w:after="0"/>
              <w:jc w:val="left"/>
              <w:rPr/>
            </w:pPr>
            <w:r>
              <w:rPr/>
              <w:t xml:space="preserve">BY MAIL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23" w:type="dxa"/>
            <w:tcBorders/>
            <w:shd w:fill="F2F2F2" w:val="clear"/>
            <w:vAlign w:val="center"/>
          </w:tcPr>
          <w:p>
            <w:pPr>
              <w:pStyle w:val="TableContents"/>
              <w:bidi w:val="0"/>
              <w:spacing w:before="0" w:after="0"/>
              <w:jc w:val="left"/>
              <w:rPr/>
            </w:pPr>
            <w:r>
              <w:rPr/>
              <w:drawing>
                <wp:inline distT="0" distB="0" distL="0" distR="0">
                  <wp:extent cx="276225" cy="28575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276225" cy="2857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219" w:type="dxa"/>
            <w:tcBorders/>
            <w:shd w:fill="F2F2F2" w:val="clear"/>
            <w:vAlign w:val="center"/>
          </w:tcPr>
          <w:p>
            <w:pPr>
              <w:pStyle w:val="TableContents"/>
              <w:bidi w:val="0"/>
              <w:spacing w:lineRule="atLeast" w:line="225" w:before="0" w:after="0"/>
              <w:jc w:val="left"/>
              <w:rPr/>
            </w:pPr>
            <w:r>
              <w:rPr/>
              <w:t>IN PERSON AT</w:t>
              <w:br/>
              <w:t>THE MEETING</w:t>
            </w:r>
          </w:p>
        </w:tc>
        <w:tc>
          <w:tcPr>
            <w:tcW w:w="162"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2252" w:type="dxa"/>
            <w:gridSpan w:val="4"/>
            <w:tcBorders/>
            <w:shd w:fill="F2F2F2" w:val="clear"/>
            <w:vAlign w:val="center"/>
          </w:tcPr>
          <w:p>
            <w:pPr>
              <w:pStyle w:val="TableContents"/>
              <w:bidi w:val="0"/>
              <w:spacing w:lineRule="atLeast" w:line="226" w:before="0" w:after="0"/>
              <w:jc w:val="left"/>
              <w:rPr/>
            </w:pPr>
            <w:r>
              <w:rPr/>
              <w:t xml:space="preserve">Follow the instructions on the proxy card or voting instruction card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431" w:type="dxa"/>
            <w:gridSpan w:val="4"/>
            <w:tcBorders/>
            <w:shd w:fill="F2F2F2" w:val="clear"/>
            <w:vAlign w:val="center"/>
          </w:tcPr>
          <w:p>
            <w:pPr>
              <w:pStyle w:val="TableContents"/>
              <w:bidi w:val="0"/>
              <w:spacing w:lineRule="atLeast" w:line="226" w:before="0" w:after="0"/>
              <w:jc w:val="left"/>
              <w:rPr/>
            </w:pPr>
            <w:r>
              <w:rPr/>
              <w:t xml:space="preserve">Call the telephone number on your proxy card or voting instruction card provided by your bank, broker or other intermediary.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702" w:type="dxa"/>
            <w:gridSpan w:val="4"/>
            <w:tcBorders/>
            <w:shd w:fill="F2F2F2" w:val="clear"/>
            <w:vAlign w:val="center"/>
          </w:tcPr>
          <w:p>
            <w:pPr>
              <w:pStyle w:val="TableContents"/>
              <w:bidi w:val="0"/>
              <w:spacing w:lineRule="atLeast" w:line="226" w:before="0" w:after="0"/>
              <w:jc w:val="left"/>
              <w:rPr/>
            </w:pPr>
            <w:r>
              <w:rPr/>
              <w:t xml:space="preserve">Sign, date, and return your proxy card in the enclosed envelope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960" w:type="dxa"/>
            <w:gridSpan w:val="4"/>
            <w:tcBorders/>
            <w:shd w:fill="F2F2F2" w:val="clear"/>
            <w:vAlign w:val="center"/>
          </w:tcPr>
          <w:p>
            <w:pPr>
              <w:pStyle w:val="TableContents"/>
              <w:bidi w:val="0"/>
              <w:spacing w:lineRule="atLeast" w:line="226" w:before="0" w:after="0"/>
              <w:jc w:val="left"/>
              <w:rPr/>
            </w:pPr>
            <w:r>
              <w:rPr/>
              <w:t>Attend the meeting in person</w:t>
            </w:r>
          </w:p>
        </w:tc>
        <w:tc>
          <w:tcPr>
            <w:tcW w:w="162" w:type="dxa"/>
            <w:tcBorders/>
            <w:shd w:fill="F2F2F2"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28" w:type="dxa"/>
          <w:right w:w="0" w:type="dxa"/>
        </w:tblCellMar>
      </w:tblPr>
      <w:tblGrid>
        <w:gridCol w:w="124"/>
        <w:gridCol w:w="9007"/>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9007" w:type="dxa"/>
            <w:tcBorders>
              <w:bottom w:val="single" w:sz="12" w:space="0" w:color="3F3F3F"/>
            </w:tcBorders>
            <w:shd w:fill="F2F2F2" w:val="clear"/>
            <w:tcMar>
              <w:bottom w:w="122" w:type="dxa"/>
            </w:tcMar>
            <w:vAlign w:val="center"/>
          </w:tcPr>
          <w:p>
            <w:pPr>
              <w:pStyle w:val="TableContents"/>
              <w:bidi w:val="0"/>
              <w:spacing w:before="0" w:after="283"/>
              <w:jc w:val="left"/>
              <w:rPr/>
            </w:pPr>
            <w:r>
              <w:rPr/>
              <w:t xml:space="preserve">IMPORTANT NOTICE REGARDING THE AVAILABILITY OF PROXY MATERIALS FOR THE ANNUAL MEETING OF </w:t>
              <w:br/>
              <w:t>SHAREHOLDERS TO BE HELD ON OCTOBER 22, 2026:</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9007" w:type="dxa"/>
            <w:tcBorders>
              <w:bottom w:val="single" w:sz="6" w:space="0" w:color="BFBFBF"/>
            </w:tcBorders>
            <w:tcMar>
              <w:bottom w:w="665" w:type="dxa"/>
            </w:tcMar>
            <w:vAlign w:val="center"/>
          </w:tcPr>
          <w:p>
            <w:pPr>
              <w:pStyle w:val="TableContents"/>
              <w:bidi w:val="0"/>
              <w:spacing w:before="0" w:after="283"/>
              <w:jc w:val="left"/>
              <w:rPr/>
            </w:pPr>
            <w:r>
              <w:rPr/>
              <w:t xml:space="preserve">The Notice of Annual Meeting of Shareholders, Proxy Statement and 2025 Annual Report are available at </w:t>
            </w:r>
            <w:r>
              <w:rPr>
                <w:b/>
                <w:i/>
              </w:rPr>
              <w:t>https://materials.proxyvote.com/46990A.</w:t>
            </w:r>
            <w:r>
              <w:rPr/>
              <w:t xml:space="preserve"> These documents are first being mailed to shareholders on or about September 16, 2026.</w:t>
            </w:r>
          </w:p>
        </w:tc>
        <w:tc>
          <w:tcPr>
            <w:tcW w:w="154" w:type="dxa"/>
            <w:tcBorders>
              <w:bottom w:val="single" w:sz="6" w:space="0" w:color="BFBFBF"/>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1114"/>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Items of Business</w:t>
      </w:r>
      <w:r>
        <w:rPr>
          <w:rFonts w:ascii="Arial;Helvetica;sans-serif" w:hAnsi="Arial;Helvetica;sans-serif"/>
          <w:b/>
          <w:i w:val="false"/>
          <w:caps w:val="false"/>
          <w:smallCaps w:val="false"/>
          <w:color w:val="000000"/>
          <w:spacing w:val="6"/>
          <w:sz w:val="32"/>
        </w:rPr>
        <w:t xml:space="preserve"> </w:t>
      </w:r>
    </w:p>
    <w:tbl>
      <w:tblPr>
        <w:tblW w:w="9285" w:type="dxa"/>
        <w:jc w:val="left"/>
        <w:tblInd w:w="920" w:type="dxa"/>
        <w:tblLayout w:type="fixed"/>
        <w:tblCellMar>
          <w:top w:w="0" w:type="dxa"/>
          <w:left w:w="0" w:type="dxa"/>
          <w:bottom w:w="28" w:type="dxa"/>
          <w:right w:w="0" w:type="dxa"/>
        </w:tblCellMar>
      </w:tblPr>
      <w:tblGrid>
        <w:gridCol w:w="124"/>
        <w:gridCol w:w="4057"/>
        <w:gridCol w:w="109"/>
        <w:gridCol w:w="109"/>
        <w:gridCol w:w="109"/>
        <w:gridCol w:w="2470"/>
        <w:gridCol w:w="109"/>
        <w:gridCol w:w="109"/>
        <w:gridCol w:w="109"/>
        <w:gridCol w:w="1825"/>
        <w:gridCol w:w="155"/>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057"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ITEMS TO BE VOTED 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470" w:type="dxa"/>
            <w:tcBorders>
              <w:bottom w:val="single" w:sz="12" w:space="0" w:color="3F3F3F"/>
            </w:tcBorders>
            <w:shd w:fill="F2F2F2" w:val="clear"/>
            <w:tcMar>
              <w:bottom w:w="127" w:type="dxa"/>
            </w:tcMar>
            <w:vAlign w:val="center"/>
          </w:tcPr>
          <w:p>
            <w:pPr>
              <w:pStyle w:val="TableContents"/>
              <w:bidi w:val="0"/>
              <w:spacing w:lineRule="atLeast" w:line="191" w:before="0" w:after="0"/>
              <w:jc w:val="center"/>
              <w:rPr/>
            </w:pPr>
            <w:r>
              <w:rPr/>
              <w:t>BOARD’S</w:t>
              <w:br/>
              <w:t xml:space="preserve">RECOMMENDATION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25" w:type="dxa"/>
            <w:tcBorders>
              <w:bottom w:val="single" w:sz="12" w:space="0" w:color="3F3F3F"/>
            </w:tcBorders>
            <w:shd w:fill="F2F2F2" w:val="clear"/>
            <w:tcMar>
              <w:bottom w:w="127" w:type="dxa"/>
            </w:tcMar>
            <w:vAlign w:val="center"/>
          </w:tcPr>
          <w:p>
            <w:pPr>
              <w:pStyle w:val="TableContents"/>
              <w:bidi w:val="0"/>
              <w:spacing w:lineRule="atLeast" w:line="191" w:before="0" w:after="0"/>
              <w:jc w:val="center"/>
              <w:rPr/>
            </w:pPr>
            <w:r>
              <w:rPr/>
              <w:t>MORE</w:t>
              <w:br/>
              <w:t xml:space="preserve">INFORMATION </w:t>
            </w:r>
          </w:p>
        </w:tc>
        <w:tc>
          <w:tcPr>
            <w:tcW w:w="155"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57" w:type="dxa"/>
            <w:tcBorders>
              <w:bottom w:val="single" w:sz="2" w:space="0" w:color="BFBFBF"/>
            </w:tcBorders>
            <w:vAlign w:val="center"/>
          </w:tcPr>
          <w:p>
            <w:pPr>
              <w:pStyle w:val="TableContents"/>
              <w:bidi w:val="0"/>
              <w:spacing w:lineRule="atLeast" w:line="226" w:before="0" w:after="0"/>
              <w:jc w:val="left"/>
              <w:rPr/>
            </w:pPr>
            <w:r>
              <w:rPr>
                <w:b/>
                <w:color w:val="002C73"/>
              </w:rPr>
              <w:t>PROPOSAL 1</w:t>
            </w:r>
            <w:r>
              <w:rPr/>
              <w:t xml:space="preserve"> </w:t>
              <w:br/>
              <w:t xml:space="preserve">The election of six directors for a one-year term to hold office until the 2027 annual meeting of shareholders;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70" w:type="dxa"/>
            <w:tcBorders>
              <w:bottom w:val="single" w:sz="2" w:space="0" w:color="BFBFBF"/>
            </w:tcBorders>
            <w:vAlign w:val="center"/>
          </w:tcPr>
          <w:p>
            <w:pPr>
              <w:pStyle w:val="TableContents"/>
              <w:bidi w:val="0"/>
              <w:spacing w:before="0" w:after="0"/>
              <w:jc w:val="center"/>
              <w:rPr/>
            </w:pPr>
            <w:r>
              <w:rPr/>
              <w:drawing>
                <wp:inline distT="0" distB="0" distL="0" distR="0">
                  <wp:extent cx="295275" cy="2286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295275" cy="228600"/>
                          </a:xfrm>
                          <a:prstGeom prst="rect">
                            <a:avLst/>
                          </a:prstGeom>
                        </pic:spPr>
                      </pic:pic>
                    </a:graphicData>
                  </a:graphic>
                </wp:inline>
              </w:drawing>
            </w:r>
            <w:r>
              <w:rPr/>
              <w:t xml:space="preserve"> </w:t>
            </w:r>
          </w:p>
          <w:p>
            <w:pPr>
              <w:pStyle w:val="TableContents"/>
              <w:bidi w:val="0"/>
              <w:spacing w:lineRule="atLeast" w:line="226" w:before="106" w:after="283"/>
              <w:jc w:val="center"/>
              <w:rPr/>
            </w:pPr>
            <w:r>
              <w:rPr>
                <w:color w:val="002C73"/>
              </w:rPr>
              <w:t xml:space="preserve">FOR </w:t>
            </w:r>
            <w:r>
              <w:rPr/>
              <w:t xml:space="preserve">each nominee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25" w:type="dxa"/>
            <w:tcBorders>
              <w:bottom w:val="single" w:sz="2" w:space="0" w:color="BFBFBF"/>
            </w:tcBorders>
            <w:vAlign w:val="center"/>
          </w:tcPr>
          <w:p>
            <w:pPr>
              <w:pStyle w:val="TableContents"/>
              <w:bidi w:val="0"/>
              <w:spacing w:lineRule="atLeast" w:line="226" w:before="0" w:after="0"/>
              <w:jc w:val="center"/>
              <w:rPr/>
            </w:pPr>
            <w:hyperlink w:anchor="tP1OD">
              <w:r>
                <w:rPr>
                  <w:rStyle w:val="InternetLink"/>
                </w:rPr>
                <w:t>55</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57" w:type="dxa"/>
            <w:tcBorders>
              <w:bottom w:val="single" w:sz="2" w:space="0" w:color="BFBFBF"/>
            </w:tcBorders>
            <w:vAlign w:val="center"/>
          </w:tcPr>
          <w:p>
            <w:pPr>
              <w:pStyle w:val="TableContents"/>
              <w:bidi w:val="0"/>
              <w:spacing w:lineRule="atLeast" w:line="226" w:before="0" w:after="0"/>
              <w:jc w:val="left"/>
              <w:rPr/>
            </w:pPr>
            <w:r>
              <w:rPr>
                <w:b/>
                <w:color w:val="002C73"/>
              </w:rPr>
              <w:t>PROPOSAL 2</w:t>
            </w:r>
            <w:r>
              <w:rPr/>
              <w:t xml:space="preserve"> </w:t>
              <w:br/>
              <w:t xml:space="preserve">Ratification of the appointment of Ernst &amp; Young LLP, an independent registered public accounting firm, as our independent auditor to serve until the 2027 annual meeting of shareholders; 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70" w:type="dxa"/>
            <w:tcBorders>
              <w:bottom w:val="single" w:sz="2" w:space="0" w:color="BFBFBF"/>
            </w:tcBorders>
            <w:vAlign w:val="center"/>
          </w:tcPr>
          <w:p>
            <w:pPr>
              <w:pStyle w:val="TableContents"/>
              <w:bidi w:val="0"/>
              <w:spacing w:before="0" w:after="0"/>
              <w:jc w:val="center"/>
              <w:rPr/>
            </w:pPr>
            <w:r>
              <w:rPr/>
              <w:drawing>
                <wp:inline distT="0" distB="0" distL="0" distR="0">
                  <wp:extent cx="295275" cy="2286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295275" cy="228600"/>
                          </a:xfrm>
                          <a:prstGeom prst="rect">
                            <a:avLst/>
                          </a:prstGeom>
                        </pic:spPr>
                      </pic:pic>
                    </a:graphicData>
                  </a:graphic>
                </wp:inline>
              </w:drawing>
            </w:r>
            <w:r>
              <w:rPr/>
              <w:t xml:space="preserve"> </w:t>
            </w:r>
          </w:p>
          <w:p>
            <w:pPr>
              <w:pStyle w:val="TableContents"/>
              <w:bidi w:val="0"/>
              <w:spacing w:lineRule="atLeast" w:line="226" w:before="106" w:after="283"/>
              <w:jc w:val="center"/>
              <w:rPr>
                <w:color w:val="002C73"/>
              </w:rPr>
            </w:pPr>
            <w:r>
              <w:rPr>
                <w:color w:val="002C73"/>
              </w:rPr>
              <w:t>FOR</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25" w:type="dxa"/>
            <w:tcBorders>
              <w:bottom w:val="single" w:sz="2" w:space="0" w:color="BFBFBF"/>
            </w:tcBorders>
            <w:vAlign w:val="center"/>
          </w:tcPr>
          <w:p>
            <w:pPr>
              <w:pStyle w:val="TableContents"/>
              <w:bidi w:val="0"/>
              <w:spacing w:lineRule="atLeast" w:line="226" w:before="0" w:after="0"/>
              <w:jc w:val="center"/>
              <w:rPr/>
            </w:pPr>
            <w:hyperlink w:anchor="tP2RT">
              <w:r>
                <w:rPr>
                  <w:rStyle w:val="InternetLink"/>
                </w:rPr>
                <w:t>56</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4057" w:type="dxa"/>
            <w:tcBorders>
              <w:bottom w:val="single" w:sz="6" w:space="0" w:color="BFBFBF"/>
            </w:tcBorders>
            <w:tcMar>
              <w:bottom w:w="40" w:type="dxa"/>
            </w:tcMar>
            <w:vAlign w:val="center"/>
          </w:tcPr>
          <w:p>
            <w:pPr>
              <w:pStyle w:val="TableContents"/>
              <w:bidi w:val="0"/>
              <w:spacing w:lineRule="atLeast" w:line="226" w:before="0" w:after="0"/>
              <w:jc w:val="left"/>
              <w:rPr/>
            </w:pPr>
            <w:r>
              <w:rPr>
                <w:b/>
                <w:color w:val="002C73"/>
              </w:rPr>
              <w:t>PROPOSAL 3</w:t>
            </w:r>
            <w:r>
              <w:rPr/>
              <w:t xml:space="preserve"> </w:t>
              <w:br/>
              <w:t xml:space="preserve">To approve, on a non-binding, advisory basis, the 2025 compensation of our named executive officers.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470" w:type="dxa"/>
            <w:tcBorders>
              <w:bottom w:val="single" w:sz="6" w:space="0" w:color="BFBFBF"/>
            </w:tcBorders>
            <w:vAlign w:val="center"/>
          </w:tcPr>
          <w:p>
            <w:pPr>
              <w:pStyle w:val="TableContents"/>
              <w:bidi w:val="0"/>
              <w:spacing w:before="0" w:after="0"/>
              <w:jc w:val="center"/>
              <w:rPr/>
            </w:pPr>
            <w:r>
              <w:rPr/>
              <w:drawing>
                <wp:inline distT="0" distB="0" distL="0" distR="0">
                  <wp:extent cx="295275" cy="2286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295275" cy="228600"/>
                          </a:xfrm>
                          <a:prstGeom prst="rect">
                            <a:avLst/>
                          </a:prstGeom>
                        </pic:spPr>
                      </pic:pic>
                    </a:graphicData>
                  </a:graphic>
                </wp:inline>
              </w:drawing>
            </w:r>
            <w:r>
              <w:rPr/>
              <w:t xml:space="preserve"> </w:t>
            </w:r>
          </w:p>
          <w:p>
            <w:pPr>
              <w:pStyle w:val="TableContents"/>
              <w:bidi w:val="0"/>
              <w:spacing w:lineRule="atLeast" w:line="226" w:before="106" w:after="283"/>
              <w:jc w:val="center"/>
              <w:rPr>
                <w:color w:val="002C73"/>
              </w:rPr>
            </w:pPr>
            <w:r>
              <w:rPr>
                <w:color w:val="002C73"/>
              </w:rPr>
              <w:t>FOR</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25" w:type="dxa"/>
            <w:tcBorders>
              <w:bottom w:val="single" w:sz="6" w:space="0" w:color="BFBFBF"/>
            </w:tcBorders>
            <w:vAlign w:val="center"/>
          </w:tcPr>
          <w:p>
            <w:pPr>
              <w:pStyle w:val="TableContents"/>
              <w:bidi w:val="0"/>
              <w:spacing w:lineRule="atLeast" w:line="226" w:before="0" w:after="0"/>
              <w:jc w:val="center"/>
              <w:rPr/>
            </w:pPr>
            <w:hyperlink w:anchor="tP3AO">
              <w:r>
                <w:rPr>
                  <w:rStyle w:val="InternetLink"/>
                </w:rPr>
                <w:t>58</w:t>
              </w:r>
            </w:hyperlink>
            <w:r>
              <w:rPr/>
              <w:t xml:space="preserve"> </w:t>
            </w:r>
          </w:p>
        </w:tc>
        <w:tc>
          <w:tcPr>
            <w:tcW w:w="155" w:type="dxa"/>
            <w:tcBorders>
              <w:bottom w:val="single" w:sz="6" w:space="0" w:color="BFBFBF"/>
            </w:tcBorders>
            <w:vAlign w:val="center"/>
          </w:tcPr>
          <w:p>
            <w:pPr>
              <w:pStyle w:val="TableContents"/>
              <w:bidi w:val="0"/>
              <w:spacing w:before="0" w:after="283"/>
              <w:jc w:val="left"/>
              <w:rPr/>
            </w:pPr>
            <w:r>
              <w:rPr/>
              <w:t>​</w:t>
            </w:r>
          </w:p>
        </w:tc>
      </w:tr>
    </w:tbl>
    <w:p>
      <w:pPr>
        <w:pStyle w:val="TextBody"/>
        <w:bidi w:val="0"/>
        <w:spacing w:lineRule="atLeast" w:line="220" w:before="105"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Any other business that may properly come before the annual meeting of shareholders and any adjournments or postponements thereof.</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6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By order of the Board of Directors,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before="156" w:after="283"/>
        <w:jc w:val="left"/>
        <w:rPr>
          <w:caps w:val="false"/>
          <w:smallCaps w:val="false"/>
          <w:color w:val="000000"/>
        </w:rPr>
      </w:pPr>
      <w:r>
        <w:rPr>
          <w:caps w:val="false"/>
          <w:smallCaps w:val="false"/>
          <w:color w:val="000000"/>
        </w:rPr>
        <w:drawing>
          <wp:inline distT="0" distB="0" distL="0" distR="0">
            <wp:extent cx="1457325" cy="371475"/>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1457325" cy="3714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26" w:after="283"/>
        <w:jc w:val="left"/>
        <w:rPr>
          <w:rFonts w:ascii="Arial Narrow;Arial;Helvetica;sans-serif" w:hAnsi="Arial Narrow;Arial;Helvetica;sans-serif"/>
          <w:b w:val="false"/>
          <w:i w:val="false"/>
          <w:caps w:val="false"/>
          <w:smallCaps w:val="false"/>
          <w:color w:val="002C73"/>
          <w:sz w:val="19"/>
        </w:rPr>
      </w:pPr>
      <w:r>
        <w:rPr>
          <w:rFonts w:ascii="Arial Narrow;Arial;Helvetica;sans-serif" w:hAnsi="Arial Narrow;Arial;Helvetica;sans-serif"/>
          <w:b w:val="false"/>
          <w:i w:val="false"/>
          <w:caps w:val="false"/>
          <w:smallCaps w:val="false"/>
          <w:color w:val="000000"/>
          <w:sz w:val="19"/>
        </w:rPr>
        <w:t>Frank N. D’Orazio</w:t>
      </w:r>
      <w:r>
        <w:rPr>
          <w:rFonts w:ascii="Arial Narrow;Arial;Helvetica;sans-serif" w:hAnsi="Arial Narrow;Arial;Helvetica;sans-serif"/>
          <w:b w:val="false"/>
          <w:i w:val="false"/>
          <w:caps w:val="false"/>
          <w:smallCaps w:val="false"/>
          <w:color w:val="002C73"/>
          <w:sz w:val="19"/>
        </w:rPr>
        <w:t xml:space="preserve"> </w:t>
        <w:br/>
      </w:r>
      <w:r>
        <w:rPr>
          <w:rFonts w:ascii="Arial Narrow;Arial;Helvetica;sans-serif" w:hAnsi="Arial Narrow;Arial;Helvetica;sans-serif"/>
          <w:b/>
          <w:i w:val="false"/>
          <w:caps w:val="false"/>
          <w:smallCaps w:val="false"/>
          <w:color w:val="002C73"/>
          <w:sz w:val="19"/>
        </w:rPr>
        <w:t>Chief Executive Officer</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48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TABLE OF CONTENTS</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before="0" w:after="3643"/>
        <w:jc w:val="left"/>
        <w:rPr>
          <w:caps w:val="false"/>
          <w:smallCaps w:val="false"/>
          <w:color w:val="000000"/>
        </w:rPr>
      </w:pPr>
      <w:r>
        <w:rPr>
          <w:caps w:val="false"/>
          <w:smallCaps w:val="false"/>
          <w:color w:val="000000"/>
        </w:rPr>
        <w:t>​</w:t>
      </w:r>
      <w:r>
        <mc:AlternateContent>
          <mc:Choice Requires="wps">
            <w:drawing>
              <wp:anchor behindDoc="0" distT="0" distB="0" distL="584200" distR="0" simplePos="0" locked="0" layoutInCell="1" allowOverlap="1" relativeHeight="53">
                <wp:simplePos x="0" y="0"/>
                <wp:positionH relativeFrom="column">
                  <wp:align>left</wp:align>
                </wp:positionH>
                <wp:positionV relativeFrom="line">
                  <wp:posOffset>635</wp:posOffset>
                </wp:positionV>
                <wp:extent cx="2971800" cy="9972040"/>
                <wp:effectExtent l="0" t="0" r="0" b="0"/>
                <wp:wrapSquare wrapText="right"/>
                <wp:docPr id="22" name="Frame9"/>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tbl>
                            <w:tblPr>
                              <w:tblW w:w="8778" w:type="dxa"/>
                              <w:jc w:val="left"/>
                              <w:tblInd w:w="0" w:type="dxa"/>
                              <w:tblLayout w:type="fixed"/>
                              <w:tblCellMar>
                                <w:top w:w="0" w:type="dxa"/>
                                <w:left w:w="0" w:type="dxa"/>
                                <w:bottom w:w="28" w:type="dxa"/>
                                <w:right w:w="0" w:type="dxa"/>
                              </w:tblCellMar>
                            </w:tblPr>
                            <w:tblGrid>
                              <w:gridCol w:w="124"/>
                              <w:gridCol w:w="406"/>
                              <w:gridCol w:w="109"/>
                              <w:gridCol w:w="109"/>
                              <w:gridCol w:w="7876"/>
                              <w:gridCol w:w="154"/>
                            </w:tblGrid>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BODA">
                                    <w:r>
                                      <w:rPr>
                                        <w:rStyle w:val="InternetLink"/>
                                        <w:color w:val="002C73"/>
                                      </w:rPr>
                                      <w:t>1</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BODA">
                                    <w:r>
                                      <w:rPr>
                                        <w:rStyle w:val="InternetLink"/>
                                        <w:color w:val="002C73"/>
                                      </w:rPr>
                                      <w:t>BOARD OF DIRECTORS AND CORPORATE GOVERNANCE</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NFEA">
                                    <w:r>
                                      <w:rPr>
                                        <w:rStyle w:val="InternetLink"/>
                                      </w:rPr>
                                      <w:t xml:space="preserve">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NFEA">
                                    <w:r>
                                      <w:rPr>
                                        <w:rStyle w:val="InternetLink"/>
                                      </w:rPr>
                                      <w:t xml:space="preserve">Nominees for Election as Directors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DIIN">
                                    <w:r>
                                      <w:rPr>
                                        <w:rStyle w:val="InternetLink"/>
                                      </w:rPr>
                                      <w:t xml:space="preserve">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DIIN">
                                    <w:r>
                                      <w:rPr>
                                        <w:rStyle w:val="InternetLink"/>
                                      </w:rPr>
                                      <w:t xml:space="preserve">Director Independence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DNDR">
                                    <w:r>
                                      <w:rPr>
                                        <w:rStyle w:val="InternetLink"/>
                                      </w:rPr>
                                      <w:t xml:space="preserve">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DNDR">
                                    <w:r>
                                      <w:rPr>
                                        <w:rStyle w:val="InternetLink"/>
                                      </w:rPr>
                                      <w:t xml:space="preserve">Director Nomination Designation Right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BOST">
                                    <w:r>
                                      <w:rPr>
                                        <w:rStyle w:val="InternetLink"/>
                                      </w:rPr>
                                      <w:t xml:space="preserve">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BOST">
                                    <w:r>
                                      <w:rPr>
                                        <w:rStyle w:val="InternetLink"/>
                                      </w:rPr>
                                      <w:t xml:space="preserve">Board Structure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BSD">
                                    <w:r>
                                      <w:rPr>
                                        <w:rStyle w:val="InternetLink"/>
                                      </w:rPr>
                                      <w:t xml:space="preserve">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BSD">
                                    <w:r>
                                      <w:rPr>
                                        <w:rStyle w:val="InternetLink"/>
                                      </w:rPr>
                                      <w:t xml:space="preserve">Board Skills Disclosure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BCD">
                                    <w:r>
                                      <w:rPr>
                                        <w:rStyle w:val="InternetLink"/>
                                      </w:rPr>
                                      <w:t xml:space="preserve">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BCD">
                                    <w:r>
                                      <w:rPr>
                                        <w:rStyle w:val="InternetLink"/>
                                      </w:rPr>
                                      <w:t xml:space="preserve">Board Composition Disclosure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RIOV">
                                    <w:r>
                                      <w:rPr>
                                        <w:rStyle w:val="InternetLink"/>
                                      </w:rPr>
                                      <w:t xml:space="preserve">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RIOV">
                                    <w:r>
                                      <w:rPr>
                                        <w:rStyle w:val="InternetLink"/>
                                      </w:rPr>
                                      <w:t xml:space="preserve">Risk Oversight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OBAI">
                                    <w:r>
                                      <w:rPr>
                                        <w:rStyle w:val="InternetLink"/>
                                      </w:rPr>
                                      <w:t xml:space="preserve">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OBAI">
                                    <w:r>
                                      <w:rPr>
                                        <w:rStyle w:val="InternetLink"/>
                                      </w:rPr>
                                      <w:t xml:space="preserve">Our Board and its Committees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ANEV">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ANEV">
                                    <w:r>
                                      <w:rPr>
                                        <w:rStyle w:val="InternetLink"/>
                                      </w:rPr>
                                      <w:t xml:space="preserve">Annual Evaluations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AHC">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0"/>
                                    <w:ind w:left="170" w:right="0" w:hanging="170"/>
                                    <w:jc w:val="left"/>
                                    <w:rPr/>
                                  </w:pPr>
                                  <w:hyperlink w:anchor="tCAHC">
                                    <w:r>
                                      <w:rPr>
                                        <w:rStyle w:val="InternetLink"/>
                                      </w:rPr>
                                      <w:t xml:space="preserve">Compensation and Human Capital Committee Interlocks and Insider Participation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AAAM">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AAAM">
                                    <w:r>
                                      <w:rPr>
                                        <w:rStyle w:val="InternetLink"/>
                                      </w:rPr>
                                      <w:t xml:space="preserve">Attendance at Annual Meetings of Shareholders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WOB">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WOB">
                                    <w:r>
                                      <w:rPr>
                                        <w:rStyle w:val="InternetLink"/>
                                      </w:rPr>
                                      <w:t xml:space="preserve">Communications with our Board of Directors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OC">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OC">
                                    <w:r>
                                      <w:rPr>
                                        <w:rStyle w:val="InternetLink"/>
                                      </w:rPr>
                                      <w:t xml:space="preserve">Code of Conduct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GG">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GG">
                                    <w:r>
                                      <w:rPr>
                                        <w:rStyle w:val="InternetLink"/>
                                      </w:rPr>
                                      <w:t xml:space="preserve">Corporate Governance Guidelines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TSE">
                                    <w:r>
                                      <w:rPr>
                                        <w:rStyle w:val="InternetLink"/>
                                      </w:rPr>
                                      <w:t xml:space="preserve">10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TSE">
                                    <w:r>
                                      <w:rPr>
                                        <w:rStyle w:val="InternetLink"/>
                                      </w:rPr>
                                      <w:t xml:space="preserve">Commitment to Shareholder Engagement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ESG">
                                    <w:r>
                                      <w:rPr>
                                        <w:rStyle w:val="InternetLink"/>
                                      </w:rPr>
                                      <w:t xml:space="preserve">12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ESG">
                                    <w:r>
                                      <w:rPr>
                                        <w:rStyle w:val="InternetLink"/>
                                      </w:rPr>
                                      <w:t xml:space="preserve">Environmental, Social &amp; Governance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OD">
                                    <w:r>
                                      <w:rPr>
                                        <w:rStyle w:val="InternetLink"/>
                                      </w:rPr>
                                      <w:t xml:space="preserve">13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OD">
                                    <w:r>
                                      <w:rPr>
                                        <w:rStyle w:val="InternetLink"/>
                                      </w:rPr>
                                      <w:t xml:space="preserve">Compensation of Directors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SOG">
                                    <w:r>
                                      <w:rPr>
                                        <w:rStyle w:val="InternetLink"/>
                                      </w:rPr>
                                      <w:t xml:space="preserve">14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SOG">
                                    <w:r>
                                      <w:rPr>
                                        <w:rStyle w:val="InternetLink"/>
                                      </w:rPr>
                                      <w:t xml:space="preserve">Stock Ownership Guidelines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EXOF">
                                    <w:r>
                                      <w:rPr>
                                        <w:rStyle w:val="InternetLink"/>
                                        <w:color w:val="002C73"/>
                                      </w:rPr>
                                      <w:t>15</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EXOF">
                                    <w:r>
                                      <w:rPr>
                                        <w:rStyle w:val="InternetLink"/>
                                        <w:color w:val="002C73"/>
                                      </w:rPr>
                                      <w:t>EXECUTIVE OFFICERS</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EXCO">
                                    <w:r>
                                      <w:rPr>
                                        <w:rStyle w:val="InternetLink"/>
                                        <w:color w:val="002C73"/>
                                      </w:rPr>
                                      <w:t>16</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EXCO">
                                    <w:r>
                                      <w:rPr>
                                        <w:rStyle w:val="InternetLink"/>
                                        <w:color w:val="002C73"/>
                                      </w:rPr>
                                      <w:t>EXECUTIVE COMPENSATION</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DAA">
                                    <w:r>
                                      <w:rPr>
                                        <w:rStyle w:val="InternetLink"/>
                                      </w:rPr>
                                      <w:t xml:space="preserve">16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DAA">
                                    <w:r>
                                      <w:rPr>
                                        <w:rStyle w:val="InternetLink"/>
                                      </w:rPr>
                                      <w:t xml:space="preserve">Compensation Discussion and Analysis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SCT">
                                    <w:r>
                                      <w:rPr>
                                        <w:rStyle w:val="InternetLink"/>
                                      </w:rPr>
                                      <w:t xml:space="preserve">33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SCT">
                                    <w:r>
                                      <w:rPr>
                                        <w:rStyle w:val="InternetLink"/>
                                      </w:rPr>
                                      <w:t xml:space="preserve">Summary Compensation Table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GOPA">
                                    <w:r>
                                      <w:rPr>
                                        <w:rStyle w:val="InternetLink"/>
                                      </w:rPr>
                                      <w:t xml:space="preserve">35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GOPA">
                                    <w:r>
                                      <w:rPr>
                                        <w:rStyle w:val="InternetLink"/>
                                      </w:rPr>
                                      <w:t xml:space="preserve">Grants of Plan-Based Awards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OEAA">
                                    <w:r>
                                      <w:rPr>
                                        <w:rStyle w:val="InternetLink"/>
                                      </w:rPr>
                                      <w:t xml:space="preserve">37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OEAA">
                                    <w:r>
                                      <w:rPr>
                                        <w:rStyle w:val="InternetLink"/>
                                      </w:rPr>
                                      <w:t xml:space="preserve">Outstanding Equity Awards at Fiscal Year-End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OEAS">
                                    <w:r>
                                      <w:rPr>
                                        <w:rStyle w:val="InternetLink"/>
                                      </w:rPr>
                                      <w:t xml:space="preserve">38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OEAS">
                                    <w:r>
                                      <w:rPr>
                                        <w:rStyle w:val="InternetLink"/>
                                      </w:rPr>
                                      <w:t xml:space="preserve">Option Exercises and Stock Vested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BND">
                                    <w:r>
                                      <w:rPr>
                                        <w:rStyle w:val="InternetLink"/>
                                      </w:rPr>
                                      <w:t xml:space="preserve">38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BND">
                                    <w:r>
                                      <w:rPr>
                                        <w:rStyle w:val="InternetLink"/>
                                      </w:rPr>
                                      <w:t xml:space="preserve">Pension Benefits &amp; Nonqualified Deferred Compensation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VP">
                                    <w:r>
                                      <w:rPr>
                                        <w:rStyle w:val="InternetLink"/>
                                      </w:rPr>
                                      <w:t xml:space="preserve">39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VP">
                                    <w:r>
                                      <w:rPr>
                                        <w:rStyle w:val="InternetLink"/>
                                      </w:rPr>
                                      <w:t xml:space="preserve">Pay versus Performance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PUT">
                                    <w:r>
                                      <w:rPr>
                                        <w:rStyle w:val="InternetLink"/>
                                      </w:rPr>
                                      <w:t xml:space="preserve">42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PUT">
                                    <w:r>
                                      <w:rPr>
                                        <w:rStyle w:val="InternetLink"/>
                                      </w:rPr>
                                      <w:t xml:space="preserve">Potential Payments upon Termination or Change in Control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EOP">
                                    <w:r>
                                      <w:rPr>
                                        <w:rStyle w:val="InternetLink"/>
                                      </w:rPr>
                                      <w:t xml:space="preserve">48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EOP">
                                    <w:r>
                                      <w:rPr>
                                        <w:rStyle w:val="InternetLink"/>
                                      </w:rPr>
                                      <w:t xml:space="preserve">Chief Executive Officer Pay Ratio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ECPI">
                                    <w:r>
                                      <w:rPr>
                                        <w:rStyle w:val="InternetLink"/>
                                        <w:color w:val="002C73"/>
                                      </w:rPr>
                                      <w:t>49</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ECPI">
                                    <w:r>
                                      <w:rPr>
                                        <w:rStyle w:val="InternetLink"/>
                                        <w:color w:val="002C73"/>
                                      </w:rPr>
                                      <w:t>EQUITY COMPENSATION PLAN INFORMATION</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CRAR">
                                    <w:r>
                                      <w:rPr>
                                        <w:rStyle w:val="InternetLink"/>
                                        <w:color w:val="002C73"/>
                                      </w:rPr>
                                      <w:t>50</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CRAR">
                                    <w:r>
                                      <w:rPr>
                                        <w:rStyle w:val="InternetLink"/>
                                        <w:color w:val="002C73"/>
                                      </w:rPr>
                                      <w:t>CERTAIN RELATIONSHIPS AND RELATED TRANSACTIONS</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APF">
                                    <w:r>
                                      <w:rPr>
                                        <w:rStyle w:val="InternetLink"/>
                                      </w:rPr>
                                      <w:t xml:space="preserve">50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APF">
                                    <w:r>
                                      <w:rPr>
                                        <w:rStyle w:val="InternetLink"/>
                                      </w:rPr>
                                      <w:t xml:space="preserve">Policies and Procedures for Related Person Transactions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RPTW">
                                    <w:r>
                                      <w:rPr>
                                        <w:rStyle w:val="InternetLink"/>
                                      </w:rPr>
                                      <w:t xml:space="preserve">50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RPTW">
                                    <w:r>
                                      <w:rPr>
                                        <w:rStyle w:val="InternetLink"/>
                                      </w:rPr>
                                      <w:t xml:space="preserve">Related Party Transactions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SOOC">
                                    <w:r>
                                      <w:rPr>
                                        <w:rStyle w:val="InternetLink"/>
                                        <w:color w:val="002C73"/>
                                      </w:rPr>
                                      <w:t>52</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SOOC">
                                    <w:r>
                                      <w:rPr>
                                        <w:rStyle w:val="InternetLink"/>
                                        <w:color w:val="002C73"/>
                                      </w:rPr>
                                      <w:t>SECURITIES OWNERSHIP OF CERTAIN BENEFICIAL OWNERS</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4pt;height:785.2pt;mso-wrap-distance-left:46pt;mso-wrap-distance-right:0pt;mso-wrap-distance-top:0pt;mso-wrap-distance-bottom:0pt;margin-top:0pt;mso-position-vertical:top;mso-position-vertical-relative:text;margin-left:46pt;mso-position-horizontal:left;mso-position-horizontal-relative:text">
                <v:textbox>
                  <w:txbxContent>
                    <w:tbl>
                      <w:tblPr>
                        <w:tblW w:w="8778" w:type="dxa"/>
                        <w:jc w:val="left"/>
                        <w:tblInd w:w="0" w:type="dxa"/>
                        <w:tblLayout w:type="fixed"/>
                        <w:tblCellMar>
                          <w:top w:w="0" w:type="dxa"/>
                          <w:left w:w="0" w:type="dxa"/>
                          <w:bottom w:w="28" w:type="dxa"/>
                          <w:right w:w="0" w:type="dxa"/>
                        </w:tblCellMar>
                      </w:tblPr>
                      <w:tblGrid>
                        <w:gridCol w:w="124"/>
                        <w:gridCol w:w="406"/>
                        <w:gridCol w:w="109"/>
                        <w:gridCol w:w="109"/>
                        <w:gridCol w:w="7876"/>
                        <w:gridCol w:w="154"/>
                      </w:tblGrid>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BODA">
                              <w:r>
                                <w:rPr>
                                  <w:rStyle w:val="InternetLink"/>
                                  <w:color w:val="002C73"/>
                                </w:rPr>
                                <w:t>1</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BODA">
                              <w:r>
                                <w:rPr>
                                  <w:rStyle w:val="InternetLink"/>
                                  <w:color w:val="002C73"/>
                                </w:rPr>
                                <w:t>BOARD OF DIRECTORS AND CORPORATE GOVERNANCE</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NFEA">
                              <w:r>
                                <w:rPr>
                                  <w:rStyle w:val="InternetLink"/>
                                </w:rPr>
                                <w:t xml:space="preserve">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NFEA">
                              <w:r>
                                <w:rPr>
                                  <w:rStyle w:val="InternetLink"/>
                                </w:rPr>
                                <w:t xml:space="preserve">Nominees for Election as Directors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DIIN">
                              <w:r>
                                <w:rPr>
                                  <w:rStyle w:val="InternetLink"/>
                                </w:rPr>
                                <w:t xml:space="preserve">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DIIN">
                              <w:r>
                                <w:rPr>
                                  <w:rStyle w:val="InternetLink"/>
                                </w:rPr>
                                <w:t xml:space="preserve">Director Independence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DNDR">
                              <w:r>
                                <w:rPr>
                                  <w:rStyle w:val="InternetLink"/>
                                </w:rPr>
                                <w:t xml:space="preserve">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DNDR">
                              <w:r>
                                <w:rPr>
                                  <w:rStyle w:val="InternetLink"/>
                                </w:rPr>
                                <w:t xml:space="preserve">Director Nomination Designation Right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BOST">
                              <w:r>
                                <w:rPr>
                                  <w:rStyle w:val="InternetLink"/>
                                </w:rPr>
                                <w:t xml:space="preserve">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BOST">
                              <w:r>
                                <w:rPr>
                                  <w:rStyle w:val="InternetLink"/>
                                </w:rPr>
                                <w:t xml:space="preserve">Board Structure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BSD">
                              <w:r>
                                <w:rPr>
                                  <w:rStyle w:val="InternetLink"/>
                                </w:rPr>
                                <w:t xml:space="preserve">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BSD">
                              <w:r>
                                <w:rPr>
                                  <w:rStyle w:val="InternetLink"/>
                                </w:rPr>
                                <w:t xml:space="preserve">Board Skills Disclosure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BCD">
                              <w:r>
                                <w:rPr>
                                  <w:rStyle w:val="InternetLink"/>
                                </w:rPr>
                                <w:t xml:space="preserve">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BCD">
                              <w:r>
                                <w:rPr>
                                  <w:rStyle w:val="InternetLink"/>
                                </w:rPr>
                                <w:t xml:space="preserve">Board Composition Disclosure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RIOV">
                              <w:r>
                                <w:rPr>
                                  <w:rStyle w:val="InternetLink"/>
                                </w:rPr>
                                <w:t xml:space="preserve">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RIOV">
                              <w:r>
                                <w:rPr>
                                  <w:rStyle w:val="InternetLink"/>
                                </w:rPr>
                                <w:t xml:space="preserve">Risk Oversight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OBAI">
                              <w:r>
                                <w:rPr>
                                  <w:rStyle w:val="InternetLink"/>
                                </w:rPr>
                                <w:t xml:space="preserve">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OBAI">
                              <w:r>
                                <w:rPr>
                                  <w:rStyle w:val="InternetLink"/>
                                </w:rPr>
                                <w:t xml:space="preserve">Our Board and its Committees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ANEV">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ANEV">
                              <w:r>
                                <w:rPr>
                                  <w:rStyle w:val="InternetLink"/>
                                </w:rPr>
                                <w:t xml:space="preserve">Annual Evaluations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AHC">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0"/>
                              <w:ind w:left="170" w:right="0" w:hanging="170"/>
                              <w:jc w:val="left"/>
                              <w:rPr/>
                            </w:pPr>
                            <w:hyperlink w:anchor="tCAHC">
                              <w:r>
                                <w:rPr>
                                  <w:rStyle w:val="InternetLink"/>
                                </w:rPr>
                                <w:t xml:space="preserve">Compensation and Human Capital Committee Interlocks and Insider Participation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AAAM">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AAAM">
                              <w:r>
                                <w:rPr>
                                  <w:rStyle w:val="InternetLink"/>
                                </w:rPr>
                                <w:t xml:space="preserve">Attendance at Annual Meetings of Shareholders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WOB">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WOB">
                              <w:r>
                                <w:rPr>
                                  <w:rStyle w:val="InternetLink"/>
                                </w:rPr>
                                <w:t xml:space="preserve">Communications with our Board of Directors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OC">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OC">
                              <w:r>
                                <w:rPr>
                                  <w:rStyle w:val="InternetLink"/>
                                </w:rPr>
                                <w:t xml:space="preserve">Code of Conduct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GG">
                              <w:r>
                                <w:rPr>
                                  <w:rStyle w:val="InternetLink"/>
                                </w:rPr>
                                <w:t xml:space="preserve">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GG">
                              <w:r>
                                <w:rPr>
                                  <w:rStyle w:val="InternetLink"/>
                                </w:rPr>
                                <w:t xml:space="preserve">Corporate Governance Guidelines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TSE">
                              <w:r>
                                <w:rPr>
                                  <w:rStyle w:val="InternetLink"/>
                                </w:rPr>
                                <w:t xml:space="preserve">10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TSE">
                              <w:r>
                                <w:rPr>
                                  <w:rStyle w:val="InternetLink"/>
                                </w:rPr>
                                <w:t xml:space="preserve">Commitment to Shareholder Engagement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ESG">
                              <w:r>
                                <w:rPr>
                                  <w:rStyle w:val="InternetLink"/>
                                </w:rPr>
                                <w:t xml:space="preserve">12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ESG">
                              <w:r>
                                <w:rPr>
                                  <w:rStyle w:val="InternetLink"/>
                                </w:rPr>
                                <w:t xml:space="preserve">Environmental, Social &amp; Governance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OD">
                              <w:r>
                                <w:rPr>
                                  <w:rStyle w:val="InternetLink"/>
                                </w:rPr>
                                <w:t xml:space="preserve">13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OD">
                              <w:r>
                                <w:rPr>
                                  <w:rStyle w:val="InternetLink"/>
                                </w:rPr>
                                <w:t xml:space="preserve">Compensation of Directors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SOG">
                              <w:r>
                                <w:rPr>
                                  <w:rStyle w:val="InternetLink"/>
                                </w:rPr>
                                <w:t xml:space="preserve">14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SOG">
                              <w:r>
                                <w:rPr>
                                  <w:rStyle w:val="InternetLink"/>
                                </w:rPr>
                                <w:t xml:space="preserve">Stock Ownership Guidelines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EXOF">
                              <w:r>
                                <w:rPr>
                                  <w:rStyle w:val="InternetLink"/>
                                  <w:color w:val="002C73"/>
                                </w:rPr>
                                <w:t>15</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EXOF">
                              <w:r>
                                <w:rPr>
                                  <w:rStyle w:val="InternetLink"/>
                                  <w:color w:val="002C73"/>
                                </w:rPr>
                                <w:t>EXECUTIVE OFFICERS</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EXCO">
                              <w:r>
                                <w:rPr>
                                  <w:rStyle w:val="InternetLink"/>
                                  <w:color w:val="002C73"/>
                                </w:rPr>
                                <w:t>16</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EXCO">
                              <w:r>
                                <w:rPr>
                                  <w:rStyle w:val="InternetLink"/>
                                  <w:color w:val="002C73"/>
                                </w:rPr>
                                <w:t>EXECUTIVE COMPENSATION</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DAA">
                              <w:r>
                                <w:rPr>
                                  <w:rStyle w:val="InternetLink"/>
                                </w:rPr>
                                <w:t xml:space="preserve">16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DAA">
                              <w:r>
                                <w:rPr>
                                  <w:rStyle w:val="InternetLink"/>
                                </w:rPr>
                                <w:t xml:space="preserve">Compensation Discussion and Analysis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SCT">
                              <w:r>
                                <w:rPr>
                                  <w:rStyle w:val="InternetLink"/>
                                </w:rPr>
                                <w:t xml:space="preserve">33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SCT">
                              <w:r>
                                <w:rPr>
                                  <w:rStyle w:val="InternetLink"/>
                                </w:rPr>
                                <w:t xml:space="preserve">Summary Compensation Table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GOPA">
                              <w:r>
                                <w:rPr>
                                  <w:rStyle w:val="InternetLink"/>
                                </w:rPr>
                                <w:t xml:space="preserve">35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GOPA">
                              <w:r>
                                <w:rPr>
                                  <w:rStyle w:val="InternetLink"/>
                                </w:rPr>
                                <w:t xml:space="preserve">Grants of Plan-Based Awards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OEAA">
                              <w:r>
                                <w:rPr>
                                  <w:rStyle w:val="InternetLink"/>
                                </w:rPr>
                                <w:t xml:space="preserve">37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OEAA">
                              <w:r>
                                <w:rPr>
                                  <w:rStyle w:val="InternetLink"/>
                                </w:rPr>
                                <w:t xml:space="preserve">Outstanding Equity Awards at Fiscal Year-End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OEAS">
                              <w:r>
                                <w:rPr>
                                  <w:rStyle w:val="InternetLink"/>
                                </w:rPr>
                                <w:t xml:space="preserve">38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OEAS">
                              <w:r>
                                <w:rPr>
                                  <w:rStyle w:val="InternetLink"/>
                                </w:rPr>
                                <w:t xml:space="preserve">Option Exercises and Stock Vested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BND">
                              <w:r>
                                <w:rPr>
                                  <w:rStyle w:val="InternetLink"/>
                                </w:rPr>
                                <w:t xml:space="preserve">38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BND">
                              <w:r>
                                <w:rPr>
                                  <w:rStyle w:val="InternetLink"/>
                                </w:rPr>
                                <w:t xml:space="preserve">Pension Benefits &amp; Nonqualified Deferred Compensation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VP">
                              <w:r>
                                <w:rPr>
                                  <w:rStyle w:val="InternetLink"/>
                                </w:rPr>
                                <w:t xml:space="preserve">39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VP">
                              <w:r>
                                <w:rPr>
                                  <w:rStyle w:val="InternetLink"/>
                                </w:rPr>
                                <w:t xml:space="preserve">Pay versus Performance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PUT">
                              <w:r>
                                <w:rPr>
                                  <w:rStyle w:val="InternetLink"/>
                                </w:rPr>
                                <w:t xml:space="preserve">42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PUT">
                              <w:r>
                                <w:rPr>
                                  <w:rStyle w:val="InternetLink"/>
                                </w:rPr>
                                <w:t xml:space="preserve">Potential Payments upon Termination or Change in Control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CEOP">
                              <w:r>
                                <w:rPr>
                                  <w:rStyle w:val="InternetLink"/>
                                </w:rPr>
                                <w:t xml:space="preserve">48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CEOP">
                              <w:r>
                                <w:rPr>
                                  <w:rStyle w:val="InternetLink"/>
                                </w:rPr>
                                <w:t xml:space="preserve">Chief Executive Officer Pay Ratio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ECPI">
                              <w:r>
                                <w:rPr>
                                  <w:rStyle w:val="InternetLink"/>
                                  <w:color w:val="002C73"/>
                                </w:rPr>
                                <w:t>49</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ECPI">
                              <w:r>
                                <w:rPr>
                                  <w:rStyle w:val="InternetLink"/>
                                  <w:color w:val="002C73"/>
                                </w:rPr>
                                <w:t>EQUITY COMPENSATION PLAN INFORMATION</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CRAR">
                              <w:r>
                                <w:rPr>
                                  <w:rStyle w:val="InternetLink"/>
                                  <w:color w:val="002C73"/>
                                </w:rPr>
                                <w:t>50</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CRAR">
                              <w:r>
                                <w:rPr>
                                  <w:rStyle w:val="InternetLink"/>
                                  <w:color w:val="002C73"/>
                                </w:rPr>
                                <w:t>CERTAIN RELATIONSHIPS AND RELATED TRANSACTIONS</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PAPF">
                              <w:r>
                                <w:rPr>
                                  <w:rStyle w:val="InternetLink"/>
                                </w:rPr>
                                <w:t xml:space="preserve">50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PAPF">
                              <w:r>
                                <w:rPr>
                                  <w:rStyle w:val="InternetLink"/>
                                </w:rPr>
                                <w:t xml:space="preserve">Policies and Procedures for Related Person Transactions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06" w:type="dxa"/>
                            <w:tcBorders/>
                            <w:tcMar>
                              <w:bottom w:w="0" w:type="dxa"/>
                            </w:tcMar>
                            <w:vAlign w:val="center"/>
                          </w:tcPr>
                          <w:p>
                            <w:pPr>
                              <w:pStyle w:val="TableContents"/>
                              <w:bidi w:val="0"/>
                              <w:spacing w:before="0" w:after="283"/>
                              <w:jc w:val="left"/>
                              <w:rPr/>
                            </w:pPr>
                            <w:hyperlink w:anchor="tRPTW">
                              <w:r>
                                <w:rPr>
                                  <w:rStyle w:val="InternetLink"/>
                                </w:rPr>
                                <w:t xml:space="preserve">50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6" w:type="dxa"/>
                            <w:tcBorders/>
                            <w:tcMar>
                              <w:bottom w:w="0" w:type="dxa"/>
                            </w:tcMar>
                            <w:vAlign w:val="center"/>
                          </w:tcPr>
                          <w:p>
                            <w:pPr>
                              <w:pStyle w:val="TableContents"/>
                              <w:bidi w:val="0"/>
                              <w:spacing w:before="0" w:after="283"/>
                              <w:jc w:val="left"/>
                              <w:rPr/>
                            </w:pPr>
                            <w:hyperlink w:anchor="tRPTW">
                              <w:r>
                                <w:rPr>
                                  <w:rStyle w:val="InternetLink"/>
                                </w:rPr>
                                <w:t xml:space="preserve">Related Party Transactions </w:t>
                              </w:r>
                            </w:hyperlink>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406" w:type="dxa"/>
                            <w:tcBorders>
                              <w:bottom w:val="single" w:sz="2" w:space="0" w:color="BFBFBF"/>
                            </w:tcBorders>
                            <w:vAlign w:val="center"/>
                          </w:tcPr>
                          <w:p>
                            <w:pPr>
                              <w:pStyle w:val="TableContents"/>
                              <w:bidi w:val="0"/>
                              <w:spacing w:before="0" w:after="283"/>
                              <w:jc w:val="left"/>
                              <w:rPr/>
                            </w:pPr>
                            <w:hyperlink w:anchor="tSOOC">
                              <w:r>
                                <w:rPr>
                                  <w:rStyle w:val="InternetLink"/>
                                  <w:color w:val="002C73"/>
                                </w:rPr>
                                <w:t>52</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876" w:type="dxa"/>
                            <w:tcBorders>
                              <w:bottom w:val="single" w:sz="2" w:space="0" w:color="BFBFBF"/>
                            </w:tcBorders>
                            <w:vAlign w:val="center"/>
                          </w:tcPr>
                          <w:p>
                            <w:pPr>
                              <w:pStyle w:val="TableContents"/>
                              <w:bidi w:val="0"/>
                              <w:spacing w:before="0" w:after="283"/>
                              <w:jc w:val="left"/>
                              <w:rPr/>
                            </w:pPr>
                            <w:hyperlink w:anchor="tSOOC">
                              <w:r>
                                <w:rPr>
                                  <w:rStyle w:val="InternetLink"/>
                                  <w:color w:val="002C73"/>
                                </w:rPr>
                                <w:t>SECURITIES OWNERSHIP OF CERTAIN BENEFICIAL OWNERS</w:t>
                              </w:r>
                            </w:hyperlink>
                            <w:r>
                              <w:rPr/>
                              <w:t xml:space="preserve"> </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457200" distR="0" simplePos="0" locked="0" layoutInCell="1" allowOverlap="1" relativeHeight="54">
                <wp:simplePos x="0" y="0"/>
                <wp:positionH relativeFrom="column">
                  <wp:align>left</wp:align>
                </wp:positionH>
                <wp:positionV relativeFrom="line">
                  <wp:posOffset>635</wp:posOffset>
                </wp:positionV>
                <wp:extent cx="2971800" cy="9141460"/>
                <wp:effectExtent l="0" t="0" r="0" b="0"/>
                <wp:wrapSquare wrapText="right"/>
                <wp:docPr id="23" name="Frame10"/>
                <a:graphic xmlns:a="http://schemas.openxmlformats.org/drawingml/2006/main">
                  <a:graphicData uri="http://schemas.microsoft.com/office/word/2010/wordprocessingShape">
                    <wps:wsp>
                      <wps:cNvSpPr txBox="1"/>
                      <wps:spPr>
                        <a:xfrm>
                          <a:off x="0" y="0"/>
                          <a:ext cx="2971800" cy="914146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384"/>
                              <w:gridCol w:w="109"/>
                              <w:gridCol w:w="109"/>
                              <w:gridCol w:w="9324"/>
                              <w:gridCol w:w="155"/>
                            </w:tblGrid>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P1OD">
                                    <w:r>
                                      <w:rPr>
                                        <w:rStyle w:val="InternetLink"/>
                                        <w:color w:val="002C73"/>
                                      </w:rPr>
                                      <w:t>55</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283"/>
                                    <w:jc w:val="left"/>
                                    <w:rPr/>
                                  </w:pPr>
                                  <w:hyperlink w:anchor="tP1OD">
                                    <w:r>
                                      <w:rPr>
                                        <w:rStyle w:val="InternetLink"/>
                                        <w:color w:val="002C73"/>
                                      </w:rPr>
                                      <w:t>PROPOSAL NO. 1 ELECTION OF DIRECTORS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P2RT">
                                    <w:r>
                                      <w:rPr>
                                        <w:rStyle w:val="InternetLink"/>
                                        <w:color w:val="002C73"/>
                                      </w:rPr>
                                      <w:t>56</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0"/>
                                    <w:ind w:left="170" w:right="0" w:hanging="170"/>
                                    <w:jc w:val="left"/>
                                    <w:rPr/>
                                  </w:pPr>
                                  <w:hyperlink w:anchor="tP2RT">
                                    <w:r>
                                      <w:rPr>
                                        <w:rStyle w:val="InternetLink"/>
                                        <w:color w:val="002C73"/>
                                      </w:rPr>
                                      <w:t>PROPOSAL NO. 2 RATIFICATION OF THE APPOINTMENT OF ERNST &amp; YOUNG LLP AS OUR INDEPENDENT AUDITOR</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P3AO">
                                    <w:r>
                                      <w:rPr>
                                        <w:rStyle w:val="InternetLink"/>
                                        <w:color w:val="002C73"/>
                                      </w:rPr>
                                      <w:t>58</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0"/>
                                    <w:ind w:left="170" w:right="0" w:hanging="170"/>
                                    <w:jc w:val="left"/>
                                    <w:rPr/>
                                  </w:pPr>
                                  <w:hyperlink w:anchor="tP3AO">
                                    <w:r>
                                      <w:rPr>
                                        <w:rStyle w:val="InternetLink"/>
                                        <w:color w:val="002C73"/>
                                      </w:rPr>
                                      <w:t>PROPOSAL NO. 3 APPROVAL OF THE 2025 COMPENSATION OF OUR NAMED EXECUTIVE OFFICERS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OMBA">
                                    <w:r>
                                      <w:rPr>
                                        <w:rStyle w:val="InternetLink"/>
                                        <w:color w:val="002C73"/>
                                      </w:rPr>
                                      <w:t>59</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283"/>
                                    <w:jc w:val="left"/>
                                    <w:rPr/>
                                  </w:pPr>
                                  <w:hyperlink w:anchor="tOMBA">
                                    <w:r>
                                      <w:rPr>
                                        <w:rStyle w:val="InternetLink"/>
                                        <w:color w:val="002C73"/>
                                      </w:rPr>
                                      <w:t>OTHER MATTERS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OBAT">
                                    <w:r>
                                      <w:rPr>
                                        <w:rStyle w:val="InternetLink"/>
                                      </w:rPr>
                                      <w:t xml:space="preserve">59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OBAT">
                                    <w:r>
                                      <w:rPr>
                                        <w:rStyle w:val="InternetLink"/>
                                      </w:rPr>
                                      <w:t xml:space="preserve">Other Business at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SPAD">
                                    <w:r>
                                      <w:rPr>
                                        <w:rStyle w:val="InternetLink"/>
                                      </w:rPr>
                                      <w:t xml:space="preserve">59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lineRule="atLeast" w:line="206" w:before="0" w:after="0"/>
                                    <w:ind w:left="170" w:right="0" w:hanging="170"/>
                                    <w:jc w:val="left"/>
                                    <w:rPr/>
                                  </w:pPr>
                                  <w:hyperlink w:anchor="tSPAD">
                                    <w:r>
                                      <w:rPr>
                                        <w:rStyle w:val="InternetLink"/>
                                      </w:rPr>
                                      <w:t xml:space="preserve">Shareholder Proposals and Director Nominations for the 2027 Annual Meeting of Shareholders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SSTS">
                                    <w:r>
                                      <w:rPr>
                                        <w:rStyle w:val="InternetLink"/>
                                      </w:rPr>
                                      <w:t xml:space="preserve">59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SSTS">
                                    <w:r>
                                      <w:rPr>
                                        <w:rStyle w:val="InternetLink"/>
                                      </w:rPr>
                                      <w:t xml:space="preserve">Shareholders Sharing the Same Address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FAQA">
                                    <w:r>
                                      <w:rPr>
                                        <w:rStyle w:val="InternetLink"/>
                                        <w:color w:val="002C73"/>
                                      </w:rPr>
                                      <w:t>60</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283"/>
                                    <w:jc w:val="left"/>
                                    <w:rPr/>
                                  </w:pPr>
                                  <w:hyperlink w:anchor="tFAQA">
                                    <w:r>
                                      <w:rPr>
                                        <w:rStyle w:val="InternetLink"/>
                                        <w:color w:val="002C73"/>
                                      </w:rPr>
                                      <w:t>FREQUENTLY ASKED QUESTIONS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AWW">
                                    <w:r>
                                      <w:rPr>
                                        <w:rStyle w:val="InternetLink"/>
                                      </w:rPr>
                                      <w:t xml:space="preserve">60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AWW">
                                    <w:r>
                                      <w:rPr>
                                        <w:rStyle w:val="InternetLink"/>
                                      </w:rPr>
                                      <w:t xml:space="preserve">Where and when will the Annual Meeting take place?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PAT">
                                    <w:r>
                                      <w:rPr>
                                        <w:rStyle w:val="InternetLink"/>
                                      </w:rPr>
                                      <w:t xml:space="preserve">60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PAT">
                                    <w:r>
                                      <w:rPr>
                                        <w:rStyle w:val="InternetLink"/>
                                      </w:rPr>
                                      <w:t xml:space="preserve">What proposals are to be presented at the Annual Meeting and what are the Board of Directors recommendations?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ET">
                                    <w:r>
                                      <w:rPr>
                                        <w:rStyle w:val="InternetLink"/>
                                      </w:rPr>
                                      <w:t xml:space="preserve">60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IET">
                                    <w:r>
                                      <w:rPr>
                                        <w:rStyle w:val="InternetLink"/>
                                      </w:rPr>
                                      <w:t xml:space="preserve">Who is entitled to vote at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MVD">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MVD">
                                    <w:r>
                                      <w:rPr>
                                        <w:rStyle w:val="InternetLink"/>
                                      </w:rPr>
                                      <w:t xml:space="preserve">How many votes do I have?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TD">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ITD">
                                    <w:r>
                                      <w:rPr>
                                        <w:rStyle w:val="InternetLink"/>
                                      </w:rPr>
                                      <w:t xml:space="preserve">What is the difference between holding shares of common stock as a shareholder of record and as a beneficial owner?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ID">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IID">
                                    <w:r>
                                      <w:rPr>
                                        <w:rStyle w:val="InternetLink"/>
                                      </w:rPr>
                                      <w:t xml:space="preserve">What if I do not vote for some of the items listed on my proxy card or voting instruction card?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OAA">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OAA">
                                    <w:r>
                                      <w:rPr>
                                        <w:rStyle w:val="InternetLink"/>
                                      </w:rPr>
                                      <w:t xml:space="preserve">What options are available to me to vote my shares?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MVM">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MVM">
                                    <w:r>
                                      <w:rPr>
                                        <w:rStyle w:val="InternetLink"/>
                                      </w:rPr>
                                      <w:t xml:space="preserve">How many votes must be present to hold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TV">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ITV">
                                    <w:r>
                                      <w:rPr>
                                        <w:rStyle w:val="InternetLink"/>
                                      </w:rPr>
                                      <w:t xml:space="preserve">What is the vote required to pass each proposal to be presented at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DIM">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DIM">
                                    <w:r>
                                      <w:rPr>
                                        <w:rStyle w:val="InternetLink"/>
                                      </w:rPr>
                                      <w:t xml:space="preserve">What does it mean if I receive more than one set of proxy materials?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CICO">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CICO">
                                    <w:r>
                                      <w:rPr>
                                        <w:rStyle w:val="InternetLink"/>
                                      </w:rPr>
                                      <w:t xml:space="preserve">Can I change or revoke my vote after I return my proxy card or voting instruction card?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CIA">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CIA">
                                    <w:r>
                                      <w:rPr>
                                        <w:rStyle w:val="InternetLink"/>
                                      </w:rPr>
                                      <w:t xml:space="preserve">How can I attend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AP">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lineRule="atLeast" w:line="206" w:before="0" w:after="0"/>
                                    <w:ind w:left="170" w:right="0" w:hanging="170"/>
                                    <w:jc w:val="left"/>
                                    <w:rPr/>
                                  </w:pPr>
                                  <w:hyperlink w:anchor="tWIAP">
                                    <w:r>
                                      <w:rPr>
                                        <w:rStyle w:val="InternetLink"/>
                                      </w:rPr>
                                      <w:t xml:space="preserve">What is a proxy? How do I appoint a proxy and instruct that individual how to vote on my behalf?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DSO">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DSO">
                                    <w:r>
                                      <w:rPr>
                                        <w:rStyle w:val="InternetLink"/>
                                      </w:rPr>
                                      <w:t xml:space="preserve">What does solicitation of proxies mean?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CIA1">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HCIA1">
                                    <w:r>
                                      <w:rPr>
                                        <w:rStyle w:val="InternetLink"/>
                                      </w:rPr>
                                      <w:t xml:space="preserve">How can I access James River Group Holdings, Inc.’s proxy materials and annual report electronically?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DIF">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DIF">
                                    <w:r>
                                      <w:rPr>
                                        <w:rStyle w:val="InternetLink"/>
                                      </w:rPr>
                                      <w:t xml:space="preserve">How do I find out the voting results?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FSPS">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FSPS">
                                    <w:r>
                                      <w:rPr>
                                        <w:rStyle w:val="InternetLink"/>
                                      </w:rPr>
                                      <w:t>Forward-Looking Statements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4pt;height:719.8pt;mso-wrap-distance-left:36pt;mso-wrap-distance-right:0pt;mso-wrap-distance-top:0pt;mso-wrap-distance-bottom:0pt;margin-top:0pt;mso-position-vertical:top;mso-position-vertical-relative:text;margin-left:36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384"/>
                        <w:gridCol w:w="109"/>
                        <w:gridCol w:w="109"/>
                        <w:gridCol w:w="9324"/>
                        <w:gridCol w:w="155"/>
                      </w:tblGrid>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P1OD">
                              <w:r>
                                <w:rPr>
                                  <w:rStyle w:val="InternetLink"/>
                                  <w:color w:val="002C73"/>
                                </w:rPr>
                                <w:t>55</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283"/>
                              <w:jc w:val="left"/>
                              <w:rPr/>
                            </w:pPr>
                            <w:hyperlink w:anchor="tP1OD">
                              <w:r>
                                <w:rPr>
                                  <w:rStyle w:val="InternetLink"/>
                                  <w:color w:val="002C73"/>
                                </w:rPr>
                                <w:t>PROPOSAL NO. 1 ELECTION OF DIRECTORS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P2RT">
                              <w:r>
                                <w:rPr>
                                  <w:rStyle w:val="InternetLink"/>
                                  <w:color w:val="002C73"/>
                                </w:rPr>
                                <w:t>56</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0"/>
                              <w:ind w:left="170" w:right="0" w:hanging="170"/>
                              <w:jc w:val="left"/>
                              <w:rPr/>
                            </w:pPr>
                            <w:hyperlink w:anchor="tP2RT">
                              <w:r>
                                <w:rPr>
                                  <w:rStyle w:val="InternetLink"/>
                                  <w:color w:val="002C73"/>
                                </w:rPr>
                                <w:t>PROPOSAL NO. 2 RATIFICATION OF THE APPOINTMENT OF ERNST &amp; YOUNG LLP AS OUR INDEPENDENT AUDITOR</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P3AO">
                              <w:r>
                                <w:rPr>
                                  <w:rStyle w:val="InternetLink"/>
                                  <w:color w:val="002C73"/>
                                </w:rPr>
                                <w:t>58</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0"/>
                              <w:ind w:left="170" w:right="0" w:hanging="170"/>
                              <w:jc w:val="left"/>
                              <w:rPr/>
                            </w:pPr>
                            <w:hyperlink w:anchor="tP3AO">
                              <w:r>
                                <w:rPr>
                                  <w:rStyle w:val="InternetLink"/>
                                  <w:color w:val="002C73"/>
                                </w:rPr>
                                <w:t>PROPOSAL NO. 3 APPROVAL OF THE 2025 COMPENSATION OF OUR NAMED EXECUTIVE OFFICERS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OMBA">
                              <w:r>
                                <w:rPr>
                                  <w:rStyle w:val="InternetLink"/>
                                  <w:color w:val="002C73"/>
                                </w:rPr>
                                <w:t>59</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283"/>
                              <w:jc w:val="left"/>
                              <w:rPr/>
                            </w:pPr>
                            <w:hyperlink w:anchor="tOMBA">
                              <w:r>
                                <w:rPr>
                                  <w:rStyle w:val="InternetLink"/>
                                  <w:color w:val="002C73"/>
                                </w:rPr>
                                <w:t>OTHER MATTERS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OBAT">
                              <w:r>
                                <w:rPr>
                                  <w:rStyle w:val="InternetLink"/>
                                </w:rPr>
                                <w:t xml:space="preserve">59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OBAT">
                              <w:r>
                                <w:rPr>
                                  <w:rStyle w:val="InternetLink"/>
                                </w:rPr>
                                <w:t xml:space="preserve">Other Business at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SPAD">
                              <w:r>
                                <w:rPr>
                                  <w:rStyle w:val="InternetLink"/>
                                </w:rPr>
                                <w:t xml:space="preserve">59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lineRule="atLeast" w:line="206" w:before="0" w:after="0"/>
                              <w:ind w:left="170" w:right="0" w:hanging="170"/>
                              <w:jc w:val="left"/>
                              <w:rPr/>
                            </w:pPr>
                            <w:hyperlink w:anchor="tSPAD">
                              <w:r>
                                <w:rPr>
                                  <w:rStyle w:val="InternetLink"/>
                                </w:rPr>
                                <w:t xml:space="preserve">Shareholder Proposals and Director Nominations for the 2027 Annual Meeting of Shareholders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SSTS">
                              <w:r>
                                <w:rPr>
                                  <w:rStyle w:val="InternetLink"/>
                                </w:rPr>
                                <w:t xml:space="preserve">59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SSTS">
                              <w:r>
                                <w:rPr>
                                  <w:rStyle w:val="InternetLink"/>
                                </w:rPr>
                                <w:t xml:space="preserve">Shareholders Sharing the Same Address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84" w:type="dxa"/>
                            <w:tcBorders>
                              <w:bottom w:val="single" w:sz="2" w:space="0" w:color="BFBFBF"/>
                            </w:tcBorders>
                            <w:vAlign w:val="center"/>
                          </w:tcPr>
                          <w:p>
                            <w:pPr>
                              <w:pStyle w:val="TableContents"/>
                              <w:bidi w:val="0"/>
                              <w:spacing w:before="0" w:after="283"/>
                              <w:jc w:val="left"/>
                              <w:rPr/>
                            </w:pPr>
                            <w:hyperlink w:anchor="tFAQA">
                              <w:r>
                                <w:rPr>
                                  <w:rStyle w:val="InternetLink"/>
                                  <w:color w:val="002C73"/>
                                </w:rPr>
                                <w:t>60</w:t>
                              </w:r>
                            </w:hyperlink>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9324" w:type="dxa"/>
                            <w:tcBorders>
                              <w:bottom w:val="single" w:sz="2" w:space="0" w:color="BFBFBF"/>
                            </w:tcBorders>
                            <w:vAlign w:val="center"/>
                          </w:tcPr>
                          <w:p>
                            <w:pPr>
                              <w:pStyle w:val="TableContents"/>
                              <w:bidi w:val="0"/>
                              <w:spacing w:before="0" w:after="283"/>
                              <w:jc w:val="left"/>
                              <w:rPr/>
                            </w:pPr>
                            <w:hyperlink w:anchor="tFAQA">
                              <w:r>
                                <w:rPr>
                                  <w:rStyle w:val="InternetLink"/>
                                  <w:color w:val="002C73"/>
                                </w:rPr>
                                <w:t>FREQUENTLY ASKED QUESTIONS</w:t>
                              </w:r>
                            </w:hyperlink>
                            <w:r>
                              <w:rPr/>
                              <w:t xml:space="preserve">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AWW">
                              <w:r>
                                <w:rPr>
                                  <w:rStyle w:val="InternetLink"/>
                                </w:rPr>
                                <w:t xml:space="preserve">60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AWW">
                              <w:r>
                                <w:rPr>
                                  <w:rStyle w:val="InternetLink"/>
                                </w:rPr>
                                <w:t xml:space="preserve">Where and when will the Annual Meeting take place?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PAT">
                              <w:r>
                                <w:rPr>
                                  <w:rStyle w:val="InternetLink"/>
                                </w:rPr>
                                <w:t xml:space="preserve">60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PAT">
                              <w:r>
                                <w:rPr>
                                  <w:rStyle w:val="InternetLink"/>
                                </w:rPr>
                                <w:t xml:space="preserve">What proposals are to be presented at the Annual Meeting and what are the Board of Directors recommendations?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ET">
                              <w:r>
                                <w:rPr>
                                  <w:rStyle w:val="InternetLink"/>
                                </w:rPr>
                                <w:t xml:space="preserve">60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IET">
                              <w:r>
                                <w:rPr>
                                  <w:rStyle w:val="InternetLink"/>
                                </w:rPr>
                                <w:t xml:space="preserve">Who is entitled to vote at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MVD">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MVD">
                              <w:r>
                                <w:rPr>
                                  <w:rStyle w:val="InternetLink"/>
                                </w:rPr>
                                <w:t xml:space="preserve">How many votes do I have?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TD">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ITD">
                              <w:r>
                                <w:rPr>
                                  <w:rStyle w:val="InternetLink"/>
                                </w:rPr>
                                <w:t xml:space="preserve">What is the difference between holding shares of common stock as a shareholder of record and as a beneficial owner?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ID">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IID">
                              <w:r>
                                <w:rPr>
                                  <w:rStyle w:val="InternetLink"/>
                                </w:rPr>
                                <w:t xml:space="preserve">What if I do not vote for some of the items listed on my proxy card or voting instruction card?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OAA">
                              <w:r>
                                <w:rPr>
                                  <w:rStyle w:val="InternetLink"/>
                                </w:rPr>
                                <w:t xml:space="preserve">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OAA">
                              <w:r>
                                <w:rPr>
                                  <w:rStyle w:val="InternetLink"/>
                                </w:rPr>
                                <w:t xml:space="preserve">What options are available to me to vote my shares?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MVM">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MVM">
                              <w:r>
                                <w:rPr>
                                  <w:rStyle w:val="InternetLink"/>
                                </w:rPr>
                                <w:t xml:space="preserve">How many votes must be present to hold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TV">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WITV">
                              <w:r>
                                <w:rPr>
                                  <w:rStyle w:val="InternetLink"/>
                                </w:rPr>
                                <w:t xml:space="preserve">What is the vote required to pass each proposal to be presented at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DIM">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DIM">
                              <w:r>
                                <w:rPr>
                                  <w:rStyle w:val="InternetLink"/>
                                </w:rPr>
                                <w:t xml:space="preserve">What does it mean if I receive more than one set of proxy materials?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CICO">
                              <w:r>
                                <w:rPr>
                                  <w:rStyle w:val="InternetLink"/>
                                </w:rPr>
                                <w:t xml:space="preserve">62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CICO">
                              <w:r>
                                <w:rPr>
                                  <w:rStyle w:val="InternetLink"/>
                                </w:rPr>
                                <w:t xml:space="preserve">Can I change or revoke my vote after I return my proxy card or voting instruction card?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CIA">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CIA">
                              <w:r>
                                <w:rPr>
                                  <w:rStyle w:val="InternetLink"/>
                                </w:rPr>
                                <w:t xml:space="preserve">How can I attend the Annual Meeting?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IAP">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lineRule="atLeast" w:line="206" w:before="0" w:after="0"/>
                              <w:ind w:left="170" w:right="0" w:hanging="170"/>
                              <w:jc w:val="left"/>
                              <w:rPr/>
                            </w:pPr>
                            <w:hyperlink w:anchor="tWIAP">
                              <w:r>
                                <w:rPr>
                                  <w:rStyle w:val="InternetLink"/>
                                </w:rPr>
                                <w:t xml:space="preserve">What is a proxy? How do I appoint a proxy and instruct that individual how to vote on my behalf?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WDSO">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WDSO">
                              <w:r>
                                <w:rPr>
                                  <w:rStyle w:val="InternetLink"/>
                                </w:rPr>
                                <w:t xml:space="preserve">What does solicitation of proxies mean?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CIA1">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0"/>
                              <w:ind w:left="170" w:right="0" w:hanging="170"/>
                              <w:jc w:val="left"/>
                              <w:rPr/>
                            </w:pPr>
                            <w:hyperlink w:anchor="tHCIA1">
                              <w:r>
                                <w:rPr>
                                  <w:rStyle w:val="InternetLink"/>
                                </w:rPr>
                                <w:t xml:space="preserve">How can I access James River Group Holdings, Inc.’s proxy materials and annual report electronically?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HDIF">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HDIF">
                              <w:r>
                                <w:rPr>
                                  <w:rStyle w:val="InternetLink"/>
                                </w:rPr>
                                <w:t xml:space="preserve">How do I find out the voting results?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4" w:type="dxa"/>
                            <w:tcBorders/>
                            <w:tcMar>
                              <w:bottom w:w="0" w:type="dxa"/>
                            </w:tcMar>
                            <w:vAlign w:val="center"/>
                          </w:tcPr>
                          <w:p>
                            <w:pPr>
                              <w:pStyle w:val="TableContents"/>
                              <w:bidi w:val="0"/>
                              <w:spacing w:before="0" w:after="283"/>
                              <w:jc w:val="left"/>
                              <w:rPr/>
                            </w:pPr>
                            <w:hyperlink w:anchor="tFSPS">
                              <w:r>
                                <w:rPr>
                                  <w:rStyle w:val="InternetLink"/>
                                </w:rPr>
                                <w:t xml:space="preserve">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24" w:type="dxa"/>
                            <w:tcBorders/>
                            <w:tcMar>
                              <w:bottom w:w="0" w:type="dxa"/>
                            </w:tcMar>
                            <w:vAlign w:val="center"/>
                          </w:tcPr>
                          <w:p>
                            <w:pPr>
                              <w:pStyle w:val="TableContents"/>
                              <w:bidi w:val="0"/>
                              <w:spacing w:before="0" w:after="283"/>
                              <w:jc w:val="left"/>
                              <w:rPr/>
                            </w:pPr>
                            <w:hyperlink w:anchor="tFSPS">
                              <w:r>
                                <w:rPr>
                                  <w:rStyle w:val="InternetLink"/>
                                </w:rPr>
                                <w:t>Forward-Looking Statements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960" w:before="483" w:after="1114"/>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color w:val="002C73"/>
          <w:spacing w:val="-10"/>
          <w:sz w:val="80"/>
        </w:rPr>
        <w:t>PROXY STATEMENT DATED SEPTEMBER 16, 2026</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960" w:before="200" w:after="283"/>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color w:val="002C73"/>
          <w:spacing w:val="-10"/>
          <w:sz w:val="80"/>
        </w:rPr>
        <w:t>FOR THE ANNUAL MEETING OF SHAREHOLDERS TO BE HELD ON OCTOBER 22, 2026</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220" w:before="4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are providing these proxy materials to you in connection with our 2026 Annual Meeting of Shareholders, which we refer to in this proxy statement as the Annual Meeting. The Annual Meeting will be held at our office located at 6641 West Broad Street, Suite 300, Richmond, Virginia 23230 on Thursday, October 22, 2026, at 8:00 a.m. Eastern time. This proxy statement and our 2025 Annual Report are being made available to our shareholders beginning on or about September 16, 2026. This proxy statement contains important information for you to consider when deciding how to vote on the matters brought before the Annual Meeting. Please read it carefully.</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information regarding voting your shares and other important information regarding the Annual Meeting, please see “Frequently Asked Questions” in this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BODA"/>
      <w:bookmarkEnd w:id="4"/>
      <w:r>
        <w:rPr>
          <w:rFonts w:ascii="calibri;arial;sans-serif" w:hAnsi="calibri;arial;sans-serif"/>
          <w:b w:val="false"/>
          <w:i w:val="false"/>
          <w:caps w:val="false"/>
          <w:smallCaps w:val="false"/>
          <w:color w:val="000000"/>
          <w:sz w:val="16"/>
        </w:rPr>
        <w:t>​</w:t>
      </w:r>
      <w:bookmarkStart w:id="5" w:name="tNFE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960" w:before="48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BOARD OF DIRECTORS AND CORPORATE GOVERNANCE</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Nominees for Election as Directors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nominees for election as directors were recommended to our Board and approved for nomination by the Nominating and Corporate Governance Committee of our Board. Unless otherwise specified in the accompanying proxy, the shares voted on the proxy will be cast in favor of the election of Rajiv Basu, Matthew B. Botein, Joel D. Cavaness, Frank N. D’Orazio, Christine LaSala, and Peter B. Migliorato. Each of the nominees has consented to being named as a nominee in this proxy statement. If, for any reason, any nominee is unable or unwilling to serve, the persons named in the proxy will use their best judgment in selecting and voting for a substitute candidate or our Board of Directors may reduce the size of our Board and eliminate the vacancy. Our Board of Directors, however, has no reason to believe that any of the nominees will be unable or unwilling to be a candidate for election at the time of the Annual Meeting.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identifies the nominees for election as directors at the Annual Meeting and their age as of September 1, 2026.</w:t>
      </w:r>
      <w:r>
        <w:rPr>
          <w:rFonts w:ascii="Arial Narrow;Arial;Helvetica;sans-serif" w:hAnsi="Arial Narrow;Arial;Helvetica;sans-serif"/>
          <w:b w:val="false"/>
          <w:i w:val="false"/>
          <w:caps w:val="false"/>
          <w:smallCaps w:val="false"/>
          <w:color w:val="000000"/>
          <w:spacing w:val="4"/>
          <w:sz w:val="19"/>
        </w:rPr>
        <w:t xml:space="preserve"> </w:t>
      </w:r>
    </w:p>
    <w:tbl>
      <w:tblPr>
        <w:tblW w:w="7925" w:type="dxa"/>
        <w:jc w:val="left"/>
        <w:tblInd w:w="920" w:type="dxa"/>
        <w:tblLayout w:type="fixed"/>
        <w:tblCellMar>
          <w:top w:w="0" w:type="dxa"/>
          <w:left w:w="0" w:type="dxa"/>
          <w:bottom w:w="28" w:type="dxa"/>
          <w:right w:w="0" w:type="dxa"/>
        </w:tblCellMar>
      </w:tblPr>
      <w:tblGrid>
        <w:gridCol w:w="124"/>
        <w:gridCol w:w="1981"/>
        <w:gridCol w:w="109"/>
        <w:gridCol w:w="109"/>
        <w:gridCol w:w="109"/>
        <w:gridCol w:w="676"/>
        <w:gridCol w:w="109"/>
        <w:gridCol w:w="109"/>
        <w:gridCol w:w="109"/>
        <w:gridCol w:w="433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81" w:type="dxa"/>
            <w:tcBorders>
              <w:bottom w:val="single" w:sz="12" w:space="0" w:color="3F3F3F"/>
            </w:tcBorders>
            <w:shd w:fill="F2F2F2" w:val="clear"/>
            <w:tcMar>
              <w:bottom w:w="135" w:type="dxa"/>
            </w:tcMar>
            <w:vAlign w:val="center"/>
          </w:tcPr>
          <w:p>
            <w:pPr>
              <w:pStyle w:val="TableContents"/>
              <w:bidi w:val="0"/>
              <w:spacing w:before="0" w:after="0"/>
              <w:jc w:val="left"/>
              <w:rPr/>
            </w:pPr>
            <w:r>
              <w:rPr/>
              <w:t xml:space="preserve">NAME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676"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AGE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4336"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POSITION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81" w:type="dxa"/>
            <w:tcBorders>
              <w:bottom w:val="single" w:sz="2" w:space="0" w:color="BFBFBF"/>
            </w:tcBorders>
            <w:tcMar>
              <w:bottom w:w="32" w:type="dxa"/>
            </w:tcMar>
            <w:vAlign w:val="center"/>
          </w:tcPr>
          <w:p>
            <w:pPr>
              <w:pStyle w:val="TableContents"/>
              <w:bidi w:val="0"/>
              <w:spacing w:before="0" w:after="283"/>
              <w:jc w:val="left"/>
              <w:rPr/>
            </w:pPr>
            <w:r>
              <w:rPr/>
              <w:t xml:space="preserve">Rajiv Basu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76" w:type="dxa"/>
            <w:tcBorders>
              <w:bottom w:val="single" w:sz="2" w:space="0" w:color="BFBFBF"/>
            </w:tcBorders>
            <w:tcMar>
              <w:bottom w:w="32" w:type="dxa"/>
            </w:tcMar>
            <w:vAlign w:val="center"/>
          </w:tcPr>
          <w:p>
            <w:pPr>
              <w:pStyle w:val="TableContents"/>
              <w:bidi w:val="0"/>
              <w:spacing w:before="0" w:after="0"/>
              <w:jc w:val="center"/>
              <w:rPr/>
            </w:pPr>
            <w:r>
              <w:rPr/>
              <w:t xml:space="preserve">67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336" w:type="dxa"/>
            <w:tcBorders>
              <w:bottom w:val="single" w:sz="2" w:space="0" w:color="BFBFBF"/>
            </w:tcBorders>
            <w:tcMar>
              <w:bottom w:w="32" w:type="dxa"/>
            </w:tcMar>
            <w:vAlign w:val="center"/>
          </w:tcPr>
          <w:p>
            <w:pPr>
              <w:pStyle w:val="TableContents"/>
              <w:bidi w:val="0"/>
              <w:spacing w:before="0" w:after="0"/>
              <w:jc w:val="center"/>
              <w:rPr/>
            </w:pPr>
            <w:r>
              <w:rPr/>
              <w:t xml:space="preserve">Director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81" w:type="dxa"/>
            <w:tcBorders>
              <w:bottom w:val="single" w:sz="2" w:space="0" w:color="BFBFBF"/>
            </w:tcBorders>
            <w:tcMar>
              <w:bottom w:w="32" w:type="dxa"/>
            </w:tcMar>
            <w:vAlign w:val="center"/>
          </w:tcPr>
          <w:p>
            <w:pPr>
              <w:pStyle w:val="TableContents"/>
              <w:bidi w:val="0"/>
              <w:spacing w:before="0" w:after="283"/>
              <w:jc w:val="left"/>
              <w:rPr/>
            </w:pPr>
            <w:r>
              <w:rPr/>
              <w:t xml:space="preserve">Matthew B. Botein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76" w:type="dxa"/>
            <w:tcBorders>
              <w:bottom w:val="single" w:sz="2" w:space="0" w:color="BFBFBF"/>
            </w:tcBorders>
            <w:tcMar>
              <w:bottom w:w="32" w:type="dxa"/>
            </w:tcMar>
            <w:vAlign w:val="center"/>
          </w:tcPr>
          <w:p>
            <w:pPr>
              <w:pStyle w:val="TableContents"/>
              <w:bidi w:val="0"/>
              <w:spacing w:before="0" w:after="0"/>
              <w:jc w:val="center"/>
              <w:rPr/>
            </w:pPr>
            <w:r>
              <w:rPr/>
              <w:t xml:space="preserve">53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336" w:type="dxa"/>
            <w:tcBorders>
              <w:bottom w:val="single" w:sz="2" w:space="0" w:color="BFBFBF"/>
            </w:tcBorders>
            <w:tcMar>
              <w:bottom w:w="32" w:type="dxa"/>
            </w:tcMar>
            <w:vAlign w:val="center"/>
          </w:tcPr>
          <w:p>
            <w:pPr>
              <w:pStyle w:val="TableContents"/>
              <w:bidi w:val="0"/>
              <w:spacing w:before="0" w:after="0"/>
              <w:jc w:val="center"/>
              <w:rPr/>
            </w:pPr>
            <w:r>
              <w:rPr/>
              <w:t xml:space="preserve">Director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81" w:type="dxa"/>
            <w:tcBorders>
              <w:bottom w:val="single" w:sz="2" w:space="0" w:color="BFBFBF"/>
            </w:tcBorders>
            <w:tcMar>
              <w:bottom w:w="32" w:type="dxa"/>
            </w:tcMar>
            <w:vAlign w:val="center"/>
          </w:tcPr>
          <w:p>
            <w:pPr>
              <w:pStyle w:val="TableContents"/>
              <w:bidi w:val="0"/>
              <w:spacing w:before="0" w:after="283"/>
              <w:jc w:val="left"/>
              <w:rPr/>
            </w:pPr>
            <w:r>
              <w:rPr/>
              <w:t xml:space="preserve">Joel D. Cavaness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76" w:type="dxa"/>
            <w:tcBorders>
              <w:bottom w:val="single" w:sz="2" w:space="0" w:color="BFBFBF"/>
            </w:tcBorders>
            <w:tcMar>
              <w:bottom w:w="32" w:type="dxa"/>
            </w:tcMar>
            <w:vAlign w:val="center"/>
          </w:tcPr>
          <w:p>
            <w:pPr>
              <w:pStyle w:val="TableContents"/>
              <w:bidi w:val="0"/>
              <w:spacing w:before="0" w:after="0"/>
              <w:jc w:val="center"/>
              <w:rPr/>
            </w:pPr>
            <w:r>
              <w:rPr/>
              <w:t xml:space="preserve">65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336" w:type="dxa"/>
            <w:tcBorders>
              <w:bottom w:val="single" w:sz="2" w:space="0" w:color="BFBFBF"/>
            </w:tcBorders>
            <w:tcMar>
              <w:bottom w:w="32" w:type="dxa"/>
            </w:tcMar>
            <w:vAlign w:val="center"/>
          </w:tcPr>
          <w:p>
            <w:pPr>
              <w:pStyle w:val="TableContents"/>
              <w:bidi w:val="0"/>
              <w:spacing w:before="0" w:after="0"/>
              <w:jc w:val="center"/>
              <w:rPr/>
            </w:pPr>
            <w:r>
              <w:rPr/>
              <w:t xml:space="preserve">Director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81" w:type="dxa"/>
            <w:tcBorders>
              <w:bottom w:val="single" w:sz="2" w:space="0" w:color="BFBFBF"/>
            </w:tcBorders>
            <w:tcMar>
              <w:bottom w:w="32"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76" w:type="dxa"/>
            <w:tcBorders>
              <w:bottom w:val="single" w:sz="2" w:space="0" w:color="BFBFBF"/>
            </w:tcBorders>
            <w:tcMar>
              <w:bottom w:w="32" w:type="dxa"/>
            </w:tcMar>
            <w:vAlign w:val="center"/>
          </w:tcPr>
          <w:p>
            <w:pPr>
              <w:pStyle w:val="TableContents"/>
              <w:bidi w:val="0"/>
              <w:spacing w:before="0" w:after="0"/>
              <w:jc w:val="center"/>
              <w:rPr/>
            </w:pPr>
            <w:r>
              <w:rPr/>
              <w:t xml:space="preserve">58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336" w:type="dxa"/>
            <w:tcBorders>
              <w:bottom w:val="single" w:sz="2" w:space="0" w:color="BFBFBF"/>
            </w:tcBorders>
            <w:tcMar>
              <w:bottom w:w="32" w:type="dxa"/>
            </w:tcMar>
            <w:vAlign w:val="center"/>
          </w:tcPr>
          <w:p>
            <w:pPr>
              <w:pStyle w:val="TableContents"/>
              <w:bidi w:val="0"/>
              <w:spacing w:before="0" w:after="0"/>
              <w:jc w:val="center"/>
              <w:rPr/>
            </w:pPr>
            <w:r>
              <w:rPr/>
              <w:t xml:space="preserve">Chief Executive Officer and Director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81" w:type="dxa"/>
            <w:tcBorders>
              <w:bottom w:val="single" w:sz="2" w:space="0" w:color="BFBFBF"/>
            </w:tcBorders>
            <w:tcMar>
              <w:bottom w:w="32" w:type="dxa"/>
            </w:tcMar>
            <w:vAlign w:val="center"/>
          </w:tcPr>
          <w:p>
            <w:pPr>
              <w:pStyle w:val="TableContents"/>
              <w:bidi w:val="0"/>
              <w:spacing w:before="0" w:after="283"/>
              <w:jc w:val="left"/>
              <w:rPr/>
            </w:pPr>
            <w:r>
              <w:rPr/>
              <w:t xml:space="preserve">Christine LaSala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76" w:type="dxa"/>
            <w:tcBorders>
              <w:bottom w:val="single" w:sz="2" w:space="0" w:color="BFBFBF"/>
            </w:tcBorders>
            <w:tcMar>
              <w:bottom w:w="32" w:type="dxa"/>
            </w:tcMar>
            <w:vAlign w:val="center"/>
          </w:tcPr>
          <w:p>
            <w:pPr>
              <w:pStyle w:val="TableContents"/>
              <w:bidi w:val="0"/>
              <w:spacing w:before="0" w:after="0"/>
              <w:jc w:val="center"/>
              <w:rPr/>
            </w:pPr>
            <w:r>
              <w:rPr/>
              <w:t xml:space="preserve">75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336" w:type="dxa"/>
            <w:tcBorders>
              <w:bottom w:val="single" w:sz="2" w:space="0" w:color="BFBFBF"/>
            </w:tcBorders>
            <w:tcMar>
              <w:bottom w:w="32" w:type="dxa"/>
            </w:tcMar>
            <w:vAlign w:val="center"/>
          </w:tcPr>
          <w:p>
            <w:pPr>
              <w:pStyle w:val="TableContents"/>
              <w:bidi w:val="0"/>
              <w:spacing w:before="0" w:after="0"/>
              <w:jc w:val="center"/>
              <w:rPr/>
            </w:pPr>
            <w:r>
              <w:rPr/>
              <w:t xml:space="preserve">Director, Non-Executive Chair of the Board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981" w:type="dxa"/>
            <w:tcBorders>
              <w:bottom w:val="single" w:sz="6" w:space="0" w:color="BFBFBF"/>
            </w:tcBorders>
            <w:tcMar>
              <w:bottom w:w="40" w:type="dxa"/>
            </w:tcMar>
            <w:vAlign w:val="center"/>
          </w:tcPr>
          <w:p>
            <w:pPr>
              <w:pStyle w:val="TableContents"/>
              <w:bidi w:val="0"/>
              <w:spacing w:before="0" w:after="283"/>
              <w:jc w:val="left"/>
              <w:rPr/>
            </w:pPr>
            <w:r>
              <w:rPr/>
              <w:t xml:space="preserve">Peter B. Migliorato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676" w:type="dxa"/>
            <w:tcBorders>
              <w:bottom w:val="single" w:sz="6" w:space="0" w:color="BFBFBF"/>
            </w:tcBorders>
            <w:tcMar>
              <w:bottom w:w="40" w:type="dxa"/>
            </w:tcMar>
            <w:vAlign w:val="center"/>
          </w:tcPr>
          <w:p>
            <w:pPr>
              <w:pStyle w:val="TableContents"/>
              <w:bidi w:val="0"/>
              <w:spacing w:before="0" w:after="0"/>
              <w:jc w:val="center"/>
              <w:rPr/>
            </w:pPr>
            <w:r>
              <w:rPr/>
              <w:t xml:space="preserve">67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4336" w:type="dxa"/>
            <w:tcBorders>
              <w:bottom w:val="single" w:sz="6" w:space="0" w:color="BFBFBF"/>
            </w:tcBorders>
            <w:tcMar>
              <w:bottom w:w="40" w:type="dxa"/>
            </w:tcMar>
            <w:vAlign w:val="center"/>
          </w:tcPr>
          <w:p>
            <w:pPr>
              <w:pStyle w:val="TableContents"/>
              <w:bidi w:val="0"/>
              <w:spacing w:before="0" w:after="0"/>
              <w:jc w:val="center"/>
              <w:rPr/>
            </w:pPr>
            <w:r>
              <w:rPr/>
              <w:t>Director</w:t>
            </w:r>
          </w:p>
        </w:tc>
        <w:tc>
          <w:tcPr>
            <w:tcW w:w="154" w:type="dxa"/>
            <w:tcBorders>
              <w:bottom w:val="single" w:sz="6" w:space="0" w:color="BFBFBF"/>
            </w:tcBorders>
            <w:vAlign w:val="center"/>
          </w:tcPr>
          <w:p>
            <w:pPr>
              <w:pStyle w:val="TableContents"/>
              <w:bidi w:val="0"/>
              <w:spacing w:before="0" w:after="283"/>
              <w:jc w:val="left"/>
              <w:rPr/>
            </w:pPr>
            <w:r>
              <w:rPr/>
              <w:t>​</w:t>
            </w:r>
          </w:p>
        </w:tc>
      </w:tr>
    </w:tbl>
    <w:p>
      <w:pPr>
        <w:pStyle w:val="TextBody"/>
        <w:bidi w:val="0"/>
        <w:spacing w:lineRule="atLeast" w:line="220" w:before="105"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The nominees for election as directors will serve until the Company’s 2027 annual meeting of shareholders and until their successors are duly elected and qualified.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1</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2428" w:type="dxa"/>
        <w:jc w:val="left"/>
        <w:tblInd w:w="920" w:type="dxa"/>
        <w:tblLayout w:type="fixed"/>
        <w:tblCellMar>
          <w:top w:w="0" w:type="dxa"/>
          <w:left w:w="0" w:type="dxa"/>
          <w:bottom w:w="28" w:type="dxa"/>
          <w:right w:w="0" w:type="dxa"/>
        </w:tblCellMar>
      </w:tblPr>
      <w:tblGrid>
        <w:gridCol w:w="124"/>
        <w:gridCol w:w="416"/>
        <w:gridCol w:w="109"/>
        <w:gridCol w:w="109"/>
        <w:gridCol w:w="151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16" w:type="dxa"/>
            <w:tcBorders>
              <w:bottom w:val="single" w:sz="12" w:space="0" w:color="3F3F3F"/>
            </w:tcBorders>
            <w:shd w:fill="F2F2F2" w:val="clear"/>
            <w:vAlign w:val="center"/>
          </w:tcPr>
          <w:p>
            <w:pPr>
              <w:pStyle w:val="TableContents"/>
              <w:bidi w:val="0"/>
              <w:spacing w:lineRule="atLeast" w:line="264" w:before="0" w:after="0"/>
              <w:jc w:val="left"/>
              <w:rPr/>
            </w:pPr>
            <w:r>
              <w:rPr/>
              <w:t>RAJIV BASU</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830"/>
        <w:gridCol w:w="109"/>
        <w:gridCol w:w="109"/>
        <w:gridCol w:w="6958"/>
        <w:gridCol w:w="155"/>
      </w:tblGrid>
      <w:tr>
        <w:trPr/>
        <w:tc>
          <w:tcPr>
            <w:tcW w:w="124" w:type="dxa"/>
            <w:tcBorders/>
            <w:vAlign w:val="center"/>
          </w:tcPr>
          <w:p>
            <w:pPr>
              <w:pStyle w:val="TableContents"/>
              <w:bidi w:val="0"/>
              <w:spacing w:before="0" w:after="283"/>
              <w:jc w:val="left"/>
              <w:rPr/>
            </w:pPr>
            <w:r>
              <w:rPr/>
              <w:t>​</w:t>
            </w:r>
          </w:p>
        </w:tc>
        <w:tc>
          <w:tcPr>
            <w:tcW w:w="1830" w:type="dxa"/>
            <w:tcBorders/>
            <w:vAlign w:val="center"/>
          </w:tcPr>
          <w:p>
            <w:pPr>
              <w:pStyle w:val="TableContents"/>
              <w:bidi w:val="0"/>
              <w:spacing w:before="0" w:after="0"/>
              <w:jc w:val="left"/>
              <w:rPr/>
            </w:pPr>
            <w:r>
              <w:rPr/>
              <w:drawing>
                <wp:inline distT="0" distB="0" distL="0" distR="0">
                  <wp:extent cx="1104900" cy="1381125"/>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1104900" cy="1381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58" w:type="dxa"/>
            <w:tcBorders/>
            <w:vAlign w:val="center"/>
          </w:tcPr>
          <w:p>
            <w:pPr>
              <w:pStyle w:val="TableContents"/>
              <w:bidi w:val="0"/>
              <w:spacing w:lineRule="atLeast" w:line="210" w:before="0" w:after="0"/>
              <w:jc w:val="left"/>
              <w:rPr/>
            </w:pPr>
            <w:r>
              <w:rPr/>
              <w:t xml:space="preserve">Rajiv Basu has served on our Board of Directors since June 2026. He retired in May 2021 from Deloitte &amp; Touche LLP and its predecessor firms (collectively, “Deloitte”), where he most recently served as Chief Audit Quality Leader, Southeast Asia. Mr. Basu joined Deloitte in 1981 and served in various leadership roles during his tenure, including as a Senior Client Services Partner from 1994 to 2021. Mr. Basu has served on the board of Assurant, Inc., a NYSE-listed company, since March 2023. He is a Fellow member of the Institute of Chartered Accountants in England and Wales and a New York certified public accountant. Mr. Basu received a Master of Arts in Economics from the Birla Institute of Technology &amp; Science (BITS).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9006" w:type="dxa"/>
            <w:gridSpan w:val="4"/>
            <w:tcBorders>
              <w:bottom w:val="single" w:sz="6" w:space="0" w:color="BFBFBF"/>
            </w:tcBorders>
            <w:tcMar>
              <w:bottom w:w="160" w:type="dxa"/>
            </w:tcMar>
            <w:vAlign w:val="center"/>
          </w:tcPr>
          <w:p>
            <w:pPr>
              <w:pStyle w:val="TableContents"/>
              <w:bidi w:val="0"/>
              <w:spacing w:before="0" w:after="283"/>
              <w:jc w:val="left"/>
              <w:rPr/>
            </w:pPr>
            <w:r>
              <w:rPr/>
              <w:t>We believe Mr. Basu’s qualifications to serve on our Board of Directors include his executive leadership experience at Deloitte, his knowledge of the property and casualty insurance industry, his financial and accounting expertise and his experience as a public company board member.</w:t>
            </w:r>
          </w:p>
        </w:tc>
        <w:tc>
          <w:tcPr>
            <w:tcW w:w="155" w:type="dxa"/>
            <w:tcBorders>
              <w:bottom w:val="single" w:sz="6" w:space="0" w:color="BFBFBF"/>
            </w:tcBorders>
            <w:tcMar>
              <w:bottom w:w="28" w:type="dxa"/>
            </w:tcMar>
            <w:vAlign w:val="center"/>
          </w:tcPr>
          <w:p>
            <w:pPr>
              <w:pStyle w:val="TableContents"/>
              <w:bidi w:val="0"/>
              <w:spacing w:before="0" w:after="283"/>
              <w:jc w:val="left"/>
              <w:rPr/>
            </w:pPr>
            <w:r>
              <w:rPr/>
              <w:t>​</w:t>
            </w:r>
          </w:p>
        </w:tc>
      </w:tr>
    </w:tbl>
    <w:tbl>
      <w:tblPr>
        <w:tblW w:w="3508" w:type="dxa"/>
        <w:jc w:val="left"/>
        <w:tblInd w:w="920" w:type="dxa"/>
        <w:tblLayout w:type="fixed"/>
        <w:tblCellMar>
          <w:top w:w="0" w:type="dxa"/>
          <w:left w:w="0" w:type="dxa"/>
          <w:bottom w:w="28" w:type="dxa"/>
          <w:right w:w="0" w:type="dxa"/>
        </w:tblCellMar>
      </w:tblPr>
      <w:tblGrid>
        <w:gridCol w:w="124"/>
        <w:gridCol w:w="416"/>
        <w:gridCol w:w="109"/>
        <w:gridCol w:w="109"/>
        <w:gridCol w:w="259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596" w:type="dxa"/>
            <w:tcBorders>
              <w:bottom w:val="single" w:sz="12" w:space="0" w:color="3F3F3F"/>
            </w:tcBorders>
            <w:shd w:fill="F2F2F2" w:val="clear"/>
            <w:vAlign w:val="center"/>
          </w:tcPr>
          <w:p>
            <w:pPr>
              <w:pStyle w:val="TableContents"/>
              <w:bidi w:val="0"/>
              <w:spacing w:lineRule="atLeast" w:line="264" w:before="0" w:after="0"/>
              <w:jc w:val="left"/>
              <w:rPr/>
            </w:pPr>
            <w:r>
              <w:rPr/>
              <w:t>MATTHEW B. BOTEIN</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827"/>
        <w:gridCol w:w="109"/>
        <w:gridCol w:w="109"/>
        <w:gridCol w:w="6961"/>
        <w:gridCol w:w="155"/>
      </w:tblGrid>
      <w:tr>
        <w:trPr/>
        <w:tc>
          <w:tcPr>
            <w:tcW w:w="124"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before="0" w:after="0"/>
              <w:jc w:val="left"/>
              <w:rPr/>
            </w:pPr>
            <w:r>
              <w:rPr/>
              <w:drawing>
                <wp:inline distT="0" distB="0" distL="0" distR="0">
                  <wp:extent cx="1104900" cy="1381125"/>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1104900" cy="1381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61" w:type="dxa"/>
            <w:tcBorders/>
            <w:vAlign w:val="center"/>
          </w:tcPr>
          <w:p>
            <w:pPr>
              <w:pStyle w:val="TableContents"/>
              <w:bidi w:val="0"/>
              <w:spacing w:lineRule="atLeast" w:line="210" w:before="0" w:after="0"/>
              <w:jc w:val="left"/>
              <w:rPr/>
            </w:pPr>
            <w:r>
              <w:rPr/>
              <w:t xml:space="preserve">Matthew B. Botein has served on our Board of Directors since January 2023. Mr. Botein is a co-founder of Gallatin Point Capital LLC (“Gallatin Point”), a private investment firm and has served as a Managing Partner of Gallatin Point since 2017. Prior to founding Gallatin Point, Mr. Botein served as co-head and Chief Investment Officer for Alternatives of BlackRock Alternative Investors (“BAI”) from 2009 through 2017 and as an advisor to BAI from 2017 through 2020. Prior to joining BAI, Mr. Botein served as a Managing Director and member of the Management Committee at Highfields Capital Management, a Boston-based private investment partnership. He also served as a member of the private equity departments at The Blackstone Group and Lazard Frères &amp; Co. LLC. Mr. Botein currently serves on the board of directors of Israel Discount Bank of New York, Fortuna Holdings Limited (parent of Lloyd’s insurer Canopius), Bowhead Specialty Holdings (NYSE: BOW), Tower Hill Risk Management, LLC, Trusted Resource Underwriters Exchange (TRUE), Insurance Supermarket, Inc., and Northeast Bancorp (Nasdaq: NBN). Mr. Botein previously served on the board of directors of PennyMac Financial Services (NYSE: PFSI), Aspen Insurance Holdings (NYSE: AHL), CoreLogic Inc. (NYSE: CLGX), First American Corporation (NYSE: FAF), PennyMac Mortgage Investment Trust (NYSE: PMT), F1 Holdings Corp, Pie Carrier Holdings, and Hunt Companies, Inc. Mr. Botein also serves on the board of managers of Beth Israel Lahey (formerly CareGroup/CJP). Mr. Botein received a B.A. (magna cum laude) from Harvard College and a M.B.A (with high distinction) from Harvard Business School, where he was awarded Baker and Loeb scholarships.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9006" w:type="dxa"/>
            <w:gridSpan w:val="4"/>
            <w:tcBorders>
              <w:bottom w:val="single" w:sz="6" w:space="0" w:color="BFBFBF"/>
            </w:tcBorders>
            <w:tcMar>
              <w:bottom w:w="160" w:type="dxa"/>
            </w:tcMar>
            <w:vAlign w:val="center"/>
          </w:tcPr>
          <w:p>
            <w:pPr>
              <w:pStyle w:val="TableContents"/>
              <w:bidi w:val="0"/>
              <w:spacing w:before="0" w:after="283"/>
              <w:jc w:val="left"/>
              <w:rPr/>
            </w:pPr>
            <w:r>
              <w:rPr/>
              <w:t>We believe Mr. Botein’s qualifications to serve on our Board of Directors include his extensive investment management and investment banking experience and knowledge of financial institutions and his experience as a public company board member.</w:t>
            </w:r>
          </w:p>
        </w:tc>
        <w:tc>
          <w:tcPr>
            <w:tcW w:w="155" w:type="dxa"/>
            <w:tcBorders>
              <w:bottom w:val="single" w:sz="6" w:space="0" w:color="BFBFBF"/>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2</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3253" w:type="dxa"/>
        <w:jc w:val="left"/>
        <w:tblInd w:w="920" w:type="dxa"/>
        <w:tblLayout w:type="fixed"/>
        <w:tblCellMar>
          <w:top w:w="0" w:type="dxa"/>
          <w:left w:w="0" w:type="dxa"/>
          <w:bottom w:w="28" w:type="dxa"/>
          <w:right w:w="0" w:type="dxa"/>
        </w:tblCellMar>
      </w:tblPr>
      <w:tblGrid>
        <w:gridCol w:w="124"/>
        <w:gridCol w:w="416"/>
        <w:gridCol w:w="109"/>
        <w:gridCol w:w="109"/>
        <w:gridCol w:w="234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341" w:type="dxa"/>
            <w:tcBorders>
              <w:bottom w:val="single" w:sz="12" w:space="0" w:color="3F3F3F"/>
            </w:tcBorders>
            <w:shd w:fill="F2F2F2" w:val="clear"/>
            <w:vAlign w:val="center"/>
          </w:tcPr>
          <w:p>
            <w:pPr>
              <w:pStyle w:val="TableContents"/>
              <w:bidi w:val="0"/>
              <w:spacing w:lineRule="atLeast" w:line="264" w:before="0" w:after="0"/>
              <w:jc w:val="left"/>
              <w:rPr/>
            </w:pPr>
            <w:r>
              <w:rPr/>
              <w:t>JOEL D. CAVANESS</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828"/>
        <w:gridCol w:w="109"/>
        <w:gridCol w:w="109"/>
        <w:gridCol w:w="6960"/>
        <w:gridCol w:w="155"/>
      </w:tblGrid>
      <w:tr>
        <w:trPr/>
        <w:tc>
          <w:tcPr>
            <w:tcW w:w="124"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0"/>
              <w:jc w:val="left"/>
              <w:rPr/>
            </w:pPr>
            <w:r>
              <w:rPr/>
              <w:drawing>
                <wp:inline distT="0" distB="0" distL="0" distR="0">
                  <wp:extent cx="1104900" cy="1381125"/>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1104900" cy="1381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60" w:type="dxa"/>
            <w:tcBorders/>
            <w:vAlign w:val="center"/>
          </w:tcPr>
          <w:p>
            <w:pPr>
              <w:pStyle w:val="TableContents"/>
              <w:bidi w:val="0"/>
              <w:spacing w:lineRule="atLeast" w:line="226" w:before="0" w:after="0"/>
              <w:jc w:val="left"/>
              <w:rPr/>
            </w:pPr>
            <w:r>
              <w:rPr/>
              <w:t xml:space="preserve">Joel D. Cavaness has served on our Board of Directors since July 2025. He retired in June 2025 from Risk Placement Services, Inc. (“RPS”), a subsidiary of Arthur J. Gallagher &amp; Co. (“Gallagher”), a global insurance brokerage, risk management and consulting firm, where he most recently served as a divisional Chairman. Mr. Cavaness joined Gallagher in 1986 and served in various leadership roles during his tenure, including as President of International Special Risk Services, Inc. from 1996 to 1997, and as Chief Executive Officer, Americas Specialty at Gallagher and Co-Founder and President of RPS from 1997 to 2024. Mr. Cavaness previously worked in underwriting roles at Crum and Forster Insurance Company and other insurance companies. Mr. Cavaness served on the board of directors of the Wholesale &amp; Specialty Insurance Association (“WSIA”) from 2010 to 2022. In 2023, Mr. Cavaness received the prestigious Vincent Donahue/Charles McAlear Industry Award from WSIA for extraordinary contributions to the specialty and surplus lines industry. Mr. Cavaness received a Bachelor of Science in Business Administration from Southeast Missouri State University. He also holds Chartered Property Casualty Underwriter and Associate in Risk Management designations.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9006" w:type="dxa"/>
            <w:gridSpan w:val="4"/>
            <w:tcBorders>
              <w:bottom w:val="single" w:sz="6" w:space="0" w:color="BFBFBF"/>
            </w:tcBorders>
            <w:tcMar>
              <w:bottom w:w="160" w:type="dxa"/>
            </w:tcMar>
            <w:vAlign w:val="center"/>
          </w:tcPr>
          <w:p>
            <w:pPr>
              <w:pStyle w:val="TableContents"/>
              <w:bidi w:val="0"/>
              <w:spacing w:before="0" w:after="283"/>
              <w:jc w:val="left"/>
              <w:rPr/>
            </w:pPr>
            <w:r>
              <w:rPr/>
              <w:t>We believe Mr. Cavaness’s qualifications to serve on our Board of Directors include his executive leadership experience at Gallagher and his deep knowledge of the excess and surplus lines and wholesale marketplace within the property and casualty insurance industry.</w:t>
            </w:r>
          </w:p>
        </w:tc>
        <w:tc>
          <w:tcPr>
            <w:tcW w:w="155" w:type="dxa"/>
            <w:tcBorders>
              <w:bottom w:val="single" w:sz="6" w:space="0" w:color="BFBFBF"/>
            </w:tcBorders>
            <w:tcMar>
              <w:bottom w:w="28" w:type="dxa"/>
            </w:tcMar>
            <w:vAlign w:val="center"/>
          </w:tcPr>
          <w:p>
            <w:pPr>
              <w:pStyle w:val="TableContents"/>
              <w:bidi w:val="0"/>
              <w:spacing w:before="0" w:after="283"/>
              <w:jc w:val="left"/>
              <w:rPr/>
            </w:pPr>
            <w:r>
              <w:rPr/>
              <w:t>​</w:t>
            </w:r>
          </w:p>
        </w:tc>
      </w:tr>
    </w:tbl>
    <w:tbl>
      <w:tblPr>
        <w:tblW w:w="3403" w:type="dxa"/>
        <w:jc w:val="left"/>
        <w:tblInd w:w="920" w:type="dxa"/>
        <w:tblLayout w:type="fixed"/>
        <w:tblCellMar>
          <w:top w:w="0" w:type="dxa"/>
          <w:left w:w="0" w:type="dxa"/>
          <w:bottom w:w="28" w:type="dxa"/>
          <w:right w:w="0" w:type="dxa"/>
        </w:tblCellMar>
      </w:tblPr>
      <w:tblGrid>
        <w:gridCol w:w="124"/>
        <w:gridCol w:w="416"/>
        <w:gridCol w:w="109"/>
        <w:gridCol w:w="109"/>
        <w:gridCol w:w="249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491" w:type="dxa"/>
            <w:tcBorders>
              <w:bottom w:val="single" w:sz="12" w:space="0" w:color="3F3F3F"/>
            </w:tcBorders>
            <w:shd w:fill="F2F2F2" w:val="clear"/>
            <w:vAlign w:val="center"/>
          </w:tcPr>
          <w:p>
            <w:pPr>
              <w:pStyle w:val="TableContents"/>
              <w:bidi w:val="0"/>
              <w:spacing w:lineRule="atLeast" w:line="264" w:before="0" w:after="0"/>
              <w:jc w:val="left"/>
              <w:rPr/>
            </w:pPr>
            <w:r>
              <w:rPr/>
              <w:t>FRANK N. D’ORAZIO</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828"/>
        <w:gridCol w:w="109"/>
        <w:gridCol w:w="109"/>
        <w:gridCol w:w="6960"/>
        <w:gridCol w:w="155"/>
      </w:tblGrid>
      <w:tr>
        <w:trPr/>
        <w:tc>
          <w:tcPr>
            <w:tcW w:w="124"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0"/>
              <w:jc w:val="left"/>
              <w:rPr/>
            </w:pPr>
            <w:r>
              <w:rPr/>
              <w:drawing>
                <wp:inline distT="0" distB="0" distL="0" distR="0">
                  <wp:extent cx="1104900" cy="1381125"/>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1104900" cy="1381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60" w:type="dxa"/>
            <w:tcBorders/>
            <w:vAlign w:val="center"/>
          </w:tcPr>
          <w:p>
            <w:pPr>
              <w:pStyle w:val="TableContents"/>
              <w:bidi w:val="0"/>
              <w:spacing w:lineRule="atLeast" w:line="226" w:before="0" w:after="0"/>
              <w:jc w:val="left"/>
              <w:rPr/>
            </w:pPr>
            <w:r>
              <w:rPr/>
              <w:t xml:space="preserve">Frank N. D’Orazio has served as Chief Executive Officer of the Company and James River Group, Inc. since November 2020, and as a member of our Board of Directors. Mr. D’Orazio formerly served as Corporate Chief Operating Officer and Chief of Staff of Allied World Assurance Company Holdings, Ltd. (“Allied World”), a global provider of property, casualty and specialty insurance and reinsurance, from March 2019 through January 2020. Prior to that, Mr. D’Orazio served as President, Underwriting and Global Risk of Allied World from December 2014 through February 2019. From September 2009 to December 2014, Mr. D’Orazio served as the President — Bermuda and International Insurance of Allied World Ltd. From June 2003, when Mr. D’Orazio joined Allied World, through September 2009, Mr. D’Orazio held leadership roles with increasing responsibility in the company’s general casualty business and in underwriting. Before joining Allied World, Mr. D’Orazio worked for the insurance market arm of Munich-American Re-Insurance from August 1994 to May 2003, where he held a succession of underwriting and management positions. Prior to that Mr. D’Orazio held various underwriting positions in the excess casualty division of the Chubb Group of Insurance Companies from June 1990 to July 1994. Mr. D’Orazio received a B.A. from Fairfield University.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9006" w:type="dxa"/>
            <w:gridSpan w:val="4"/>
            <w:tcBorders>
              <w:bottom w:val="single" w:sz="6" w:space="0" w:color="BFBFBF"/>
            </w:tcBorders>
            <w:tcMar>
              <w:bottom w:w="160" w:type="dxa"/>
            </w:tcMar>
            <w:vAlign w:val="center"/>
          </w:tcPr>
          <w:p>
            <w:pPr>
              <w:pStyle w:val="TableContents"/>
              <w:bidi w:val="0"/>
              <w:spacing w:before="0" w:after="283"/>
              <w:jc w:val="left"/>
              <w:rPr/>
            </w:pPr>
            <w:r>
              <w:rPr/>
              <w:t>We believe Mr. D’Orazio’s qualifications to serve on our Board of Directors include his extensive experience as an executive officer in the insurance industry and significant insurance, underwriting and enterprise risk management knowledge, as well as his extensive knowledge of the Company’s day-to-day operations based upon his service as our Chief Executive Officer.</w:t>
            </w:r>
          </w:p>
        </w:tc>
        <w:tc>
          <w:tcPr>
            <w:tcW w:w="155" w:type="dxa"/>
            <w:tcBorders>
              <w:bottom w:val="single" w:sz="6" w:space="0" w:color="BFBFBF"/>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3</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DIIN"/>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3328" w:type="dxa"/>
        <w:jc w:val="left"/>
        <w:tblInd w:w="920" w:type="dxa"/>
        <w:tblLayout w:type="fixed"/>
        <w:tblCellMar>
          <w:top w:w="0" w:type="dxa"/>
          <w:left w:w="0" w:type="dxa"/>
          <w:bottom w:w="28" w:type="dxa"/>
          <w:right w:w="0" w:type="dxa"/>
        </w:tblCellMar>
      </w:tblPr>
      <w:tblGrid>
        <w:gridCol w:w="124"/>
        <w:gridCol w:w="416"/>
        <w:gridCol w:w="109"/>
        <w:gridCol w:w="109"/>
        <w:gridCol w:w="241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416" w:type="dxa"/>
            <w:tcBorders>
              <w:bottom w:val="single" w:sz="12" w:space="0" w:color="3F3F3F"/>
            </w:tcBorders>
            <w:shd w:fill="F2F2F2" w:val="clear"/>
            <w:vAlign w:val="center"/>
          </w:tcPr>
          <w:p>
            <w:pPr>
              <w:pStyle w:val="TableContents"/>
              <w:bidi w:val="0"/>
              <w:spacing w:lineRule="atLeast" w:line="264" w:before="0" w:after="0"/>
              <w:jc w:val="left"/>
              <w:rPr/>
            </w:pPr>
            <w:r>
              <w:rPr/>
              <w:t>CHRISTINE LASALA</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828"/>
        <w:gridCol w:w="109"/>
        <w:gridCol w:w="109"/>
        <w:gridCol w:w="6960"/>
        <w:gridCol w:w="155"/>
      </w:tblGrid>
      <w:tr>
        <w:trPr/>
        <w:tc>
          <w:tcPr>
            <w:tcW w:w="124"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0"/>
              <w:jc w:val="left"/>
              <w:rPr/>
            </w:pPr>
            <w:r>
              <w:rPr/>
              <w:drawing>
                <wp:inline distT="0" distB="0" distL="0" distR="0">
                  <wp:extent cx="1104900" cy="1381125"/>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1104900" cy="1381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60" w:type="dxa"/>
            <w:tcBorders/>
            <w:vAlign w:val="center"/>
          </w:tcPr>
          <w:p>
            <w:pPr>
              <w:pStyle w:val="TableContents"/>
              <w:bidi w:val="0"/>
              <w:spacing w:lineRule="atLeast" w:line="226" w:before="0" w:after="0"/>
              <w:jc w:val="left"/>
              <w:rPr/>
            </w:pPr>
            <w:r>
              <w:rPr/>
              <w:t xml:space="preserve">Christine LaSala has served on our Board of Directors since July 2024 and as Non-Executive Chair of the Board since February 2025. She retired as Chair of Willis Towers Watson North America Inc. (“WTW”) in 2016. Prior to joining Willis in early 2014, Ms. LaSala served for ten years as the President and Chief Executive Officer of the World Trade Center Captive Insurance Company (“WTC Captive”), a U.S. government-funded, not-for-profit corporation providing liability insurance to the City of New York and over 100 private contractors. Prior to her service at WTC Captive, Ms. LaSala served in various leadership roles during her twenty-five year tenure at Johnson &amp; Higgins (an insurance brokerage firm acquired by Marsh &amp; McLennan), including serving as the firm’s only woman partner and President of Johnson &amp; Higgins New York. Ms. LaSala has served on the board of Sedgwick, a leading provider of claims management, loss adjusting and technology-enabled risk, benefits and business solutions, since October 2021. She served on the board of directors of Beazley plc for eight years, including in a variety of board leadership roles such as Senior Independent Director and Interim Chair, prior to stepping down in April 2024. She also served on the board of directors of FCC Services Captive Insurance Company from January 2020 to July 2022. Ms. LaSala received a Bachelor of Arts in Philosophy from the College of New Rochelle.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9006" w:type="dxa"/>
            <w:gridSpan w:val="4"/>
            <w:tcBorders>
              <w:bottom w:val="single" w:sz="6" w:space="0" w:color="BFBFBF"/>
            </w:tcBorders>
            <w:tcMar>
              <w:bottom w:w="160" w:type="dxa"/>
            </w:tcMar>
            <w:vAlign w:val="center"/>
          </w:tcPr>
          <w:p>
            <w:pPr>
              <w:pStyle w:val="TableContents"/>
              <w:bidi w:val="0"/>
              <w:spacing w:before="0" w:after="283"/>
              <w:jc w:val="left"/>
              <w:rPr/>
            </w:pPr>
            <w:r>
              <w:rPr/>
              <w:t>We believe Ms. LaSala’s qualifications to serve on our Board of Directors include her executive leadership experience at WTW and WTC Captive, her knowledge of the property and casualty insurance industry and her experience as a board member of large companies in the insurance industry.</w:t>
            </w:r>
          </w:p>
        </w:tc>
        <w:tc>
          <w:tcPr>
            <w:tcW w:w="155" w:type="dxa"/>
            <w:tcBorders>
              <w:bottom w:val="single" w:sz="6" w:space="0" w:color="BFBFBF"/>
            </w:tcBorders>
            <w:tcMar>
              <w:bottom w:w="28" w:type="dxa"/>
            </w:tcMar>
            <w:vAlign w:val="center"/>
          </w:tcPr>
          <w:p>
            <w:pPr>
              <w:pStyle w:val="TableContents"/>
              <w:bidi w:val="0"/>
              <w:spacing w:before="0" w:after="283"/>
              <w:jc w:val="left"/>
              <w:rPr/>
            </w:pPr>
            <w:r>
              <w:rPr/>
              <w:t>​</w:t>
            </w:r>
          </w:p>
        </w:tc>
      </w:tr>
    </w:tbl>
    <w:tbl>
      <w:tblPr>
        <w:tblW w:w="3658" w:type="dxa"/>
        <w:jc w:val="left"/>
        <w:tblInd w:w="920" w:type="dxa"/>
        <w:tblLayout w:type="fixed"/>
        <w:tblCellMar>
          <w:top w:w="0" w:type="dxa"/>
          <w:left w:w="0" w:type="dxa"/>
          <w:bottom w:w="28" w:type="dxa"/>
          <w:right w:w="0" w:type="dxa"/>
        </w:tblCellMar>
      </w:tblPr>
      <w:tblGrid>
        <w:gridCol w:w="124"/>
        <w:gridCol w:w="416"/>
        <w:gridCol w:w="109"/>
        <w:gridCol w:w="109"/>
        <w:gridCol w:w="274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746" w:type="dxa"/>
            <w:tcBorders>
              <w:bottom w:val="single" w:sz="12" w:space="0" w:color="3F3F3F"/>
            </w:tcBorders>
            <w:shd w:fill="F2F2F2" w:val="clear"/>
            <w:vAlign w:val="center"/>
          </w:tcPr>
          <w:p>
            <w:pPr>
              <w:pStyle w:val="TableContents"/>
              <w:bidi w:val="0"/>
              <w:spacing w:lineRule="atLeast" w:line="264" w:before="0" w:after="0"/>
              <w:jc w:val="left"/>
              <w:rPr/>
            </w:pPr>
            <w:r>
              <w:rPr/>
              <w:t>PETER B. MIGLIORATO</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0" w:type="dxa"/>
          <w:right w:w="0" w:type="dxa"/>
        </w:tblCellMar>
      </w:tblPr>
      <w:tblGrid>
        <w:gridCol w:w="124"/>
        <w:gridCol w:w="1827"/>
        <w:gridCol w:w="109"/>
        <w:gridCol w:w="109"/>
        <w:gridCol w:w="6961"/>
        <w:gridCol w:w="155"/>
      </w:tblGrid>
      <w:tr>
        <w:trPr/>
        <w:tc>
          <w:tcPr>
            <w:tcW w:w="124"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before="0" w:after="0"/>
              <w:jc w:val="left"/>
              <w:rPr/>
            </w:pPr>
            <w:r>
              <w:rPr/>
              <w:drawing>
                <wp:inline distT="0" distB="0" distL="0" distR="0">
                  <wp:extent cx="1104900" cy="1381125"/>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1104900" cy="1381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61" w:type="dxa"/>
            <w:tcBorders/>
            <w:vAlign w:val="center"/>
          </w:tcPr>
          <w:p>
            <w:pPr>
              <w:pStyle w:val="TableContents"/>
              <w:bidi w:val="0"/>
              <w:spacing w:lineRule="atLeast" w:line="210" w:before="0" w:after="0"/>
              <w:jc w:val="left"/>
              <w:rPr/>
            </w:pPr>
            <w:r>
              <w:rPr/>
              <w:t xml:space="preserve">Peter B. Migliorato has served on our Board of Directors since October 2022. He retired in 2021 as a partner of Deloitte Consulting (“Deloitte”), where he most recently served as Lead Client Service Partner to insurance clients. Mr. Migliorato also served as the North American Insurance Consulting practice leader with Deloitte in the property &amp; casualty, life &amp; retirement and employee benefits sectors. Mr. Migliorato joined Deloitte in 2001 and served in various leadership roles during his twenty-year tenure. Before joining Deloitte, Mr. Migliorato served as an equity partner at Emergence Consulting and C-Change Consulting, two start-up strategy consultancies, from 1998 to 2001 and as Senior Vice President, Marketing and Business Development at Marketing Technologies International, a data sciences firm, from 1997 to 1998. Prior to that, he led the Insurance Practice, served clients across multiple industries, and was Chief of Staff to the Chief Executive Officer of Gemini Consulting, a global management consulting firm, from 1985 to 1997. Mr. Migliorato serves as an advisory board member to three early stage, privately held AI technology companies: Machine Cover, Inc., an insurance technology company, since June 2021; Owl.co, a Canadian based insurance technology organization providing AI guided claim insights, since April 2023; and Aniline, a U.S. based AI data sciences company, since January 2024. He served on the board of directors of State Automobile Mutual Insurance Company, the mutual holding company parent of State Auto Financial Corporation (“State Auto”) from March 2021 until State Auto was acquired by Liberty Mutual Holding Company Inc. in March 2022; and as an advisory board member to Safekeep, Inc., an insurance technology company, from June 2021 until its acquisition by CCCIS in February 2022. Mr. Migliorato received a Bachelor of Arts with dual majors in History and Geology from Oberlin College, where he was also a member of the Phi Beta Kappa academic honor society.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9006" w:type="dxa"/>
            <w:gridSpan w:val="4"/>
            <w:tcBorders>
              <w:bottom w:val="single" w:sz="6" w:space="0" w:color="BFBFBF"/>
            </w:tcBorders>
            <w:tcMar>
              <w:bottom w:w="160" w:type="dxa"/>
            </w:tcMar>
            <w:vAlign w:val="center"/>
          </w:tcPr>
          <w:p>
            <w:pPr>
              <w:pStyle w:val="TableContents"/>
              <w:bidi w:val="0"/>
              <w:spacing w:before="0" w:after="283"/>
              <w:jc w:val="left"/>
              <w:rPr/>
            </w:pPr>
            <w:r>
              <w:rPr/>
              <w:t>We believe Mr. Migliorato’s qualifications to serve on our Board of Directors include his extensive experience at Deloitte advising insurance companies on implementation of growth strategies, executing mergers and acquisitions and implementing technology and data platforms, his knowledge of the property and casualty insurance industry and his experience as an advisory board member to three insurance technology companies.</w:t>
            </w:r>
          </w:p>
        </w:tc>
        <w:tc>
          <w:tcPr>
            <w:tcW w:w="155" w:type="dxa"/>
            <w:tcBorders>
              <w:bottom w:val="single" w:sz="6" w:space="0" w:color="BFBFBF"/>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12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There are no family relationships among any of our directors or executive officers.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Director Independence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Board has reviewed the independence of our directors using the Nasdaq Stock Market independence standards. Based on this review, we have determined that Messrs. Basu, Botein, Cavaness, and Migliorato, Ms. LaSala, and Thomas L. Brown, a current director who is not standing for re-election, are independent. In making its independence determination, the Board considered the current and prior relationships with the Company of Gallatin Point, including the transactions described in the section titled “Certain Relationships and Related Transactions”.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4</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DNDR"/>
      <w:bookmarkEnd w:id="7"/>
      <w:r>
        <w:rPr>
          <w:rFonts w:ascii="calibri;arial;sans-serif" w:hAnsi="calibri;arial;sans-serif"/>
          <w:b w:val="false"/>
          <w:i w:val="false"/>
          <w:caps w:val="false"/>
          <w:smallCaps w:val="false"/>
          <w:color w:val="000000"/>
          <w:sz w:val="16"/>
        </w:rPr>
        <w:t>​</w:t>
      </w:r>
      <w:bookmarkStart w:id="8" w:name="tBOST"/>
      <w:bookmarkEnd w:id="8"/>
      <w:r>
        <w:rPr>
          <w:rFonts w:ascii="calibri;arial;sans-serif" w:hAnsi="calibri;arial;sans-serif"/>
          <w:b w:val="false"/>
          <w:i w:val="false"/>
          <w:caps w:val="false"/>
          <w:smallCaps w:val="false"/>
          <w:color w:val="000000"/>
          <w:sz w:val="16"/>
        </w:rPr>
        <w:t>​</w:t>
      </w:r>
      <w:bookmarkStart w:id="9" w:name="tBS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Director Nomination Designation Right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February 24, 2022, we entered into an investment agreement (the “Investment Agreement”) with GPC Partners Investments (Thames) LP (“GPC Thames”), an affiliate of Gallatin Point Capital LLC, relating to the issuance and sale by the Company to GPC Thames of 150,000 Series A Perpetual Cumulative Convertible Preferred Shares, par value $0.00125 per share (“Series A Preferred Shares”), for an aggregate purchase price of  $150 million, or $1,000 per share. Pursuant to the Investment Agreement, GPC Thames is entitled to designate one individual for nomination to our Board of Directors, as more fully described under “Certain Relationships and Related Transactions”. Pursuant to such right, GPC Thames designated Mr. Botein for nomination for election as a director at the Annual Meeting.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Board Structure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Ms. LaSala has served as our Non-Executive Chair since February 2025 and on our Board of Directors since July 2024. The Board believes that Ms. LaSala’s service as Chair is beneficial based upon her significant prior experience as a director of large companies in the insurance industry, including serving as Interim Chair of Beazley plc.</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Board Skills Disclosure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sets forth certain skills of our directors following the Annual Meeting (assuming the re-election of all nominees), which we believe benefits the Board.</w:t>
      </w:r>
      <w:r>
        <w:rPr>
          <w:rFonts w:ascii="Arial Narrow;Arial;Helvetica;sans-serif" w:hAnsi="Arial Narrow;Arial;Helvetica;sans-serif"/>
          <w:b w:val="false"/>
          <w:i w:val="false"/>
          <w:caps w:val="false"/>
          <w:smallCaps w:val="false"/>
          <w:color w:val="000000"/>
          <w:spacing w:val="4"/>
          <w:sz w:val="19"/>
        </w:rPr>
        <w:t xml:space="preserve"> </w:t>
      </w:r>
    </w:p>
    <w:tbl>
      <w:tblPr>
        <w:tblW w:w="13255" w:type="dxa"/>
        <w:jc w:val="left"/>
        <w:tblInd w:w="920" w:type="dxa"/>
        <w:tblLayout w:type="fixed"/>
        <w:tblCellMar>
          <w:top w:w="0" w:type="dxa"/>
          <w:left w:w="0" w:type="dxa"/>
          <w:bottom w:w="28" w:type="dxa"/>
          <w:right w:w="0" w:type="dxa"/>
        </w:tblCellMar>
      </w:tblPr>
      <w:tblGrid>
        <w:gridCol w:w="124"/>
        <w:gridCol w:w="1336"/>
        <w:gridCol w:w="109"/>
        <w:gridCol w:w="109"/>
        <w:gridCol w:w="109"/>
        <w:gridCol w:w="796"/>
        <w:gridCol w:w="109"/>
        <w:gridCol w:w="109"/>
        <w:gridCol w:w="109"/>
        <w:gridCol w:w="1351"/>
        <w:gridCol w:w="109"/>
        <w:gridCol w:w="109"/>
        <w:gridCol w:w="109"/>
        <w:gridCol w:w="1411"/>
        <w:gridCol w:w="109"/>
        <w:gridCol w:w="109"/>
        <w:gridCol w:w="109"/>
        <w:gridCol w:w="1291"/>
        <w:gridCol w:w="109"/>
        <w:gridCol w:w="109"/>
        <w:gridCol w:w="109"/>
        <w:gridCol w:w="1381"/>
        <w:gridCol w:w="109"/>
        <w:gridCol w:w="109"/>
        <w:gridCol w:w="109"/>
        <w:gridCol w:w="1651"/>
        <w:gridCol w:w="109"/>
        <w:gridCol w:w="109"/>
        <w:gridCol w:w="109"/>
        <w:gridCol w:w="147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336" w:type="dxa"/>
            <w:tcBorders>
              <w:bottom w:val="single" w:sz="12" w:space="0" w:color="3F3F3F"/>
            </w:tcBorders>
            <w:shd w:fill="F2F2F2" w:val="clear"/>
            <w:tcMar>
              <w:bottom w:w="130" w:type="dxa"/>
            </w:tcM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796" w:type="dxa"/>
            <w:tcBorders>
              <w:bottom w:val="single" w:sz="12" w:space="0" w:color="3F3F3F"/>
            </w:tcBorders>
            <w:shd w:fill="F2F2F2" w:val="clear"/>
            <w:tcMar>
              <w:bottom w:w="130" w:type="dxa"/>
            </w:tcMar>
            <w:vAlign w:val="center"/>
          </w:tcPr>
          <w:p>
            <w:pPr>
              <w:pStyle w:val="TableContents"/>
              <w:bidi w:val="0"/>
              <w:spacing w:before="0" w:after="0"/>
              <w:jc w:val="center"/>
              <w:rPr/>
            </w:pPr>
            <w:r>
              <w:rPr/>
              <w:t xml:space="preserve">RAJIV </w:t>
              <w:br/>
              <w:t xml:space="preserve">BASU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51" w:type="dxa"/>
            <w:tcBorders>
              <w:bottom w:val="single" w:sz="12" w:space="0" w:color="3F3F3F"/>
            </w:tcBorders>
            <w:shd w:fill="F2F2F2" w:val="clear"/>
            <w:tcMar>
              <w:bottom w:w="130" w:type="dxa"/>
            </w:tcMar>
            <w:vAlign w:val="center"/>
          </w:tcPr>
          <w:p>
            <w:pPr>
              <w:pStyle w:val="TableContents"/>
              <w:bidi w:val="0"/>
              <w:spacing w:before="0" w:after="0"/>
              <w:jc w:val="center"/>
              <w:rPr/>
            </w:pPr>
            <w:r>
              <w:rPr/>
              <w:t>MATTHEW B.</w:t>
              <w:br/>
              <w:t xml:space="preserve">BOTEIN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tcBorders>
              <w:bottom w:val="single" w:sz="12" w:space="0" w:color="3F3F3F"/>
            </w:tcBorders>
            <w:shd w:fill="F2F2F2" w:val="clear"/>
            <w:tcMar>
              <w:bottom w:w="130" w:type="dxa"/>
            </w:tcMar>
            <w:vAlign w:val="center"/>
          </w:tcPr>
          <w:p>
            <w:pPr>
              <w:pStyle w:val="TableContents"/>
              <w:bidi w:val="0"/>
              <w:spacing w:before="0" w:after="0"/>
              <w:jc w:val="center"/>
              <w:rPr/>
            </w:pPr>
            <w:r>
              <w:rPr/>
              <w:t>JOEL D.</w:t>
              <w:br/>
              <w:t xml:space="preserve">CAVANESS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91" w:type="dxa"/>
            <w:tcBorders>
              <w:bottom w:val="single" w:sz="12" w:space="0" w:color="3F3F3F"/>
            </w:tcBorders>
            <w:shd w:fill="F2F2F2" w:val="clear"/>
            <w:tcMar>
              <w:bottom w:w="130" w:type="dxa"/>
            </w:tcMar>
            <w:vAlign w:val="center"/>
          </w:tcPr>
          <w:p>
            <w:pPr>
              <w:pStyle w:val="TableContents"/>
              <w:bidi w:val="0"/>
              <w:spacing w:before="0" w:after="0"/>
              <w:jc w:val="center"/>
              <w:rPr/>
            </w:pPr>
            <w:r>
              <w:rPr/>
              <w:t>FRANK N.</w:t>
              <w:br/>
              <w:t xml:space="preserve">D’ORAZIO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81" w:type="dxa"/>
            <w:tcBorders>
              <w:bottom w:val="single" w:sz="12" w:space="0" w:color="3F3F3F"/>
            </w:tcBorders>
            <w:shd w:fill="F2F2F2" w:val="clear"/>
            <w:tcMar>
              <w:bottom w:w="130" w:type="dxa"/>
            </w:tcMar>
            <w:vAlign w:val="center"/>
          </w:tcPr>
          <w:p>
            <w:pPr>
              <w:pStyle w:val="TableContents"/>
              <w:bidi w:val="0"/>
              <w:spacing w:before="0" w:after="0"/>
              <w:jc w:val="center"/>
              <w:rPr/>
            </w:pPr>
            <w:r>
              <w:rPr/>
              <w:t>CHRISTINE</w:t>
              <w:br/>
              <w:t xml:space="preserve">LASALA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51" w:type="dxa"/>
            <w:tcBorders>
              <w:bottom w:val="single" w:sz="12" w:space="0" w:color="3F3F3F"/>
            </w:tcBorders>
            <w:shd w:fill="F2F2F2" w:val="clear"/>
            <w:tcMar>
              <w:bottom w:w="130" w:type="dxa"/>
            </w:tcMar>
            <w:vAlign w:val="center"/>
          </w:tcPr>
          <w:p>
            <w:pPr>
              <w:pStyle w:val="TableContents"/>
              <w:bidi w:val="0"/>
              <w:spacing w:before="0" w:after="0"/>
              <w:jc w:val="center"/>
              <w:rPr/>
            </w:pPr>
            <w:r>
              <w:rPr/>
              <w:t>PETER B.</w:t>
              <w:br/>
              <w:t xml:space="preserve">MIGLIORATO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71" w:type="dxa"/>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NUMBER</w:t>
              <w:br/>
              <w:t>OF</w:t>
              <w:br/>
              <w:t>DIRECTORS</w:t>
              <w:br/>
              <w:t xml:space="preserve">WITH SKILL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73" w:type="dxa"/>
            </w:tcMar>
            <w:vAlign w:val="center"/>
          </w:tcPr>
          <w:p>
            <w:pPr>
              <w:pStyle w:val="TableContents"/>
              <w:bidi w:val="0"/>
              <w:spacing w:before="0" w:after="283"/>
              <w:jc w:val="left"/>
              <w:rPr/>
            </w:pPr>
            <w:r>
              <w:rPr/>
              <w:t xml:space="preserve">Executive Leadership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73" w:type="dxa"/>
            </w:tcMar>
            <w:vAlign w:val="center"/>
          </w:tcPr>
          <w:p>
            <w:pPr>
              <w:pStyle w:val="TableContents"/>
              <w:bidi w:val="0"/>
              <w:spacing w:before="0" w:after="0"/>
              <w:jc w:val="center"/>
              <w:rPr/>
            </w:pPr>
            <w:r>
              <w:rPr/>
              <w:t xml:space="preserve">5/6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62" w:type="dxa"/>
            </w:tcMar>
            <w:vAlign w:val="center"/>
          </w:tcPr>
          <w:p>
            <w:pPr>
              <w:pStyle w:val="TableContents"/>
              <w:bidi w:val="0"/>
              <w:spacing w:lineRule="atLeast" w:line="214" w:before="0" w:after="0"/>
              <w:jc w:val="left"/>
              <w:rPr/>
            </w:pPr>
            <w:r>
              <w:rPr/>
              <w:t>Insurance Industry</w:t>
              <w:br/>
              <w:t xml:space="preserve">Expertise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2" w:type="dxa"/>
            </w:tcMar>
            <w:vAlign w:val="center"/>
          </w:tcPr>
          <w:p>
            <w:pPr>
              <w:pStyle w:val="TableContents"/>
              <w:bidi w:val="0"/>
              <w:spacing w:before="0" w:after="0"/>
              <w:jc w:val="center"/>
              <w:rPr/>
            </w:pPr>
            <w:r>
              <w:rPr/>
              <w:t xml:space="preserve">6/6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73" w:type="dxa"/>
            </w:tcMar>
            <w:vAlign w:val="center"/>
          </w:tcPr>
          <w:p>
            <w:pPr>
              <w:pStyle w:val="TableContents"/>
              <w:bidi w:val="0"/>
              <w:spacing w:before="0" w:after="283"/>
              <w:jc w:val="left"/>
              <w:rPr/>
            </w:pPr>
            <w:r>
              <w:rPr/>
              <w:t xml:space="preserve">Risk Management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73" w:type="dxa"/>
            </w:tcMar>
            <w:vAlign w:val="center"/>
          </w:tcPr>
          <w:p>
            <w:pPr>
              <w:pStyle w:val="TableContents"/>
              <w:bidi w:val="0"/>
              <w:spacing w:before="0" w:after="0"/>
              <w:jc w:val="center"/>
              <w:rPr/>
            </w:pPr>
            <w:r>
              <w:rPr/>
              <w:t xml:space="preserve">5/6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73" w:type="dxa"/>
            </w:tcMar>
            <w:vAlign w:val="center"/>
          </w:tcPr>
          <w:p>
            <w:pPr>
              <w:pStyle w:val="TableContents"/>
              <w:bidi w:val="0"/>
              <w:spacing w:before="0" w:after="0"/>
              <w:jc w:val="left"/>
              <w:rPr/>
            </w:pPr>
            <w:r>
              <w:rPr/>
              <w:t xml:space="preserve">Corporate Governance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73" w:type="dxa"/>
            </w:tcMar>
            <w:vAlign w:val="center"/>
          </w:tcPr>
          <w:p>
            <w:pPr>
              <w:pStyle w:val="TableContents"/>
              <w:bidi w:val="0"/>
              <w:spacing w:before="0" w:after="0"/>
              <w:jc w:val="center"/>
              <w:rPr/>
            </w:pPr>
            <w:r>
              <w:rPr/>
              <w:t xml:space="preserve">6/6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73" w:type="dxa"/>
            </w:tcMar>
            <w:vAlign w:val="center"/>
          </w:tcPr>
          <w:p>
            <w:pPr>
              <w:pStyle w:val="TableContents"/>
              <w:bidi w:val="0"/>
              <w:spacing w:before="0" w:after="283"/>
              <w:jc w:val="left"/>
              <w:rPr/>
            </w:pPr>
            <w:r>
              <w:rPr/>
              <w:t xml:space="preserve">Business Operations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73" w:type="dxa"/>
            </w:tcMar>
            <w:vAlign w:val="center"/>
          </w:tcPr>
          <w:p>
            <w:pPr>
              <w:pStyle w:val="TableContents"/>
              <w:bidi w:val="0"/>
              <w:spacing w:before="0" w:after="0"/>
              <w:jc w:val="center"/>
              <w:rPr/>
            </w:pPr>
            <w:r>
              <w:rPr/>
              <w:t xml:space="preserve">5/6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62" w:type="dxa"/>
            </w:tcMar>
            <w:vAlign w:val="center"/>
          </w:tcPr>
          <w:p>
            <w:pPr>
              <w:pStyle w:val="TableContents"/>
              <w:bidi w:val="0"/>
              <w:spacing w:before="0" w:after="283"/>
              <w:jc w:val="left"/>
              <w:rPr/>
            </w:pPr>
            <w:r>
              <w:rPr/>
              <w:t>Finance / Capital</w:t>
              <w:br/>
              <w:t xml:space="preserve">Management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62"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2" w:type="dxa"/>
            </w:tcMar>
            <w:vAlign w:val="center"/>
          </w:tcPr>
          <w:p>
            <w:pPr>
              <w:pStyle w:val="TableContents"/>
              <w:bidi w:val="0"/>
              <w:spacing w:before="0" w:after="0"/>
              <w:jc w:val="center"/>
              <w:rPr/>
            </w:pPr>
            <w:r>
              <w:rPr/>
              <w:t xml:space="preserve">5/6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73" w:type="dxa"/>
            </w:tcMar>
            <w:vAlign w:val="center"/>
          </w:tcPr>
          <w:p>
            <w:pPr>
              <w:pStyle w:val="TableContents"/>
              <w:bidi w:val="0"/>
              <w:spacing w:before="0" w:after="283"/>
              <w:jc w:val="left"/>
              <w:rPr/>
            </w:pPr>
            <w:r>
              <w:rPr/>
              <w:t xml:space="preserve">Investments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73"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73" w:type="dxa"/>
            </w:tcMar>
            <w:vAlign w:val="center"/>
          </w:tcPr>
          <w:p>
            <w:pPr>
              <w:pStyle w:val="TableContents"/>
              <w:bidi w:val="0"/>
              <w:spacing w:before="0" w:after="0"/>
              <w:jc w:val="center"/>
              <w:rPr/>
            </w:pPr>
            <w:r>
              <w:rPr/>
              <w:t xml:space="preserve">3/6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62" w:type="dxa"/>
            </w:tcMar>
            <w:vAlign w:val="center"/>
          </w:tcPr>
          <w:p>
            <w:pPr>
              <w:pStyle w:val="TableContents"/>
              <w:bidi w:val="0"/>
              <w:spacing w:lineRule="atLeast" w:line="214" w:before="0" w:after="0"/>
              <w:jc w:val="left"/>
              <w:rPr/>
            </w:pPr>
            <w:r>
              <w:rPr/>
              <w:t>Mergers and</w:t>
              <w:br/>
              <w:t xml:space="preserve">Acquisitions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2" w:type="dxa"/>
            </w:tcMar>
            <w:vAlign w:val="center"/>
          </w:tcPr>
          <w:p>
            <w:pPr>
              <w:pStyle w:val="TableContents"/>
              <w:bidi w:val="0"/>
              <w:spacing w:before="0" w:after="0"/>
              <w:jc w:val="center"/>
              <w:rPr/>
            </w:pPr>
            <w:r>
              <w:rPr/>
              <w:t xml:space="preserve">6/6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62" w:type="dxa"/>
            </w:tcMar>
            <w:vAlign w:val="center"/>
          </w:tcPr>
          <w:p>
            <w:pPr>
              <w:pStyle w:val="TableContents"/>
              <w:bidi w:val="0"/>
              <w:spacing w:before="0" w:after="283"/>
              <w:jc w:val="left"/>
              <w:rPr/>
            </w:pPr>
            <w:r>
              <w:rPr/>
              <w:t>Information Technology /​</w:t>
              <w:br/>
              <w:t xml:space="preserve">Cyber Security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62"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62"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62"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62"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2" w:type="dxa"/>
            </w:tcMar>
            <w:vAlign w:val="center"/>
          </w:tcPr>
          <w:p>
            <w:pPr>
              <w:pStyle w:val="TableContents"/>
              <w:bidi w:val="0"/>
              <w:spacing w:before="0" w:after="0"/>
              <w:jc w:val="center"/>
              <w:rPr/>
            </w:pPr>
            <w:r>
              <w:rPr/>
              <w:t xml:space="preserve">2/6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36" w:type="dxa"/>
            <w:tcBorders>
              <w:bottom w:val="single" w:sz="2" w:space="0" w:color="BFBFBF"/>
            </w:tcBorders>
            <w:tcMar>
              <w:bottom w:w="62" w:type="dxa"/>
            </w:tcMar>
            <w:vAlign w:val="center"/>
          </w:tcPr>
          <w:p>
            <w:pPr>
              <w:pStyle w:val="TableContents"/>
              <w:bidi w:val="0"/>
              <w:spacing w:before="0" w:after="283"/>
              <w:jc w:val="left"/>
              <w:rPr/>
            </w:pPr>
            <w:r>
              <w:rPr/>
              <w:t xml:space="preserve">Artificial Intelligence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96"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5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91" w:type="dxa"/>
            <w:tcBorders>
              <w:bottom w:val="single" w:sz="2" w:space="0" w:color="BFBFBF"/>
            </w:tcBorders>
            <w:tcMar>
              <w:bottom w:w="62"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tcMar>
              <w:bottom w:w="73"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1" w:type="dxa"/>
            <w:tcBorders>
              <w:bottom w:val="single" w:sz="2" w:space="0" w:color="BFBFBF"/>
            </w:tcBorders>
            <w:tcMar>
              <w:bottom w:w="62" w:type="dxa"/>
            </w:tcMar>
            <w:vAlign w:val="center"/>
          </w:tcPr>
          <w:p>
            <w:pPr>
              <w:pStyle w:val="TableContents"/>
              <w:bidi w:val="0"/>
              <w:spacing w:before="0" w:after="0"/>
              <w:jc w:val="center"/>
              <w:rPr/>
            </w:pP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2" w:type="dxa"/>
            </w:tcMar>
            <w:vAlign w:val="center"/>
          </w:tcPr>
          <w:p>
            <w:pPr>
              <w:pStyle w:val="TableContents"/>
              <w:bidi w:val="0"/>
              <w:spacing w:before="0" w:after="0"/>
              <w:jc w:val="center"/>
              <w:rPr/>
            </w:pPr>
            <w:r>
              <w:rPr/>
              <w:t>1/6</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5</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CD"/>
      <w:bookmarkEnd w:id="10"/>
      <w:r>
        <w:rPr>
          <w:rFonts w:ascii="calibri;arial;sans-serif" w:hAnsi="calibri;arial;sans-serif"/>
          <w:b w:val="false"/>
          <w:i w:val="false"/>
          <w:caps w:val="false"/>
          <w:smallCaps w:val="false"/>
          <w:color w:val="000000"/>
          <w:sz w:val="16"/>
        </w:rPr>
        <w:t>​</w:t>
      </w:r>
      <w:bookmarkStart w:id="11" w:name="tRIOV"/>
      <w:bookmarkEnd w:id="11"/>
      <w:r>
        <w:rPr>
          <w:rFonts w:ascii="calibri;arial;sans-serif" w:hAnsi="calibri;arial;sans-serif"/>
          <w:b w:val="false"/>
          <w:i w:val="false"/>
          <w:caps w:val="false"/>
          <w:smallCaps w:val="false"/>
          <w:color w:val="000000"/>
          <w:sz w:val="16"/>
        </w:rPr>
        <w:t>​</w:t>
      </w:r>
      <w:bookmarkStart w:id="12" w:name="tOBA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Board Composition Disclosure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charts display the tenure, age and diversity of our directors following the Annual Meeting (assuming the re-election of all nominees):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before="156" w:after="283"/>
        <w:jc w:val="center"/>
        <w:rPr>
          <w:caps w:val="false"/>
          <w:smallCaps w:val="false"/>
          <w:color w:val="000000"/>
        </w:rPr>
      </w:pPr>
      <w:r>
        <w:rPr>
          <w:caps w:val="false"/>
          <w:smallCaps w:val="false"/>
          <w:color w:val="000000"/>
        </w:rPr>
        <w:drawing>
          <wp:inline distT="0" distB="0" distL="0" distR="0">
            <wp:extent cx="4343400" cy="1628775"/>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4343400" cy="1628775"/>
                    </a:xfrm>
                    <a:prstGeom prst="rect">
                      <a:avLst/>
                    </a:prstGeom>
                  </pic:spPr>
                </pic:pic>
              </a:graphicData>
            </a:graphic>
          </wp:inline>
        </w:drawing>
      </w:r>
      <w:r>
        <w:rPr>
          <w:caps w:val="false"/>
          <w:smallCaps w:val="false"/>
          <w:color w:val="000000"/>
        </w:rPr>
        <w:t xml:space="preserve"> </w:t>
      </w:r>
    </w:p>
    <w:p>
      <w:pPr>
        <w:pStyle w:val="TextBody"/>
        <w:bidi w:val="0"/>
        <w:spacing w:before="226" w:after="283"/>
        <w:jc w:val="center"/>
        <w:rPr>
          <w:caps w:val="false"/>
          <w:smallCaps w:val="false"/>
          <w:color w:val="000000"/>
        </w:rPr>
      </w:pPr>
      <w:r>
        <w:rPr>
          <w:caps w:val="false"/>
          <w:smallCaps w:val="false"/>
          <w:color w:val="000000"/>
        </w:rPr>
        <w:drawing>
          <wp:inline distT="0" distB="0" distL="0" distR="0">
            <wp:extent cx="4314825" cy="1552575"/>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4314825" cy="15525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46"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Risk Oversight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Company’s management, including and under the supervision of our Chief Executive Officer, has the primary responsibility for managing risks of the Company, subject to Board oversight. The Board has delegated certain of its risk oversight responsibilities to various Board committees. Specifically, the Board has assigned oversight of the risks associated with the Company’s investment portfolio to the Investment Committee and of the risks associated with the Company’s compensation policies and practices to the Compensation and Human Capital Committee. The Board has delegated to the Audit Committee the responsibility for oversight of the Company’s financial risks, financial controls, cybersecurity risks, internal audit and potential conflicts of interest and receives regular internal audit updates from our Chief Financial Officer and head of internal audit. Finally, our Board of Directors reviews strategic and operational risk in the context of Enterprise Risk Management reports and presentations from our senior management team on a quarterly basis. In addition to the Audit Committee’s oversight of cybersecurity risks, the full Board receives updates on at least an annual basis on the Company’s information technology, cybersecurity and artificial intelligence risks.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Our Board and its Committees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During 2025, our Board of Directors held four in-person meetings. All of our directors attended at least 75% of the aggregate number of meetings of our Board of Directors and committees that he or she served on during 2025. Additionally, our Board of Directors and certain committees held informational videoconferences between meetings in order for directors and committee members to receive regular and timely updates from management.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Our Board of Directors has established four standing committees to assist it in carrying out its responsibilities: the Audit Committee, the Compensation and Human Capital Committee, the Nominating and Corporate Governance Committee, and the Investment Committee. Each of these committees operates under its own written charter. The charters of the Audit Committee, the Compensation and Human Capital Committee, and the Nominating and Corporate Governance Committee comply with the applicable rules and regulations of the U.S. Securities and Exchange Commission (the “SEC”) and the Nasdaq Stock Market. Copies of the charters of our standing committees are available on our website at https://jrvrgroup.com. The membership and function of each of the committees is described below. Mr. D’Orazio is not a member of any committee, but regularly attends portions of all committee meetings.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6</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3283" w:type="dxa"/>
        <w:jc w:val="left"/>
        <w:tblInd w:w="920" w:type="dxa"/>
        <w:tblLayout w:type="fixed"/>
        <w:tblCellMar>
          <w:top w:w="0" w:type="dxa"/>
          <w:left w:w="0" w:type="dxa"/>
          <w:bottom w:w="28" w:type="dxa"/>
          <w:right w:w="0" w:type="dxa"/>
        </w:tblCellMar>
      </w:tblPr>
      <w:tblGrid>
        <w:gridCol w:w="124"/>
        <w:gridCol w:w="416"/>
        <w:gridCol w:w="109"/>
        <w:gridCol w:w="109"/>
        <w:gridCol w:w="237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371" w:type="dxa"/>
            <w:tcBorders>
              <w:bottom w:val="single" w:sz="12" w:space="0" w:color="3F3F3F"/>
            </w:tcBorders>
            <w:shd w:fill="F2F2F2" w:val="clear"/>
            <w:vAlign w:val="center"/>
          </w:tcPr>
          <w:p>
            <w:pPr>
              <w:pStyle w:val="TableContents"/>
              <w:bidi w:val="0"/>
              <w:spacing w:lineRule="atLeast" w:line="264" w:before="0" w:after="0"/>
              <w:jc w:val="left"/>
              <w:rPr/>
            </w:pPr>
            <w:r>
              <w:rPr/>
              <w:t>AUDIT COMMITTEE</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6507" w:type="dxa"/>
        <w:jc w:val="left"/>
        <w:tblInd w:w="920" w:type="dxa"/>
        <w:tblLayout w:type="fixed"/>
        <w:tblCellMar>
          <w:top w:w="0" w:type="dxa"/>
          <w:left w:w="0" w:type="dxa"/>
          <w:bottom w:w="0" w:type="dxa"/>
          <w:right w:w="0" w:type="dxa"/>
        </w:tblCellMar>
      </w:tblPr>
      <w:tblGrid>
        <w:gridCol w:w="124"/>
        <w:gridCol w:w="1951"/>
        <w:gridCol w:w="109"/>
        <w:gridCol w:w="109"/>
        <w:gridCol w:w="1921"/>
        <w:gridCol w:w="109"/>
        <w:gridCol w:w="109"/>
        <w:gridCol w:w="1921"/>
        <w:gridCol w:w="154"/>
      </w:tblGrid>
      <w:tr>
        <w:trPr/>
        <w:tc>
          <w:tcPr>
            <w:tcW w:w="124"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t xml:space="preserve">Rajiv Basu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1" w:type="dxa"/>
            <w:tcBorders/>
            <w:vAlign w:val="center"/>
          </w:tcPr>
          <w:p>
            <w:pPr>
              <w:pStyle w:val="TableContents"/>
              <w:bidi w:val="0"/>
              <w:spacing w:before="0" w:after="0"/>
              <w:jc w:val="center"/>
              <w:rPr/>
            </w:pPr>
            <w:r>
              <w:rPr/>
              <w:t xml:space="preserve">Thomas L. Brown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1" w:type="dxa"/>
            <w:tcBorders/>
            <w:vAlign w:val="center"/>
          </w:tcPr>
          <w:p>
            <w:pPr>
              <w:pStyle w:val="TableContents"/>
              <w:bidi w:val="0"/>
              <w:spacing w:before="0" w:after="0"/>
              <w:jc w:val="center"/>
              <w:rPr/>
            </w:pPr>
            <w:r>
              <w:rPr/>
              <w:t>Peter B. Migliorato</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86"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Audit Committee consists of Messrs. Basu (Chair), Brown and Migliorato. During 2025, our Audit Committee held four in-person meetings.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Board has determined that all of the members of the Audit Committee are independent as defined under the rules of the Nasdaq Stock Market and the independence requirements contemplated by Rule 10A-3 under the Securities Exchange Act of 1934, as amended (the “Exchange Act”). Additionally, Messrs. Basu and Brown have been identified by our Board of Directors as an “audit committee financial expert” as that term is defined in Item 407(d)(5) of Regulation S-K.</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assists our Board of Directors in fulfilling its oversight responsibilities relating to:</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2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integrity of our financial statements and our accounting and financial reporting process;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800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39"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internal and external auditing and the independent registered public accounting firm’s qualifications and independence;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0"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3pt;mso-wrap-distance-bottom:0pt;margin-top:0.3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performance of our internal audit function and our independent registered public accounting firm;</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1"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3pt;mso-wrap-distance-bottom:0pt;margin-top:0.3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integrity of our systems of internal accounting and financial controls;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2"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3pt;mso-wrap-distance-bottom:0pt;margin-top:0.3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compliance with legal and regulatory requirements relating to financial reporting and disclosure;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3"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3pt;mso-wrap-distance-bottom:0pt;margin-top:0.3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preparation of the report of the Audit Committee required to be included in our annual proxy statement under the rules of the SEC.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44"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3pt;mso-wrap-distance-bottom:0pt;margin-top:0.3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so doing, the Audit Committee is responsible for maintaining free and open communication between the committee, the independent registered public accounting firm, internal audit, and our management. In this role, the Audit Committee is empowered to investigate any matter brought to its attention with full access to all books, records, facilities and personnel of our Company and the power to retain outside counsel and other experts for this purpose or any other purpose as it deems necessary to fulfill its duties and responsibilities.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has direct responsibility for the appointment, retention, termination and compensation of, and oversight of the work of our independent registered public accounting firm. The Audit Committee engages in an annual evaluation of the independent public accounting firm’s insurance industry qualifications and expertise, assesses the firm’s quality of service, the firm’s sufficiency of resources, the quality, timeliness and practicality of communication and interaction with the firm, the adequacy of information provided on accounting issues, auditing issues and regulatory developments affecting the property and casualty insurance industry, the firm’s ability to meet deadlines and respond quickly, the firm’s timeliness and accuracy of all services presented to the Audit Committee for pre-approval and review, management’s feedback, the lead partner’s performance, the comprehensiveness of evaluations of our internal control structure, and the firm’s independence, candor, objectivity and professional skepticism. The Audit Committee also considers the advisability and potential impact of selecting a different independent public accounting firm.</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recognizes the importance of maintaining the independence of the Company’s independent auditors, both in fact and in appearance. On at least an annual basis, the Audit Committee receives and reviews written disclosures and a letter from our independent public accounting firm required by applicable requirements of the Public Company Accounting Oversight Board (“PCAOB”) regarding the firm’s communications with the Audit Committee concerning independence, and discusses with the firm the firm’s independence from the Company and management. These discussions include, among other things, a review of the nature of, and fees paid to the firm for, non-audit services and the compatibility of such services with maintaining the firm’s independence.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meets with the independent registered public accounting firm and the Company’s internal audit group independently without the presence of management at least quarterly.</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is responsible for approving all transactions with related persons. On an annual basis, the Audit Committee reviews and approves all director and executive officer related party transactions that the Company is a party to, and on a quarterly basis receives a summary of such transactions as prepared by management. To the extent any new transactions may arise during the course of the year, management discusses such transactions with the Audit Committee. A further description of the Audit Committee’s role in reviewing related party transactions is set forth in this proxy statement under “Certain Relationships and Related Transactions.”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also has responsibility for the oversight of the Company’s cybersecurity risks.</w:t>
      </w:r>
      <w:r>
        <w:rPr>
          <w:rFonts w:ascii="Arial Narrow;Arial;Helvetica;sans-serif" w:hAnsi="Arial Narrow;Arial;Helvetica;sans-serif"/>
          <w:b w:val="false"/>
          <w:i w:val="false"/>
          <w:caps w:val="false"/>
          <w:smallCaps w:val="false"/>
          <w:color w:val="000000"/>
          <w:spacing w:val="4"/>
          <w:sz w:val="19"/>
        </w:rPr>
        <w:t xml:space="preserve"> </w:t>
      </w:r>
    </w:p>
    <w:tbl>
      <w:tblPr>
        <w:tblW w:w="7123" w:type="dxa"/>
        <w:jc w:val="left"/>
        <w:tblInd w:w="920" w:type="dxa"/>
        <w:tblLayout w:type="fixed"/>
        <w:tblCellMar>
          <w:top w:w="0" w:type="dxa"/>
          <w:left w:w="0" w:type="dxa"/>
          <w:bottom w:w="28" w:type="dxa"/>
          <w:right w:w="0" w:type="dxa"/>
        </w:tblCellMar>
      </w:tblPr>
      <w:tblGrid>
        <w:gridCol w:w="124"/>
        <w:gridCol w:w="416"/>
        <w:gridCol w:w="109"/>
        <w:gridCol w:w="109"/>
        <w:gridCol w:w="621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0"/>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6211" w:type="dxa"/>
            <w:tcBorders>
              <w:bottom w:val="single" w:sz="12" w:space="0" w:color="3F3F3F"/>
            </w:tcBorders>
            <w:shd w:fill="F2F2F2" w:val="clear"/>
            <w:vAlign w:val="center"/>
          </w:tcPr>
          <w:p>
            <w:pPr>
              <w:pStyle w:val="TableContents"/>
              <w:bidi w:val="0"/>
              <w:spacing w:lineRule="atLeast" w:line="264" w:before="0" w:after="0"/>
              <w:jc w:val="left"/>
              <w:rPr/>
            </w:pPr>
            <w:r>
              <w:rPr/>
              <w:t>COMPENSATION AND HUMAN CAPITAL COMMITTEE</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6912" w:type="dxa"/>
        <w:jc w:val="left"/>
        <w:tblInd w:w="920" w:type="dxa"/>
        <w:tblLayout w:type="fixed"/>
        <w:tblCellMar>
          <w:top w:w="0" w:type="dxa"/>
          <w:left w:w="0" w:type="dxa"/>
          <w:bottom w:w="0" w:type="dxa"/>
          <w:right w:w="0" w:type="dxa"/>
        </w:tblCellMar>
      </w:tblPr>
      <w:tblGrid>
        <w:gridCol w:w="124"/>
        <w:gridCol w:w="2716"/>
        <w:gridCol w:w="109"/>
        <w:gridCol w:w="109"/>
        <w:gridCol w:w="1801"/>
        <w:gridCol w:w="109"/>
        <w:gridCol w:w="109"/>
        <w:gridCol w:w="1681"/>
        <w:gridCol w:w="154"/>
      </w:tblGrid>
      <w:tr>
        <w:trPr/>
        <w:tc>
          <w:tcPr>
            <w:tcW w:w="124"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0"/>
              <w:jc w:val="center"/>
              <w:rPr/>
            </w:pPr>
            <w:r>
              <w:rPr/>
              <w:t xml:space="preserve">Peter B. Migliorato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1" w:type="dxa"/>
            <w:tcBorders/>
            <w:vAlign w:val="center"/>
          </w:tcPr>
          <w:p>
            <w:pPr>
              <w:pStyle w:val="TableContents"/>
              <w:bidi w:val="0"/>
              <w:spacing w:before="0" w:after="0"/>
              <w:jc w:val="center"/>
              <w:rPr/>
            </w:pPr>
            <w:r>
              <w:rPr/>
              <w:t xml:space="preserve">Joel D. Cavaness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1" w:type="dxa"/>
            <w:tcBorders/>
            <w:vAlign w:val="center"/>
          </w:tcPr>
          <w:p>
            <w:pPr>
              <w:pStyle w:val="TableContents"/>
              <w:bidi w:val="0"/>
              <w:spacing w:before="0" w:after="0"/>
              <w:jc w:val="center"/>
              <w:rPr/>
            </w:pPr>
            <w:r>
              <w:rPr/>
              <w:t>Christine LaSala</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84"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Compensation and Human Capital Committee consists of Mr. Migliorato (Chair), Mr. Cavaness and Ms. LaSala. During 2025, the Compensation and Human Capital Committee held four in-person meetings.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7</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Board of Directors has determined that the current members of our Compensation and Human Capital Committee are independent under applicable rules and regulations of the Nasdaq Stock Market.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Compensation and Human Capital Committee assists our Board of Directors with reviewing the performance of our management in achieving corporate goals and objectives, assuring that our executives are compensated effectively in a manner consistent with our strategy, competitive practice and the requirements of the appropriate regulatory bodies, and creating an alignment of interests between our executive officers and shareholders. Toward that end, the Compensation and Human Capital Committee, among other responsibilities, makes recommendations to our Board of Directors regarding director and executive officer compensation, equity-based compensation plans and awards, and executive benefit plans. In determining compensation recommendations to the Board of Directors, with respect to executive officers other than our Chief Executive Officer, the Compensation and Human Capital Committee considers proposals provided by our Chief Executive Officer. Our Chief Executive Officer does not participate in deliberations or voting regarding his own compensation. The Compensation and Human Capital Committee also administers the Company’s incentive compensation plans and equity-based plans.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Compensation and Human Capital Committee has the authority to retain compensation consultants and establish any such consultant’s fees and other retention terms and may obtain advice and assistance from internal or external legal counsel and other advisors as it deems necessary to fulfill its duties and responsibilities. In 2025, the Compensation and Human Capital Committee approved the retention of Aon’s Human Capital Solutions practice, a division of Aon plc (“Aon”), as its independent compensation consultant, to provide advice and information on the Company’s executive officer compensation plans and programs. For information regarding the scope of Aon’s work, please see “Compensation Discussion and Analysis.”</w:t>
      </w:r>
      <w:r>
        <w:rPr>
          <w:rFonts w:ascii="Arial Narrow;Arial;Helvetica;sans-serif" w:hAnsi="Arial Narrow;Arial;Helvetica;sans-serif"/>
          <w:b w:val="false"/>
          <w:i w:val="false"/>
          <w:caps w:val="false"/>
          <w:smallCaps w:val="false"/>
          <w:color w:val="000000"/>
          <w:spacing w:val="4"/>
          <w:sz w:val="19"/>
        </w:rPr>
        <w:t xml:space="preserve"> </w:t>
      </w:r>
    </w:p>
    <w:tbl>
      <w:tblPr>
        <w:tblW w:w="8008" w:type="dxa"/>
        <w:jc w:val="left"/>
        <w:tblInd w:w="920" w:type="dxa"/>
        <w:tblLayout w:type="fixed"/>
        <w:tblCellMar>
          <w:top w:w="0" w:type="dxa"/>
          <w:left w:w="0" w:type="dxa"/>
          <w:bottom w:w="28" w:type="dxa"/>
          <w:right w:w="0" w:type="dxa"/>
        </w:tblCellMar>
      </w:tblPr>
      <w:tblGrid>
        <w:gridCol w:w="124"/>
        <w:gridCol w:w="416"/>
        <w:gridCol w:w="109"/>
        <w:gridCol w:w="109"/>
        <w:gridCol w:w="709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1"/>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7096" w:type="dxa"/>
            <w:tcBorders>
              <w:bottom w:val="single" w:sz="12" w:space="0" w:color="3F3F3F"/>
            </w:tcBorders>
            <w:shd w:fill="F2F2F2" w:val="clear"/>
            <w:vAlign w:val="center"/>
          </w:tcPr>
          <w:p>
            <w:pPr>
              <w:pStyle w:val="TableContents"/>
              <w:bidi w:val="0"/>
              <w:spacing w:lineRule="atLeast" w:line="264" w:before="0" w:after="0"/>
              <w:jc w:val="left"/>
              <w:rPr/>
            </w:pPr>
            <w:r>
              <w:rPr/>
              <w:t>NOMINATING AND CORPORATE GOVERNANCE COMMITTEE</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5040" w:type="dxa"/>
        <w:jc w:val="left"/>
        <w:tblInd w:w="920" w:type="dxa"/>
        <w:tblLayout w:type="fixed"/>
        <w:tblCellMar>
          <w:top w:w="0" w:type="dxa"/>
          <w:left w:w="0" w:type="dxa"/>
          <w:bottom w:w="0" w:type="dxa"/>
          <w:right w:w="0" w:type="dxa"/>
        </w:tblCellMar>
      </w:tblPr>
      <w:tblGrid>
        <w:gridCol w:w="124"/>
        <w:gridCol w:w="2476"/>
        <w:gridCol w:w="109"/>
        <w:gridCol w:w="109"/>
        <w:gridCol w:w="109"/>
        <w:gridCol w:w="109"/>
        <w:gridCol w:w="109"/>
        <w:gridCol w:w="1741"/>
        <w:gridCol w:w="154"/>
      </w:tblGrid>
      <w:tr>
        <w:trPr/>
        <w:tc>
          <w:tcPr>
            <w:tcW w:w="124" w:type="dxa"/>
            <w:tcBorders/>
            <w:vAlign w:val="center"/>
          </w:tcPr>
          <w:p>
            <w:pPr>
              <w:pStyle w:val="TableContents"/>
              <w:bidi w:val="0"/>
              <w:spacing w:before="0" w:after="283"/>
              <w:jc w:val="left"/>
              <w:rPr/>
            </w:pPr>
            <w:r>
              <w:rPr/>
              <w:t>​</w:t>
            </w:r>
          </w:p>
        </w:tc>
        <w:tc>
          <w:tcPr>
            <w:tcW w:w="2476" w:type="dxa"/>
            <w:tcBorders/>
            <w:vAlign w:val="center"/>
          </w:tcPr>
          <w:p>
            <w:pPr>
              <w:pStyle w:val="TableContents"/>
              <w:bidi w:val="0"/>
              <w:spacing w:before="0" w:after="0"/>
              <w:jc w:val="center"/>
              <w:rPr/>
            </w:pPr>
            <w:r>
              <w:rPr/>
              <w:t xml:space="preserve">Christine LaSala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41" w:type="dxa"/>
            <w:tcBorders/>
            <w:vAlign w:val="center"/>
          </w:tcPr>
          <w:p>
            <w:pPr>
              <w:pStyle w:val="TableContents"/>
              <w:bidi w:val="0"/>
              <w:spacing w:before="0" w:after="0"/>
              <w:jc w:val="center"/>
              <w:rPr/>
            </w:pPr>
            <w:r>
              <w:rPr/>
              <w:t>Joel D. Cavaness</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80"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Nominating and Corporate Governance Committee consists of Ms. LaSala (Chair) and Mr. Cavaness. During 2025, the Nominating and Corporate Governance Committee held four in-person meetings.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Board of Directors has determined that our current members of the Nominating and Corporate Governance Committee are independent under applicable rules and regulations of the Nasdaq Stock Market. Among other responsibilities, the Nominating and Corporate Governance Committee identifies individuals qualified to become board members and recommends to the Board of Directors the director nominees for the next annual meeting of shareholders.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Nominating and Corporate Governance Committee determines the qualifications, qualities, skills and other expertise required to be a director and develops and recommends such criteria to the Board of Directors when commencing a director search (the “Director Criteria”). In evaluating a candidate for director, the committee may consider, in addition to the Director Criteria and such other criteria as the committee considers appropriate under the circumstances, whether a candidate possesses the integrity, judgment, knowledge, experience, skills, diversity, expertise, and viewpoints that are likely to enhance the Board’s ability to manage and direct the affairs and business of the Company, including, when applicable, to enhance the ability of committees of the Board to fulfill their duties. The Board believes that a range of backgrounds, experiences, perspectives and qualifications contributes to an effective Board and will continue to consider these factors as opportunities to enhance the composition of the Board arise. The committee may take into account the satisfaction of any independence requirements imposed by law, regulation (including the rules of the Nasdaq Stock Market) or the Board. The committee has authority to retain and terminate any search firm to be used to identify director candidates and to approve the search firm’s fees and other retention terms and may obtain advice and assistance from internal or external legal, accounting or other advisors as it deems necessary to fulfill its duties and responsibilities. The committee retained a search firm to assist the committee in its board nominee search, and the search firm identified Mr. Basu, who was appointed to the Board in June 2026.</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Nominating and Corporate Governance Committee may also consider any candidate recommended by any of the Company’s shareholders. In considering any such candidate, the committee may use the Director Criteria and such other criteria as the committee considers appropriate under the circumstance to evaluate any such candidate. For details on how shareholders may submit nominations for directors, see “Other Matters.”</w:t>
      </w:r>
      <w:r>
        <w:rPr>
          <w:rFonts w:ascii="Arial Narrow;Arial;Helvetica;sans-serif" w:hAnsi="Arial Narrow;Arial;Helvetica;sans-serif"/>
          <w:b w:val="false"/>
          <w:i w:val="false"/>
          <w:caps w:val="false"/>
          <w:smallCaps w:val="false"/>
          <w:color w:val="000000"/>
          <w:spacing w:val="4"/>
          <w:sz w:val="19"/>
        </w:rPr>
        <w:t xml:space="preserve"> </w:t>
      </w:r>
    </w:p>
    <w:tbl>
      <w:tblPr>
        <w:tblW w:w="4078" w:type="dxa"/>
        <w:jc w:val="left"/>
        <w:tblInd w:w="920" w:type="dxa"/>
        <w:tblLayout w:type="fixed"/>
        <w:tblCellMar>
          <w:top w:w="0" w:type="dxa"/>
          <w:left w:w="0" w:type="dxa"/>
          <w:bottom w:w="28" w:type="dxa"/>
          <w:right w:w="0" w:type="dxa"/>
        </w:tblCellMar>
      </w:tblPr>
      <w:tblGrid>
        <w:gridCol w:w="124"/>
        <w:gridCol w:w="416"/>
        <w:gridCol w:w="109"/>
        <w:gridCol w:w="109"/>
        <w:gridCol w:w="316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2"/>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3166" w:type="dxa"/>
            <w:tcBorders>
              <w:bottom w:val="single" w:sz="12" w:space="0" w:color="3F3F3F"/>
            </w:tcBorders>
            <w:shd w:fill="F2F2F2" w:val="clear"/>
            <w:vAlign w:val="center"/>
          </w:tcPr>
          <w:p>
            <w:pPr>
              <w:pStyle w:val="TableContents"/>
              <w:bidi w:val="0"/>
              <w:spacing w:lineRule="atLeast" w:line="264" w:before="0" w:after="0"/>
              <w:jc w:val="left"/>
              <w:rPr/>
            </w:pPr>
            <w:r>
              <w:rPr/>
              <w:t>INVESTMENT COMMITTEE</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tbl>
      <w:tblPr>
        <w:tblW w:w="5400" w:type="dxa"/>
        <w:jc w:val="left"/>
        <w:tblInd w:w="920" w:type="dxa"/>
        <w:tblLayout w:type="fixed"/>
        <w:tblCellMar>
          <w:top w:w="0" w:type="dxa"/>
          <w:left w:w="0" w:type="dxa"/>
          <w:bottom w:w="0" w:type="dxa"/>
          <w:right w:w="0" w:type="dxa"/>
        </w:tblCellMar>
      </w:tblPr>
      <w:tblGrid>
        <w:gridCol w:w="124"/>
        <w:gridCol w:w="2716"/>
        <w:gridCol w:w="109"/>
        <w:gridCol w:w="109"/>
        <w:gridCol w:w="109"/>
        <w:gridCol w:w="109"/>
        <w:gridCol w:w="109"/>
        <w:gridCol w:w="1861"/>
        <w:gridCol w:w="154"/>
      </w:tblGrid>
      <w:tr>
        <w:trPr/>
        <w:tc>
          <w:tcPr>
            <w:tcW w:w="124"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0"/>
              <w:jc w:val="center"/>
              <w:rPr/>
            </w:pPr>
            <w:r>
              <w:rPr/>
              <w:t xml:space="preserve">Matthew B. Botein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0"/>
              <w:jc w:val="center"/>
              <w:rPr/>
            </w:pPr>
            <w:r>
              <w:rPr/>
              <w:t>Thomas L. Brown</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80"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Our Investment Committee consists of Mr. Botein (Chair) and Mr. Brown. During 2025, the Investment Committee held two in-person meetings. The Investment Committee oversees the implementation of our overall investment policy.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8</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ANEV"/>
      <w:bookmarkEnd w:id="13"/>
      <w:r>
        <w:rPr>
          <w:rFonts w:ascii="calibri;arial;sans-serif" w:hAnsi="calibri;arial;sans-serif"/>
          <w:b w:val="false"/>
          <w:i w:val="false"/>
          <w:caps w:val="false"/>
          <w:smallCaps w:val="false"/>
          <w:color w:val="000000"/>
          <w:sz w:val="16"/>
        </w:rPr>
        <w:t>​</w:t>
      </w:r>
      <w:bookmarkStart w:id="14" w:name="tCAHC"/>
      <w:bookmarkEnd w:id="14"/>
      <w:r>
        <w:rPr>
          <w:rFonts w:ascii="calibri;arial;sans-serif" w:hAnsi="calibri;arial;sans-serif"/>
          <w:b w:val="false"/>
          <w:i w:val="false"/>
          <w:caps w:val="false"/>
          <w:smallCaps w:val="false"/>
          <w:color w:val="000000"/>
          <w:sz w:val="16"/>
        </w:rPr>
        <w:t>​</w:t>
      </w:r>
      <w:bookmarkStart w:id="15" w:name="tAAAM"/>
      <w:bookmarkEnd w:id="15"/>
      <w:r>
        <w:rPr>
          <w:rFonts w:ascii="calibri;arial;sans-serif" w:hAnsi="calibri;arial;sans-serif"/>
          <w:b w:val="false"/>
          <w:i w:val="false"/>
          <w:caps w:val="false"/>
          <w:smallCaps w:val="false"/>
          <w:color w:val="000000"/>
          <w:sz w:val="16"/>
        </w:rPr>
        <w:t>​</w:t>
      </w:r>
      <w:bookmarkStart w:id="16" w:name="tCWOB"/>
      <w:bookmarkEnd w:id="16"/>
      <w:r>
        <w:rPr>
          <w:rFonts w:ascii="calibri;arial;sans-serif" w:hAnsi="calibri;arial;sans-serif"/>
          <w:b w:val="false"/>
          <w:i w:val="false"/>
          <w:caps w:val="false"/>
          <w:smallCaps w:val="false"/>
          <w:color w:val="000000"/>
          <w:sz w:val="16"/>
        </w:rPr>
        <w:t>​</w:t>
      </w:r>
      <w:bookmarkStart w:id="17" w:name="tCOC"/>
      <w:bookmarkEnd w:id="17"/>
      <w:r>
        <w:rPr>
          <w:rFonts w:ascii="calibri;arial;sans-serif" w:hAnsi="calibri;arial;sans-serif"/>
          <w:b w:val="false"/>
          <w:i w:val="false"/>
          <w:caps w:val="false"/>
          <w:smallCaps w:val="false"/>
          <w:color w:val="000000"/>
          <w:sz w:val="16"/>
        </w:rPr>
        <w:t>​</w:t>
      </w:r>
      <w:bookmarkStart w:id="18" w:name="tCGG"/>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Annual Evaluations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an annual basis each of the members of the Board and each of its committees completes a self-assessment questionnaire to determine whether the Board and each committee is functioning effectively. The questionnaires invite written comments on all aspects of the Board and each committee’s process, and are completed on an anonymous basis to encourage candor. The results are then summarized by outside counsel and reviewed at a subsequent Board meeting.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Compensation and Human Capital Committee Interlocks and Insider Participation</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During 2025, each of Mr. Cavaness, Ms. LaSala, Mr. Migliorato and Ollie L. Sherman, Jr., who served as Chair of the Board until February 2025 and retired from the Board in April 2025, served on our Compensation and Human Capital Committee (with Mr. Cavaness and Mr. Sherman serving on the committee for a portion of the year). None of our executive officers currently serves, or in the past year has served, as a member of the board of directors or compensation committee of any entity that has one or more executive officers serving on our Board of Directors or Compensation and Human Capital Committee.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Attendance at Annual Meetings of Shareholders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encourage each member of our Board of Directors to attend the annual meeting of shareholders. In 2025, all of our directors nominated for re-election attended the meeting.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Communications with our Board of Directors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6"/>
          <w:sz w:val="19"/>
        </w:rPr>
        <w:t xml:space="preserve">Any shareholder that desires to communicate directly with our Board of Directors, or any committee thereof, or one or more individual directors may do so by addressing the communication to our Secretary at James River Group Holdings, Inc., 1414 Raleigh Road, Suite 405, Chapel Hill, North Carolina 27517 or </w:t>
      </w:r>
      <w:r>
        <w:rPr>
          <w:rFonts w:ascii="Arial Narrow;Arial;Helvetica;sans-serif" w:hAnsi="Arial Narrow;Arial;Helvetica;sans-serif"/>
          <w:b/>
          <w:i w:val="false"/>
          <w:caps w:val="false"/>
          <w:smallCaps w:val="false"/>
          <w:color w:val="000000"/>
          <w:spacing w:val="-6"/>
          <w:sz w:val="19"/>
        </w:rPr>
        <w:t>InvestorRelations@james-river-group.com</w:t>
      </w:r>
      <w:r>
        <w:rPr>
          <w:rFonts w:ascii="Arial Narrow;Arial;Helvetica;sans-serif" w:hAnsi="Arial Narrow;Arial;Helvetica;sans-serif"/>
          <w:b w:val="false"/>
          <w:i w:val="false"/>
          <w:caps w:val="false"/>
          <w:smallCaps w:val="false"/>
          <w:color w:val="000000"/>
          <w:spacing w:val="-6"/>
          <w:sz w:val="19"/>
        </w:rPr>
        <w:t>, in either case with a request to forward the communication to the intended recipient. The outside of the envelope or subject line of the email, as applicable, should be clearly marked “Director Communication.” All such correspondence will be forwarded to the relevant director or group of directors, except for items unrelated to the functions of the Board, including business solicitations or advertisements.</w:t>
      </w:r>
      <w:r>
        <w:rPr>
          <w:rFonts w:ascii="Arial Narrow;Arial;Helvetica;sans-serif" w:hAnsi="Arial Narrow;Arial;Helvetica;sans-serif"/>
          <w:b w:val="false"/>
          <w:i w:val="false"/>
          <w:caps w:val="false"/>
          <w:smallCaps w:val="false"/>
          <w:color w:val="000000"/>
          <w:sz w:val="18"/>
        </w:rPr>
        <w:t>​</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0" distB="0" distL="0" distR="76200" simplePos="0" locked="0" layoutInCell="1" allowOverlap="1" relativeHeight="20">
                <wp:simplePos x="0" y="0"/>
                <wp:positionH relativeFrom="column">
                  <wp:align>left</wp:align>
                </wp:positionH>
                <wp:positionV relativeFrom="line">
                  <wp:posOffset>635</wp:posOffset>
                </wp:positionV>
                <wp:extent cx="723900" cy="642620"/>
                <wp:effectExtent l="0" t="0" r="0" b="0"/>
                <wp:wrapSquare wrapText="right"/>
                <wp:docPr id="48" name="Frame17"/>
                <a:graphic xmlns:a="http://schemas.openxmlformats.org/drawingml/2006/main">
                  <a:graphicData uri="http://schemas.microsoft.com/office/word/2010/wordprocessingShape">
                    <wps:wsp>
                      <wps:cNvSpPr txBox="1"/>
                      <wps:spPr>
                        <a:xfrm>
                          <a:off x="0" y="0"/>
                          <a:ext cx="723900" cy="642620"/>
                        </a:xfrm>
                        <a:prstGeom prst="rect"/>
                        <a:solidFill>
                          <a:srgbClr val="FFFFFF"/>
                        </a:solidFill>
                      </wps:spPr>
                      <wps:txbx>
                        <w:txbxContent>
                          <w:p>
                            <w:pPr>
                              <w:pStyle w:val="TextBody"/>
                              <w:bidi w:val="0"/>
                              <w:spacing w:before="0" w:after="283"/>
                              <w:jc w:val="left"/>
                              <w:rPr/>
                            </w:pPr>
                            <w:r>
                              <w:rPr/>
                              <w:drawing>
                                <wp:inline distT="0" distB="0" distL="0" distR="0">
                                  <wp:extent cx="685800" cy="6096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685800" cy="6096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57pt;height:50.6pt;mso-wrap-distance-left:0pt;mso-wrap-distance-right:6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drawing>
                          <wp:inline distT="0" distB="0" distL="0" distR="0">
                            <wp:extent cx="685800" cy="609600"/>
                            <wp:effectExtent l="0" t="0" r="0" b="0"/>
                            <wp:docPr id="5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 descr=""/>
                                    <pic:cNvPicPr>
                                      <a:picLocks noChangeAspect="1" noChangeArrowheads="1"/>
                                    </pic:cNvPicPr>
                                  </pic:nvPicPr>
                                  <pic:blipFill>
                                    <a:blip r:embed="rId34"/>
                                    <a:stretch>
                                      <a:fillRect/>
                                    </a:stretch>
                                  </pic:blipFill>
                                  <pic:spPr bwMode="auto">
                                    <a:xfrm>
                                      <a:off x="0" y="0"/>
                                      <a:ext cx="685800" cy="60960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Code of Conduct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have a Code of Conduct (the “Code of Conduct”) applicable to our directors, officers and employees that complies with the requirements of applicable rules and regulations of the SEC and the Nasdaq Stock Market. This code is designed to deter wrongdoing and to promote: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24"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honest and ethical conduct, including the ethical handling of avoiding actual or apparent conflicts of interest between personal and professional responsibilities to the Company;</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87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1"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0"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full, fair, accurate, timely and understandable disclosure in reports and documents that we file with the SEC and in other public communications made by us, as well as communications with insurance and other regulators;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27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2"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compliance with applicable governmental laws, rules and regulations;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27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3"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confidentiality and non-disclosure of confidential information;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27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4"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prompt reporting of violations of the Code of Conduct to our designated hotline;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27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5"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accountability for adherence to the Code of Conduct.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27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6"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pt;mso-wrap-distance-bottom:0pt;margin-top:1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Code of Conduct is available on the Our Group — Governance — Corporate Governance portion of our website (https://jrvrgroup.com). We intend to disclose any future amendment to, or waiver from, a provision of our Code of Conduct that applies to our principal executive officer, principal financial officer, principal accounting officer or controller, or persons performing similar functions, by posting such information on this Corporate Governance portion of our website.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Corporate Governance Guidelines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Board of Directors has adopted Corporate Governance Guidelines that address significant issues of corporate governance and set forth procedures by which our Board intends to carry out its responsibilities. The Corporate Governance Guidelines address, among other things, board and committee composition and selection, board meeting process and director responsibilities in connection therewith, management and advisor access, chief executive officer performance evaluation and succession planning, annual board and committee self-evaluations and compensation. The Corporate Governance Guidelines are available on our website (https://jrvrgroup.com).</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before="0" w:after="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9</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TSE"/>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347"/>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Commitment to Shareholder Engagement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are committed to effective corporate governance that is informed by our shareholders and promotes their long-term interests. In furtherance of this commitment, we have a robust outreach program that involves members of the Board of Directors, executive management, and Investor Relations. We seek to maintain an ongoing dialogue with our shareholders to understand their perspectives on stewardship and strategic matters and promote strong Board and management accountability. We engage through a variety of channels, such as earnings calls, investor conferences, individual investor calls and meetings, industry events, and calls and meetings with investment stewardship teams. Topics covered through our different forms of engagement include: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2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Strategic and financial goals and performance;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7"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Business initiatives;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58"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Market conditions;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59"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Executive compensation;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70">
                <wp:simplePos x="0" y="0"/>
                <wp:positionH relativeFrom="column">
                  <wp:align>left</wp:align>
                </wp:positionH>
                <wp:positionV relativeFrom="line">
                  <wp:posOffset>635</wp:posOffset>
                </wp:positionV>
                <wp:extent cx="127000" cy="350520"/>
                <wp:effectExtent l="0" t="0" r="0" b="0"/>
                <wp:wrapSquare wrapText="right"/>
                <wp:docPr id="6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Regulatory and rating agency considerations;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71">
                <wp:simplePos x="0" y="0"/>
                <wp:positionH relativeFrom="column">
                  <wp:align>left</wp:align>
                </wp:positionH>
                <wp:positionV relativeFrom="line">
                  <wp:posOffset>635</wp:posOffset>
                </wp:positionV>
                <wp:extent cx="127000" cy="350520"/>
                <wp:effectExtent l="0" t="0" r="0" b="0"/>
                <wp:wrapSquare wrapText="right"/>
                <wp:docPr id="61"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Leadership structure;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72">
                <wp:simplePos x="0" y="0"/>
                <wp:positionH relativeFrom="column">
                  <wp:align>left</wp:align>
                </wp:positionH>
                <wp:positionV relativeFrom="line">
                  <wp:posOffset>635</wp:posOffset>
                </wp:positionV>
                <wp:extent cx="127000" cy="350520"/>
                <wp:effectExtent l="0" t="0" r="0" b="0"/>
                <wp:wrapSquare wrapText="right"/>
                <wp:docPr id="62"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Board composition, including the qualifications, skills, and backgrounds of Board members.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73">
                <wp:simplePos x="0" y="0"/>
                <wp:positionH relativeFrom="column">
                  <wp:align>left</wp:align>
                </wp:positionH>
                <wp:positionV relativeFrom="line">
                  <wp:posOffset>635</wp:posOffset>
                </wp:positionV>
                <wp:extent cx="127000" cy="350520"/>
                <wp:effectExtent l="0" t="0" r="0" b="0"/>
                <wp:wrapSquare wrapText="right"/>
                <wp:docPr id="63"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Our outreach initiative over the last twelve months has included communication with over 200 existing and potential shareholders. Additionally, interested parties may communicate with members of the Board of Directors, executive management, and Investor Relations through </w:t>
      </w:r>
      <w:r>
        <w:rPr>
          <w:rFonts w:ascii="Arial Narrow;Arial;Helvetica;sans-serif" w:hAnsi="Arial Narrow;Arial;Helvetica;sans-serif"/>
          <w:b/>
          <w:i w:val="false"/>
          <w:caps w:val="false"/>
          <w:smallCaps w:val="false"/>
          <w:color w:val="000000"/>
          <w:sz w:val="19"/>
        </w:rPr>
        <w:t>InvestorRelations@james-river-group.com.</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OFF-SEASON ENGAGEMENT OVERVIEW</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Following our 2025 Annual Meeting, we conducted off-season engagement to gain further insight into the factors that informed our shareholders’ votes on our 2025 executive compensation program, as further described below.</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2346"/>
        <w:gridCol w:w="109"/>
        <w:gridCol w:w="109"/>
        <w:gridCol w:w="109"/>
        <w:gridCol w:w="2876"/>
        <w:gridCol w:w="109"/>
        <w:gridCol w:w="109"/>
        <w:gridCol w:w="109"/>
        <w:gridCol w:w="3130"/>
        <w:gridCol w:w="155"/>
      </w:tblGrid>
      <w:tr>
        <w:trPr/>
        <w:tc>
          <w:tcPr>
            <w:tcW w:w="124" w:type="dxa"/>
            <w:tcBorders>
              <w:bottom w:val="single" w:sz="6" w:space="0" w:color="BFBFBF"/>
            </w:tcBorders>
            <w:shd w:fill="F2F2F2" w:val="clear"/>
            <w:vAlign w:val="center"/>
          </w:tcPr>
          <w:p>
            <w:pPr>
              <w:pStyle w:val="TableContents"/>
              <w:bidi w:val="0"/>
              <w:spacing w:before="0" w:after="283"/>
              <w:jc w:val="left"/>
              <w:rPr/>
            </w:pPr>
            <w:r>
              <w:rPr/>
              <w:t>​</w:t>
            </w:r>
          </w:p>
        </w:tc>
        <w:tc>
          <w:tcPr>
            <w:tcW w:w="2346" w:type="dxa"/>
            <w:tcBorders>
              <w:bottom w:val="single" w:sz="6" w:space="0" w:color="BFBFBF"/>
            </w:tcBorders>
            <w:shd w:fill="F2F2F2" w:val="clear"/>
            <w:tcMar>
              <w:bottom w:w="331" w:type="dxa"/>
            </w:tcMar>
            <w:vAlign w:val="center"/>
          </w:tcPr>
          <w:p>
            <w:pPr>
              <w:pStyle w:val="TableContents"/>
              <w:bidi w:val="0"/>
              <w:spacing w:lineRule="atLeast" w:line="226" w:before="0" w:after="0"/>
              <w:jc w:val="left"/>
              <w:rPr/>
            </w:pPr>
            <w:r>
              <w:rPr>
                <w:b/>
                <w:color w:val="002C73"/>
              </w:rPr>
              <w:t>INVITED top 25 shareholders to engage with us, representing ~61.3%</w:t>
            </w:r>
            <w:r>
              <w:rPr/>
              <w:t xml:space="preserve"> of shares outstanding</w:t>
            </w:r>
            <w:r>
              <w:rPr>
                <w:sz w:val="12"/>
              </w:rPr>
              <w:t>1</w:t>
            </w:r>
            <w:r>
              <w:rPr/>
              <w:t xml:space="preserve"> </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2876" w:type="dxa"/>
            <w:tcBorders>
              <w:bottom w:val="single" w:sz="6" w:space="0" w:color="BFBFBF"/>
            </w:tcBorders>
            <w:shd w:fill="F2F2F2" w:val="clear"/>
            <w:tcMar>
              <w:bottom w:w="160" w:type="dxa"/>
            </w:tcMar>
            <w:vAlign w:val="center"/>
          </w:tcPr>
          <w:p>
            <w:pPr>
              <w:pStyle w:val="TableContents"/>
              <w:bidi w:val="0"/>
              <w:spacing w:lineRule="atLeast" w:line="226" w:before="0" w:after="0"/>
              <w:jc w:val="left"/>
              <w:rPr/>
            </w:pPr>
            <w:r>
              <w:rPr>
                <w:b/>
                <w:color w:val="002C73"/>
              </w:rPr>
              <w:t>MET with 6 shareholders who are amongst our largest and accepted our engagement request, representing ~55.3%</w:t>
            </w:r>
            <w:r>
              <w:rPr/>
              <w:t xml:space="preserve"> of shares outstanding</w:t>
            </w:r>
            <w:r>
              <w:rPr>
                <w:sz w:val="12"/>
              </w:rPr>
              <w:t>1</w:t>
            </w:r>
            <w:r>
              <w:rPr/>
              <w:t xml:space="preserve"> </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3130" w:type="dxa"/>
            <w:tcBorders>
              <w:bottom w:val="single" w:sz="6" w:space="0" w:color="BFBFBF"/>
            </w:tcBorders>
            <w:shd w:fill="F2F2F2" w:val="clear"/>
            <w:tcMar>
              <w:bottom w:w="160" w:type="dxa"/>
            </w:tcMar>
            <w:vAlign w:val="center"/>
          </w:tcPr>
          <w:p>
            <w:pPr>
              <w:pStyle w:val="TableContents"/>
              <w:bidi w:val="0"/>
              <w:spacing w:lineRule="atLeast" w:line="226" w:before="0" w:after="0"/>
              <w:jc w:val="left"/>
              <w:rPr/>
            </w:pPr>
            <w:r>
              <w:rPr>
                <w:b/>
                <w:color w:val="002C73"/>
              </w:rPr>
              <w:t>Board Chair and Compensation and Human Capital Committee Chair</w:t>
            </w:r>
            <w:r>
              <w:rPr/>
              <w:t xml:space="preserve"> led most shareholder discussions with the support of the Investor Relations team</w:t>
            </w:r>
          </w:p>
        </w:tc>
        <w:tc>
          <w:tcPr>
            <w:tcW w:w="155" w:type="dxa"/>
            <w:tcBorders>
              <w:bottom w:val="single" w:sz="6" w:space="0" w:color="BFBFBF"/>
            </w:tcBorders>
            <w:shd w:fill="F2F2F2" w:val="clear"/>
            <w:vAlign w:val="center"/>
          </w:tcPr>
          <w:p>
            <w:pPr>
              <w:pStyle w:val="TableContents"/>
              <w:bidi w:val="0"/>
              <w:spacing w:before="0" w:after="283"/>
              <w:jc w:val="left"/>
              <w:rPr/>
            </w:pPr>
            <w:r>
              <w:rPr/>
              <w:t>​</w:t>
            </w:r>
          </w:p>
        </w:tc>
      </w:tr>
    </w:tbl>
    <w:p>
      <w:pPr>
        <w:pStyle w:val="TextBody"/>
        <w:bidi w:val="0"/>
        <w:spacing w:lineRule="atLeast" w:line="220" w:before="120"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Overall, the feedback we received did not indicate broad-based concerns with the core structure or design of our executive compensation program. Shareholders who engaged with us expressed a range of perspectives, at times divergent, on our 2025 ‘say-on-pay’ proposal.</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Shareholders generally acknowledged the challenging circumstances surrounding the 2024 compensation year, including the strategic review, Board recommended strategic transactions, and importance of retaining key executive talent during a period of uncertainty. While some shareholders voted against the proposal based on their internal voting philosophies regarding retention awards and adjustments to the calculation of short-term incentive plan awards, they generally responded favorably to the overall executive compensation framework established several years ago. Discussions also focused on the overall pay and performance alignment and opportunities to enhance our compensation and governance disclosures.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Below, we summarize key themes from shareholder feedback and the Compensation and Human Capital Committee’s related considerations and responsive actions.</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2376"/>
        <w:gridCol w:w="109"/>
        <w:gridCol w:w="109"/>
        <w:gridCol w:w="109"/>
        <w:gridCol w:w="2530"/>
        <w:gridCol w:w="109"/>
        <w:gridCol w:w="109"/>
        <w:gridCol w:w="109"/>
        <w:gridCol w:w="3445"/>
        <w:gridCol w:w="156"/>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376" w:type="dxa"/>
            <w:tcBorders>
              <w:bottom w:val="single" w:sz="12" w:space="0" w:color="3F3F3F"/>
            </w:tcBorders>
            <w:shd w:fill="F2F2F2" w:val="clear"/>
            <w:tcMar>
              <w:bottom w:w="135" w:type="dxa"/>
            </w:tcMar>
            <w:vAlign w:val="center"/>
          </w:tcPr>
          <w:p>
            <w:pPr>
              <w:pStyle w:val="TableContents"/>
              <w:bidi w:val="0"/>
              <w:spacing w:before="0" w:after="0"/>
              <w:jc w:val="left"/>
              <w:rPr/>
            </w:pPr>
            <w:r>
              <w:rPr/>
              <w:t xml:space="preserve">TOPICS DISCUSSED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530"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KEY THEMES OF FEEDBACK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3445" w:type="dxa"/>
            <w:tcBorders>
              <w:bottom w:val="single" w:sz="12" w:space="0" w:color="3F3F3F"/>
            </w:tcBorders>
            <w:shd w:fill="F2F2F2" w:val="clear"/>
            <w:tcMar>
              <w:bottom w:w="135" w:type="dxa"/>
            </w:tcMar>
            <w:vAlign w:val="center"/>
          </w:tcPr>
          <w:p>
            <w:pPr>
              <w:pStyle w:val="TableContents"/>
              <w:bidi w:val="0"/>
              <w:spacing w:before="0" w:after="0"/>
              <w:jc w:val="center"/>
              <w:rPr/>
            </w:pPr>
            <w:r>
              <w:rPr/>
              <w:t>CONSIDERATIONS AND ACTIONS</w:t>
            </w:r>
          </w:p>
        </w:tc>
        <w:tc>
          <w:tcPr>
            <w:tcW w:w="156"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376" w:type="dxa"/>
            <w:tcBorders>
              <w:bottom w:val="single" w:sz="6" w:space="0" w:color="BFBFBF"/>
            </w:tcBorders>
            <w:tcMar>
              <w:bottom w:w="135" w:type="dxa"/>
            </w:tcMar>
            <w:vAlign w:val="center"/>
          </w:tcPr>
          <w:p>
            <w:pPr>
              <w:pStyle w:val="TableContents"/>
              <w:bidi w:val="0"/>
              <w:spacing w:before="0" w:after="283"/>
              <w:jc w:val="left"/>
              <w:rPr/>
            </w:pPr>
            <w:r>
              <w:rPr/>
              <w:t>Pay-for-Performance Alignment of the Executive Compensation</w:t>
              <w:br/>
              <w:t xml:space="preserve">Program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530" w:type="dxa"/>
            <w:tcBorders>
              <w:bottom w:val="single" w:sz="6" w:space="0" w:color="BFBFBF"/>
            </w:tcBorders>
            <w:tcMar>
              <w:bottom w:w="135" w:type="dxa"/>
            </w:tcMar>
            <w:vAlign w:val="center"/>
          </w:tcPr>
          <w:p>
            <w:pPr>
              <w:pStyle w:val="TableContents"/>
              <w:bidi w:val="0"/>
              <w:spacing w:before="0" w:after="0"/>
              <w:jc w:val="left"/>
              <w:rPr/>
            </w:pPr>
            <w:r>
              <w:rPr/>
              <w:t>General support for the overall executive compensation framework, including the structure and performance goals of the short- and long-term incentive programs</w:t>
            </w:r>
          </w:p>
          <w:p>
            <w:pPr>
              <w:pStyle w:val="TableContents"/>
              <w:bidi w:val="0"/>
              <w:spacing w:lineRule="atLeast" w:line="226" w:before="156" w:after="0"/>
              <w:ind w:left="190" w:right="0" w:hanging="0"/>
              <w:jc w:val="left"/>
              <w:rPr/>
            </w:pPr>
            <w:r>
              <w:rPr/>
              <w:t xml:space="preserve">Certain shareholders emphasized importance of maintaining strong alignment between executive compensation outcomes, Company performance and long-term shareholder value </w:t>
            </w:r>
            <w:r>
              <mc:AlternateContent>
                <mc:Choice Requires="wps">
                  <w:drawing>
                    <wp:anchor behindDoc="0" distT="99060" distB="0" distL="0" distR="0" simplePos="0" locked="0" layoutInCell="1" allowOverlap="1" relativeHeight="74">
                      <wp:simplePos x="0" y="0"/>
                      <wp:positionH relativeFrom="column">
                        <wp:align>left</wp:align>
                      </wp:positionH>
                      <wp:positionV relativeFrom="line">
                        <wp:align>top</wp:align>
                      </wp:positionV>
                      <wp:extent cx="120650" cy="350520"/>
                      <wp:effectExtent l="0" t="0" r="0" b="0"/>
                      <wp:wrapSquare wrapText="right"/>
                      <wp:docPr id="64" name="Frame3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3445" w:type="dxa"/>
            <w:tcBorders>
              <w:bottom w:val="single" w:sz="6" w:space="0" w:color="BFBFBF"/>
            </w:tcBorders>
            <w:tcMar>
              <w:bottom w:w="135" w:type="dxa"/>
            </w:tcMar>
            <w:vAlign w:val="center"/>
          </w:tcPr>
          <w:p>
            <w:pPr>
              <w:pStyle w:val="TableContents"/>
              <w:bidi w:val="0"/>
              <w:spacing w:lineRule="atLeast" w:line="226" w:before="0" w:after="0"/>
              <w:ind w:left="190" w:right="0" w:hanging="0"/>
              <w:jc w:val="left"/>
              <w:rPr/>
            </w:pPr>
            <w:r>
              <w:rPr/>
              <w:t>~67% of the CEO’s 2025 target compensation was variable and at-risk, with the substantial majority performance-based</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120650" cy="350520"/>
                      <wp:effectExtent l="0" t="0" r="0" b="0"/>
                      <wp:wrapSquare wrapText="right"/>
                      <wp:docPr id="65" name="Frame3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Realizable pay for 2025 represented ~76% of target pay, driven by below-target payout for the 2023 performance restricted share units and most short-term performance metrics also paying below target</w:t>
            </w:r>
            <w:r>
              <mc:AlternateContent>
                <mc:Choice Requires="wps">
                  <w:drawing>
                    <wp:anchor behindDoc="0" distT="99060" distB="0" distL="0" distR="0" simplePos="0" locked="0" layoutInCell="1" allowOverlap="1" relativeHeight="76">
                      <wp:simplePos x="0" y="0"/>
                      <wp:positionH relativeFrom="column">
                        <wp:align>left</wp:align>
                      </wp:positionH>
                      <wp:positionV relativeFrom="line">
                        <wp:align>top</wp:align>
                      </wp:positionV>
                      <wp:extent cx="120650" cy="350520"/>
                      <wp:effectExtent l="0" t="0" r="0" b="0"/>
                      <wp:wrapSquare wrapText="right"/>
                      <wp:docPr id="66" name="Frame3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BFBFBF"/>
            </w:tcBorders>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6" w:before="246" w:after="0"/>
        <w:ind w:left="40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Assuming conversion of the Series A Preferred Shares to common stock.</w:t>
      </w:r>
      <w:r>
        <mc:AlternateContent>
          <mc:Choice Requires="wps">
            <w:drawing>
              <wp:anchor behindDoc="0" distT="16891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7"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z w:val="1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3pt;mso-wrap-distance-bottom:0pt;margin-top:13.3pt;mso-position-vertical:top;mso-position-vertical-relative:text;margin-left:0pt;mso-position-horizontal:left;mso-position-horizontal-relative:text">
                <v:textbox>
                  <w:txbxContent>
                    <w:p>
                      <w:pPr>
                        <w:pStyle w:val="TextBody"/>
                        <w:bidi w:val="0"/>
                        <w:spacing w:before="0" w:after="283"/>
                        <w:jc w:val="left"/>
                        <w:rPr/>
                      </w:pPr>
                      <w:r>
                        <w:rPr>
                          <w:sz w:val="14"/>
                        </w:rPr>
                        <w:t>1</w:t>
                      </w:r>
                      <w:r>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10</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28" w:type="dxa"/>
          <w:right w:w="0" w:type="dxa"/>
        </w:tblCellMar>
      </w:tblPr>
      <w:tblGrid>
        <w:gridCol w:w="124"/>
        <w:gridCol w:w="1674"/>
        <w:gridCol w:w="109"/>
        <w:gridCol w:w="109"/>
        <w:gridCol w:w="109"/>
        <w:gridCol w:w="2302"/>
        <w:gridCol w:w="109"/>
        <w:gridCol w:w="109"/>
        <w:gridCol w:w="109"/>
        <w:gridCol w:w="4376"/>
        <w:gridCol w:w="155"/>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674" w:type="dxa"/>
            <w:tcBorders>
              <w:bottom w:val="single" w:sz="12" w:space="0" w:color="3F3F3F"/>
            </w:tcBorders>
            <w:shd w:fill="F2F2F2" w:val="clear"/>
            <w:tcMar>
              <w:bottom w:w="135" w:type="dxa"/>
            </w:tcMar>
            <w:vAlign w:val="center"/>
          </w:tcPr>
          <w:p>
            <w:pPr>
              <w:pStyle w:val="TableContents"/>
              <w:bidi w:val="0"/>
              <w:spacing w:before="0" w:after="0"/>
              <w:jc w:val="left"/>
              <w:rPr/>
            </w:pPr>
            <w:r>
              <w:rPr/>
              <w:t xml:space="preserve">TOPICS DISCUSSED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302"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KEY THEMES OF FEEDBACK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4376" w:type="dxa"/>
            <w:tcBorders>
              <w:bottom w:val="single" w:sz="12" w:space="0" w:color="3F3F3F"/>
            </w:tcBorders>
            <w:shd w:fill="F2F2F2" w:val="clear"/>
            <w:tcMar>
              <w:bottom w:w="135" w:type="dxa"/>
            </w:tcMar>
            <w:vAlign w:val="center"/>
          </w:tcPr>
          <w:p>
            <w:pPr>
              <w:pStyle w:val="TableContents"/>
              <w:bidi w:val="0"/>
              <w:spacing w:before="0" w:after="0"/>
              <w:jc w:val="center"/>
              <w:rPr/>
            </w:pPr>
            <w:r>
              <w:rPr/>
              <w:t>CONSIDERATIONS AND ACTIONS</w:t>
            </w:r>
          </w:p>
        </w:tc>
        <w:tc>
          <w:tcPr>
            <w:tcW w:w="155"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6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0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376" w:type="dxa"/>
            <w:tcBorders>
              <w:bottom w:val="single" w:sz="2" w:space="0" w:color="BFBFBF"/>
            </w:tcBorders>
            <w:vAlign w:val="center"/>
          </w:tcPr>
          <w:p>
            <w:pPr>
              <w:pStyle w:val="TableContents"/>
              <w:bidi w:val="0"/>
              <w:spacing w:lineRule="atLeast" w:line="226" w:before="0" w:after="0"/>
              <w:ind w:left="190" w:right="0" w:hanging="0"/>
              <w:jc w:val="left"/>
              <w:rPr/>
            </w:pPr>
            <w:r>
              <w:rPr/>
              <w:t xml:space="preserve">CEO’s target short- and long-term incentive opportunities, which were significantly below market and previously aligned with certain other NEOs, remained unchanged for the last five years since his appointment in 2020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120650" cy="350520"/>
                      <wp:effectExtent l="0" t="0" r="0" b="0"/>
                      <wp:wrapSquare wrapText="right"/>
                      <wp:docPr id="68" name="Frame3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74" w:type="dxa"/>
            <w:tcBorders/>
            <w:tcMar>
              <w:bottom w:w="0" w:type="dxa"/>
            </w:tcMar>
            <w:vAlign w:val="center"/>
          </w:tcPr>
          <w:p>
            <w:pPr>
              <w:pStyle w:val="TableContents"/>
              <w:bidi w:val="0"/>
              <w:spacing w:before="0" w:after="283"/>
              <w:jc w:val="left"/>
              <w:rPr/>
            </w:pPr>
            <w:r>
              <w:rPr/>
              <w:t xml:space="preserve">2024 Retention Awards and Use of Discretion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lineRule="atLeast" w:line="226" w:before="0" w:after="0"/>
              <w:ind w:left="190" w:right="0" w:hanging="0"/>
              <w:jc w:val="left"/>
              <w:rPr/>
            </w:pPr>
            <w:r>
              <w:rPr/>
              <w:t>Overall understanding of the rationale for the one-time retention awards in light of the strategic review and transformation underway at the Company, although views differed on the use of one-time awards</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120650" cy="350520"/>
                      <wp:effectExtent l="0" t="0" r="0" b="0"/>
                      <wp:wrapSquare wrapText="right"/>
                      <wp:docPr id="69" name="Frame3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Certain shareholders wanted to understand the Compensation and Human Capital Committee’s rationale for issuing the retention awards in the form of cash incentives</w:t>
            </w:r>
            <w:r>
              <mc:AlternateContent>
                <mc:Choice Requires="wps">
                  <w:drawing>
                    <wp:anchor behindDoc="0" distT="99060" distB="0" distL="0" distR="0" simplePos="0" locked="0" layoutInCell="1" allowOverlap="1" relativeHeight="80">
                      <wp:simplePos x="0" y="0"/>
                      <wp:positionH relativeFrom="column">
                        <wp:align>left</wp:align>
                      </wp:positionH>
                      <wp:positionV relativeFrom="line">
                        <wp:align>top</wp:align>
                      </wp:positionV>
                      <wp:extent cx="120650" cy="350520"/>
                      <wp:effectExtent l="0" t="0" r="0" b="0"/>
                      <wp:wrapSquare wrapText="right"/>
                      <wp:docPr id="70" name="Frame3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 xml:space="preserve">Preference for limiting discretionary components going forward </w:t>
            </w:r>
            <w:r>
              <mc:AlternateContent>
                <mc:Choice Requires="wps">
                  <w:drawing>
                    <wp:anchor behindDoc="0" distT="99060" distB="0" distL="0" distR="0" simplePos="0" locked="0" layoutInCell="1" allowOverlap="1" relativeHeight="81">
                      <wp:simplePos x="0" y="0"/>
                      <wp:positionH relativeFrom="column">
                        <wp:align>left</wp:align>
                      </wp:positionH>
                      <wp:positionV relativeFrom="line">
                        <wp:align>top</wp:align>
                      </wp:positionV>
                      <wp:extent cx="120650" cy="350520"/>
                      <wp:effectExtent l="0" t="0" r="0" b="0"/>
                      <wp:wrapSquare wrapText="right"/>
                      <wp:docPr id="71" name="Frame3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6" w:type="dxa"/>
            <w:tcBorders/>
            <w:tcMar>
              <w:bottom w:w="0" w:type="dxa"/>
            </w:tcMar>
            <w:vAlign w:val="center"/>
          </w:tcPr>
          <w:p>
            <w:pPr>
              <w:pStyle w:val="TableContents"/>
              <w:bidi w:val="0"/>
              <w:spacing w:lineRule="atLeast" w:line="226" w:before="0" w:after="0"/>
              <w:ind w:left="190" w:right="0" w:hanging="0"/>
              <w:jc w:val="left"/>
              <w:rPr/>
            </w:pPr>
            <w:r>
              <w:rPr/>
              <w:t>In approving cash retention awards, the Compensation and Human Capital Committee worked with its independent compensation consultant to assess a range of incentive types and determined that cash retention awards were most effective in supporting executive retention and supporting additional responsibilities throughout the strategic review process</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120650" cy="350520"/>
                      <wp:effectExtent l="0" t="0" r="0" b="0"/>
                      <wp:wrapSquare wrapText="right"/>
                      <wp:docPr id="72" name="Frame3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96" w:after="0"/>
              <w:ind w:left="190" w:right="0" w:hanging="0"/>
              <w:jc w:val="left"/>
              <w:rPr/>
            </w:pPr>
            <w:r>
              <w:rPr/>
              <w:t>The 2024 one-time retention program concluded in 2025 and accomplished the critical objective of maintaining a cohesive, engaged senior leadership team. The Compensation and Human Capital Committee does not generally intend to provide one-time grants except in a judicious and limited manner when warranted by specific circumstances, such as when retention considerations may not be adequately addressed through other available incentives and could affect continuity or execution</w:t>
            </w:r>
            <w:r>
              <mc:AlternateContent>
                <mc:Choice Requires="wps">
                  <w:drawing>
                    <wp:anchor behindDoc="0" distT="60960" distB="0" distL="0" distR="0" simplePos="0" locked="0" layoutInCell="1" allowOverlap="1" relativeHeight="83">
                      <wp:simplePos x="0" y="0"/>
                      <wp:positionH relativeFrom="column">
                        <wp:align>left</wp:align>
                      </wp:positionH>
                      <wp:positionV relativeFrom="line">
                        <wp:align>top</wp:align>
                      </wp:positionV>
                      <wp:extent cx="120650" cy="350520"/>
                      <wp:effectExtent l="0" t="0" r="0" b="0"/>
                      <wp:wrapSquare wrapText="right"/>
                      <wp:docPr id="73" name="Frame4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6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0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376" w:type="dxa"/>
            <w:tcBorders>
              <w:bottom w:val="single" w:sz="2" w:space="0" w:color="BFBFBF"/>
            </w:tcBorders>
            <w:vAlign w:val="center"/>
          </w:tcPr>
          <w:p>
            <w:pPr>
              <w:pStyle w:val="TableContents"/>
              <w:bidi w:val="0"/>
              <w:spacing w:lineRule="atLeast" w:line="226" w:before="0" w:after="0"/>
              <w:ind w:left="190" w:right="0" w:hanging="0"/>
              <w:jc w:val="left"/>
              <w:rPr/>
            </w:pPr>
            <w:r>
              <w:rPr/>
              <w:t>Discretionary adjustments to performance metrics under the Company’s short-term incentive plan have been limited to situations in which the metrics would have otherwise been negatively impacted by strategic actions undertaken by management at the direction of the Board that were deemed essential to delivering long-term value to shareholders. The Compensation and Human Capital Committee believed that the adjustments were necessary to preserve the motivational objective of the short-term incentive plan</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120650" cy="350520"/>
                      <wp:effectExtent l="0" t="0" r="0" b="0"/>
                      <wp:wrapSquare wrapText="right"/>
                      <wp:docPr id="74" name="Frame4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674" w:type="dxa"/>
            <w:tcBorders>
              <w:bottom w:val="single" w:sz="6" w:space="0" w:color="BFBFBF"/>
            </w:tcBorders>
            <w:tcMar>
              <w:bottom w:w="80" w:type="dxa"/>
            </w:tcMar>
            <w:vAlign w:val="center"/>
          </w:tcPr>
          <w:p>
            <w:pPr>
              <w:pStyle w:val="TableContents"/>
              <w:bidi w:val="0"/>
              <w:spacing w:before="0" w:after="283"/>
              <w:jc w:val="left"/>
              <w:rPr/>
            </w:pPr>
            <w:r>
              <w:rPr/>
              <w:t xml:space="preserve">Clear Disclosure of Performance Targets under the PRSU Program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302" w:type="dxa"/>
            <w:tcBorders>
              <w:bottom w:val="single" w:sz="6" w:space="0" w:color="BFBFBF"/>
            </w:tcBorders>
            <w:tcMar>
              <w:bottom w:w="80" w:type="dxa"/>
            </w:tcMar>
            <w:vAlign w:val="center"/>
          </w:tcPr>
          <w:p>
            <w:pPr>
              <w:pStyle w:val="TableContents"/>
              <w:bidi w:val="0"/>
              <w:spacing w:lineRule="atLeast" w:line="226" w:before="0" w:after="0"/>
              <w:ind w:left="190" w:right="0" w:hanging="0"/>
              <w:jc w:val="left"/>
              <w:rPr/>
            </w:pPr>
            <w:r>
              <w:rPr/>
              <w:t xml:space="preserve">Certain shareholders expressed a preference for enhanced disclosure of performance goals for both vested and new PRSU grant cycles, where practicable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120650" cy="350520"/>
                      <wp:effectExtent l="0" t="0" r="0" b="0"/>
                      <wp:wrapSquare wrapText="right"/>
                      <wp:docPr id="75" name="Frame4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4376" w:type="dxa"/>
            <w:tcBorders>
              <w:bottom w:val="single" w:sz="6" w:space="0" w:color="BFBFBF"/>
            </w:tcBorders>
            <w:tcMar>
              <w:bottom w:w="40" w:type="dxa"/>
            </w:tcMar>
            <w:vAlign w:val="center"/>
          </w:tcPr>
          <w:p>
            <w:pPr>
              <w:pStyle w:val="TableContents"/>
              <w:bidi w:val="0"/>
              <w:spacing w:lineRule="atLeast" w:line="226" w:before="0" w:after="0"/>
              <w:ind w:left="190" w:right="0" w:hanging="0"/>
              <w:jc w:val="left"/>
              <w:rPr/>
            </w:pPr>
            <w:r>
              <w:rPr/>
              <w:t>This proxy statement provides detailed disclosure of the performance targets, including threshold and maximum levels, actual results and associated payouts for the 2023 performance restricted share units following completion of the three-year performance period in 2025</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120650" cy="350520"/>
                      <wp:effectExtent l="0" t="0" r="0" b="0"/>
                      <wp:wrapSquare wrapText="right"/>
                      <wp:docPr id="76" name="Frame4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11</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ESG"/>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28" w:type="dxa"/>
          <w:right w:w="0" w:type="dxa"/>
        </w:tblCellMar>
      </w:tblPr>
      <w:tblGrid>
        <w:gridCol w:w="124"/>
        <w:gridCol w:w="1592"/>
        <w:gridCol w:w="109"/>
        <w:gridCol w:w="109"/>
        <w:gridCol w:w="109"/>
        <w:gridCol w:w="1732"/>
        <w:gridCol w:w="109"/>
        <w:gridCol w:w="109"/>
        <w:gridCol w:w="109"/>
        <w:gridCol w:w="5028"/>
        <w:gridCol w:w="155"/>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592" w:type="dxa"/>
            <w:tcBorders>
              <w:bottom w:val="single" w:sz="12" w:space="0" w:color="3F3F3F"/>
            </w:tcBorders>
            <w:shd w:fill="F2F2F2" w:val="clear"/>
            <w:tcMar>
              <w:bottom w:w="135" w:type="dxa"/>
            </w:tcMar>
            <w:vAlign w:val="center"/>
          </w:tcPr>
          <w:p>
            <w:pPr>
              <w:pStyle w:val="TableContents"/>
              <w:bidi w:val="0"/>
              <w:spacing w:before="0" w:after="0"/>
              <w:jc w:val="left"/>
              <w:rPr/>
            </w:pPr>
            <w:r>
              <w:rPr/>
              <w:t xml:space="preserve">TOPICS DISCUSSED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32"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KEY THEMES OF FEEDBACK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5028" w:type="dxa"/>
            <w:tcBorders>
              <w:bottom w:val="single" w:sz="12" w:space="0" w:color="3F3F3F"/>
            </w:tcBorders>
            <w:shd w:fill="F2F2F2" w:val="clear"/>
            <w:tcMar>
              <w:bottom w:w="135" w:type="dxa"/>
            </w:tcMar>
            <w:vAlign w:val="center"/>
          </w:tcPr>
          <w:p>
            <w:pPr>
              <w:pStyle w:val="TableContents"/>
              <w:bidi w:val="0"/>
              <w:spacing w:before="0" w:after="0"/>
              <w:jc w:val="center"/>
              <w:rPr/>
            </w:pPr>
            <w:r>
              <w:rPr/>
              <w:t>CONSIDERATIONS AND ACTIONS</w:t>
            </w:r>
          </w:p>
        </w:tc>
        <w:tc>
          <w:tcPr>
            <w:tcW w:w="155"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592" w:type="dxa"/>
            <w:tcBorders>
              <w:bottom w:val="single" w:sz="6" w:space="0" w:color="BFBFBF"/>
            </w:tcBorders>
            <w:tcMar>
              <w:bottom w:w="135" w:type="dxa"/>
            </w:tcM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732" w:type="dxa"/>
            <w:tcBorders>
              <w:bottom w:val="single" w:sz="6" w:space="0" w:color="BFBFBF"/>
            </w:tcBorders>
            <w:tcMar>
              <w:bottom w:w="135" w:type="dxa"/>
            </w:tcM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5028" w:type="dxa"/>
            <w:tcBorders>
              <w:bottom w:val="single" w:sz="6" w:space="0" w:color="BFBFBF"/>
            </w:tcBorders>
            <w:tcMar>
              <w:bottom w:w="135" w:type="dxa"/>
            </w:tcMar>
            <w:vAlign w:val="center"/>
          </w:tcPr>
          <w:p>
            <w:pPr>
              <w:pStyle w:val="TableContents"/>
              <w:bidi w:val="0"/>
              <w:spacing w:lineRule="atLeast" w:line="226" w:before="0" w:after="0"/>
              <w:ind w:left="170" w:right="0" w:hanging="0"/>
              <w:jc w:val="left"/>
              <w:rPr/>
            </w:pPr>
            <w:r>
              <w:rPr/>
              <w:t>James River does not currently disclose prospective performance goals, consistent with prevailing market practice, given the potential sensitivity of this information and risk of competitive harm to the Company</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107950" cy="350520"/>
                      <wp:effectExtent l="0" t="0" r="0" b="0"/>
                      <wp:wrapSquare wrapText="right"/>
                      <wp:docPr id="77" name="Frame4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96" w:after="0"/>
              <w:ind w:left="170" w:right="0" w:hanging="0"/>
              <w:jc w:val="left"/>
              <w:rPr/>
            </w:pPr>
            <w:r>
              <w:rPr/>
              <w:t>The Compensation and Human Capital Committee will continue to evaluate its disclosure approach in light of evolving market practices and shareholder feedback</w:t>
            </w:r>
            <w:r>
              <mc:AlternateContent>
                <mc:Choice Requires="wps">
                  <w:drawing>
                    <wp:anchor behindDoc="0" distT="60960" distB="0" distL="0" distR="0" simplePos="0" locked="0" layoutInCell="1" allowOverlap="1" relativeHeight="88">
                      <wp:simplePos x="0" y="0"/>
                      <wp:positionH relativeFrom="column">
                        <wp:align>left</wp:align>
                      </wp:positionH>
                      <wp:positionV relativeFrom="line">
                        <wp:align>top</wp:align>
                      </wp:positionV>
                      <wp:extent cx="107950" cy="350520"/>
                      <wp:effectExtent l="0" t="0" r="0" b="0"/>
                      <wp:wrapSquare wrapText="right"/>
                      <wp:docPr id="78" name="Frame4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bl>
    <w:p>
      <w:pPr>
        <w:pStyle w:val="TextBody"/>
        <w:bidi w:val="0"/>
        <w:spacing w:lineRule="atLeast" w:line="220" w:before="1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look forward to continuing this dialogue with shareholders following the filing of this proxy statement and to considering their perspectives as we evolve our executive compensation program and related disclosures.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Environmental, Social &amp; Governance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are committed to fostering a sustainable business that supports the well-being of our employees, customers and communities. We strive to put our corporate values into action every day, including by providing engaging and rewarding work for our employees and always demonstrating integrity in our actions.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ETHICS</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are committed to conducting our business in compliance with the law and the highest ethical standards. The Company has adopted a Corporate Governance Manual that includes a series of policies designed to ensure our directors, officers and employees act in an ethical and legally compliant manner in the course of their service to the Company. The policies contained in the Corporate Governance Manual include, among others, our Code of Conduct, Policy on Insider Trading and Tipping, Whistleblower Policy, Conflict of Interest Policy, and Related Party Transactions Policy &amp; Procedures. All directors, officers, and employees are required to review and sign an acknowledgement of the Corporate Governance Manual on an annual basis.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CYBERSECURITY</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Company dedicates substantial efforts to managing cybersecurity risks. Significant time and resources are devoted to the protection of the Company’s systems and data, including the staffing of an experienced internal cybersecurity team, the use of a variety of preventative, detective and recovery tools, and engagement with external service providers to bolster the Company’s cyber defense and response capabilities. The Company assesses and monitors third-party risks and closely tracks cyber threats such as ransomware and emergent web-based vulnerabilities. Independent cybersecurity testing is performed by outside parties on at least an annual basis to identify opportunities for cyber control strengthening in the face of applicable threats. Company-wide cybersecurity training of employees is conducted, including through an annually required course of online training modules and a continuous email phishing test campaign. The Company maintains cyber liability insurance coverage in an effort to minimize any potential financial impacts from cybersecurity incidents that may occur. See Item 1C. of our Annual Report on Form 10-K filed on March 3, 2026 with the Securities and Exchange Commission for additional information on our Cybersecurity program.</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OUR EMPLOYEES</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strive to make James River a great place to work and a place where everyone is treated with dignity and fairness, respecting and recognizing each employee as an individual. We know our success as a company is founded on the talents, skills and efforts of our employees. We believe our culture enables us to attract and retain exceptional talent.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believe that by understanding and leveraging the different dimensions of diversity in our workforce, we drive empowerment, collaboration and innovation needed to be a leader in our industry. Equality in opportunity, career development, compensation and respect for all individuals are at the forefront of our culture and promoted within our workplace. As of December 31, 2025, we had 576 employees located in the United States, all but two classified as full-time, and two employees located in Bermuda.</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val="false"/>
          <w:caps w:val="false"/>
          <w:smallCaps w:val="false"/>
          <w:color w:val="002C73"/>
          <w:sz w:val="20"/>
        </w:rPr>
      </w:pPr>
      <w:r>
        <w:rPr>
          <w:rFonts w:ascii="Arial Narrow;Arial;Helvetica;sans-serif" w:hAnsi="Arial Narrow;Arial;Helvetica;sans-serif"/>
          <w:b w:val="false"/>
          <w:i w:val="false"/>
          <w:caps/>
          <w:color w:val="002C73"/>
          <w:sz w:val="20"/>
        </w:rPr>
        <w:t>EMPLOYEE BENEFITS</w:t>
      </w:r>
      <w:r>
        <w:rPr>
          <w:rFonts w:ascii="Arial Narrow;Arial;Helvetica;sans-serif" w:hAnsi="Arial Narrow;Arial;Helvetica;sans-serif"/>
          <w:b w:val="false"/>
          <w:i w:val="false"/>
          <w:caps w:val="false"/>
          <w:smallCaps w:val="false"/>
          <w:color w:val="000000"/>
          <w:spacing w:val="4"/>
          <w:sz w:val="20"/>
        </w:rPr>
        <w:t xml:space="preserve"> </w:t>
      </w:r>
    </w:p>
    <w:p>
      <w:pPr>
        <w:pStyle w:val="TextBody"/>
        <w:bidi w:val="0"/>
        <w:spacing w:lineRule="atLeast" w:line="220" w:before="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offer a competitive benefits package that is designed to support the well-being of our employees. Most employees are eligible for an annual bonus based upon individual performance, department performance, and overall performance of the Company. Benefits offered to our full-time employees include, among others, medical, dental and vision insurance, a comprehensive employee assistance program to support the mental health of our employees and their families, employer-paid life and disability plans, contributions to employee retirement accounts through a Company match with immediate vesting, paid parental leave and adoption assistance, and paid time off. In addition, we offer a range of discounts, incentives and supplemental benefit programs including preventative care, fitness incentives, and a matching gifts program.</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12</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OD"/>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continue to support a hybrid work model, one that offers our employees a flexible work environment that fosters in-person connection and collaboration and best supports our success as a Company. We believe in-office work strengthens our professional relationships and boosts employee training and development opportunities. We also understand that remote work offers benefits related to individual focus and time management. Hybrid work allows our company to thrive, balancing employee autonomy and satisfaction while preserving essential team communication and connection.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understand the critical role acknowledging employee contributions plays in improving morale and promoting a sense of purpose and appreciation. We have an Employee Recognition Program offering multiple channels for employees and managers to highlight each other’s accomplishments, mark service anniversaries, and celebrate life events. Employees can earn and award points under the program that they can use to purchase gift cards and merchandise or donate to charitable organizations.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val="false"/>
          <w:caps w:val="false"/>
          <w:smallCaps w:val="false"/>
          <w:color w:val="002C73"/>
          <w:sz w:val="20"/>
        </w:rPr>
      </w:pPr>
      <w:r>
        <w:rPr>
          <w:rFonts w:ascii="Arial Narrow;Arial;Helvetica;sans-serif" w:hAnsi="Arial Narrow;Arial;Helvetica;sans-serif"/>
          <w:b w:val="false"/>
          <w:i w:val="false"/>
          <w:caps/>
          <w:color w:val="002C73"/>
          <w:sz w:val="20"/>
        </w:rPr>
        <w:t>EMPLOYEE TRAINING AND DEVELOPMENT</w:t>
      </w:r>
      <w:r>
        <w:rPr>
          <w:rFonts w:ascii="Arial Narrow;Arial;Helvetica;sans-serif" w:hAnsi="Arial Narrow;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recognize the mutual benefits for our Company and our employees to further their formal education and professional development. We offer all employees opportunities for career development through our Employee Development and Education Assistance program, mentorship program and access to interactive career guides. Training is available to every employee and ranges from onboarding training for new hires to training sessions on general workplace and management skills. All employees, whether full-time or part-time, have access to an online learning management system that hosts courses and modules across a wide range of topics.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have a formal, annual performance review process that includes a mid-year check in. This provides managers and employees opportunities to discuss job responsibilities, encourage strengths and identify opportunities for development. In addition, we have a rigorous succession planning program to identify employees with high potential for future leadership roles, which is reviewed by the Compensation and Human Capital Committee and the Board on at least an annual basis.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val="false"/>
          <w:caps w:val="false"/>
          <w:smallCaps w:val="false"/>
          <w:color w:val="002C73"/>
          <w:sz w:val="20"/>
        </w:rPr>
      </w:pPr>
      <w:r>
        <w:rPr>
          <w:rFonts w:ascii="Arial Narrow;Arial;Helvetica;sans-serif" w:hAnsi="Arial Narrow;Arial;Helvetica;sans-serif"/>
          <w:b w:val="false"/>
          <w:i w:val="false"/>
          <w:caps/>
          <w:color w:val="002C73"/>
          <w:sz w:val="20"/>
        </w:rPr>
        <w:t>EMPLOYEE ENGAGEMENT</w:t>
      </w:r>
      <w:r>
        <w:rPr>
          <w:rFonts w:ascii="Arial Narrow;Arial;Helvetica;sans-serif" w:hAnsi="Arial Narrow;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value the opinions and perspectives of our employees and use the feedback that we receive throughout the year to help develop many of our company programs, policies, and benefits. We conduct an annual engagement survey to assess how motivated and engaged our employees are to perform their best each day. New hire feedback is collected over the first six months of employment, which allows us to reflect upon and improve aspects of our recruitment, onboarding, and training processes. In addition to the formal surveys, we collect valuable input through our Employee Engagement Committee and pulse surveys where employees may express their feedback regarding any aspect of their employment with the Company.</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last annual employee engagement survey, conducted in October 2025, had a 71% participation rate. Results were positive and compared favorably to other companies in the financial services industry that participated in the same survey. Based on the results, our Company was named a 2026 Top Workplaces USA winner, a recognition that we have received six years in a row. In addition, the Company was named a 2026 Top Workplace by the Richmond-Times Dispatch, our fourth consecutive year and tenth time receiving this award. The top words to describe our culture included: flexible, inclusive, supportive, helpful and goal-oriented. We believe this demonstrates a positive perception of the Company’s culture among our employees.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OUR COMMUNITIES</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believe it is important to engage with and provide support to our communities, and to encourage and support our employees as they volunteer time and resources to community-based charitable organizations. The Company provides employees with paid time off to volunteer with charitable organizations of their choice. We have an internal committee staffed by employees at various levels that identify and support our charitable and volunteer involvement in our local communities. In addition, we have a Matching Gifts Program to support our employees’ contributions to their preferred charitable organizations, and we donate information technology equipment no longer needed by the Company to an organization that refurbishes computers at low or no cost to qualifying veterans and support organizations.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Compensation of Directors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During 2025, our non-employee directors (excluding Mr. Botein) received an annual cash retainer in the amount of $125,000 per year, payable in four equal installments at the beginning of each quarter, and, excluding our Non-Executive Chair of the Board (“Chair”), an annual restricted share unit award with a fair market value of  $50,000 per year. Our Chair received an annual restricted share unit award with a fair market value of  $100,000, which is an increased amount in recognition of additional responsibilities in such capacity (Ms. LaSala served as the Chair in 2025).</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Non-employee directors that join the Board after annual grants are made during the first quarter of the year receive a pro-rated restricted share unit award for the period of service during the one-year period commencing on the date of grant of restricted share units to continuing directors. In this regard, Mr. Cavaness, who joined our Board on July 21, 2025, received a pro-rated restricted share unit award representing 5,479 shares of common stock, which was granted on July 24, 2025. The number of shares represented by Mr. Cavaness’s restricted share unit award was determined based upon the closing stock price on the date he joined the Board.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13</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OG"/>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awards of restricted share units are made from the Company’s 2014 Non-Employee Director Incentive Plan and vest in full on the first anniversary of the date of the grant (or, in the case of pro-rata grants made to a new director, on the first anniversary of the date of grant of restricted share units to the continuing directors).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addition to the aforementioned compensation, during 2025 the Chair of our Audit Committee was paid additional cash compensation in the amount of  $25,000 per year and each of the Compensation and Human Capital Committee Chair and Nominating and Corporate Governance Committee Chair were paid an additional $12,500 per year.</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Botein, who joined the Board in 2023, does not receive compensation for his service as a director, pursuant to the terms of the Investment Agreement relating to the issuance of our Series A Preferred Shares described under “Certain Relationships and Related Transactions — Related Party Transactions”.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February 20, 2026, the Board, upon recommendation of the Compensation and Human Capital Committee following consultation with its compensation consultant and to better align with pay levels of our peers, increased (i) the annual equity award to non-employee directors (other than the Chair) to $100,000; (ii) the annual equity award to the Chair to $150,000; (iii) the annual cash compensation to the Chair to $175,000; and (iv) the additional annual cash compensation to each of the Compensation and Human Capital Committee Chair and the Nominating and Corporate Governance Committee Chair to $17,500. The equity award increases took effect with the annual equity award to non-employee directors on March 4, 2026 and the cash compensation increases took effect on April 1, 2026. This was the first increase to our directors’ compensation since 2023.</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sets forth information concerning compensation earned by our non-employee directors during the year ended December 31, 2025.</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530"/>
        <w:gridCol w:w="109"/>
        <w:gridCol w:w="109"/>
        <w:gridCol w:w="109"/>
        <w:gridCol w:w="145"/>
        <w:gridCol w:w="145"/>
        <w:gridCol w:w="1184"/>
        <w:gridCol w:w="145"/>
        <w:gridCol w:w="109"/>
        <w:gridCol w:w="109"/>
        <w:gridCol w:w="109"/>
        <w:gridCol w:w="122"/>
        <w:gridCol w:w="122"/>
        <w:gridCol w:w="868"/>
        <w:gridCol w:w="125"/>
        <w:gridCol w:w="109"/>
        <w:gridCol w:w="109"/>
        <w:gridCol w:w="109"/>
        <w:gridCol w:w="234"/>
        <w:gridCol w:w="234"/>
        <w:gridCol w:w="1390"/>
        <w:gridCol w:w="235"/>
        <w:gridCol w:w="109"/>
        <w:gridCol w:w="109"/>
        <w:gridCol w:w="109"/>
        <w:gridCol w:w="109"/>
        <w:gridCol w:w="109"/>
        <w:gridCol w:w="886"/>
        <w:gridCol w:w="109"/>
        <w:gridCol w:w="161"/>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530"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NAME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19"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FEES EARNED OR</w:t>
              <w:br/>
              <w:t>PAID IN CASH</w:t>
            </w:r>
            <w:r>
              <w:rPr>
                <w:sz w:val="11"/>
              </w:rPr>
              <w:t>(1)</w:t>
            </w:r>
            <w:r>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37"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STOCK</w:t>
              <w:br/>
              <w:t>AWARDS</w:t>
            </w:r>
            <w:r>
              <w:rPr>
                <w:sz w:val="11"/>
              </w:rPr>
              <w:t>(2)</w:t>
            </w:r>
            <w:r>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93"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ALL OTHER</w:t>
              <w:br/>
              <w:t>COMPENSATION</w:t>
            </w:r>
            <w:r>
              <w:rPr>
                <w:sz w:val="11"/>
              </w:rPr>
              <w:t>(3)</w:t>
            </w:r>
            <w:r>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TOTAL</w:t>
              <w:br/>
              <w:t xml:space="preserve">($) </w:t>
            </w:r>
          </w:p>
        </w:tc>
        <w:tc>
          <w:tcPr>
            <w:tcW w:w="161"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Matthew B. Botein</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Thomas L. Brown</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150,000</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49,996</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816</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200,812</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Joel D. Cavaness</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55,707</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31,176</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86,883</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Kirstin M. Gould</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137,500</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49,996</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816</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188,312</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Dennis J. Langwell</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129,755</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49,996</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816</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180,567</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Christine LaSala</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125,000</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99,997</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268</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225,265</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Peter B. Migliorato</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137,500</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49,996</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816</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188,312</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0" w:type="dxa"/>
            <w:tcBorders>
              <w:bottom w:val="single" w:sz="2" w:space="0" w:color="BFBFBF"/>
            </w:tcBorders>
            <w:tcMar>
              <w:bottom w:w="50" w:type="dxa"/>
            </w:tcMar>
            <w:vAlign w:val="center"/>
          </w:tcPr>
          <w:p>
            <w:pPr>
              <w:pStyle w:val="TableContents"/>
              <w:bidi w:val="0"/>
              <w:spacing w:before="0" w:after="0"/>
              <w:jc w:val="left"/>
              <w:rPr>
                <w:color w:val="002C73"/>
              </w:rPr>
            </w:pPr>
            <w:r>
              <w:rPr>
                <w:color w:val="002C73"/>
              </w:rPr>
              <w:t>Ollie L. Sherman, Jr.</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50" w:type="dxa"/>
            </w:tcMar>
            <w:vAlign w:val="center"/>
          </w:tcPr>
          <w:p>
            <w:pPr>
              <w:pStyle w:val="TableContents"/>
              <w:bidi w:val="0"/>
              <w:spacing w:before="0" w:after="283"/>
              <w:jc w:val="right"/>
              <w:rPr/>
            </w:pPr>
            <w:r>
              <w:rPr/>
              <w:t>​</w:t>
            </w:r>
          </w:p>
        </w:tc>
        <w:tc>
          <w:tcPr>
            <w:tcW w:w="1184" w:type="dxa"/>
            <w:tcBorders>
              <w:bottom w:val="single" w:sz="2" w:space="0" w:color="BFBFBF"/>
            </w:tcBorders>
            <w:tcMar>
              <w:bottom w:w="50" w:type="dxa"/>
            </w:tcMar>
            <w:vAlign w:val="center"/>
          </w:tcPr>
          <w:p>
            <w:pPr>
              <w:pStyle w:val="TableContents"/>
              <w:bidi w:val="0"/>
              <w:spacing w:before="0" w:after="283"/>
              <w:jc w:val="right"/>
              <w:rPr/>
            </w:pPr>
            <w:r>
              <w:rPr/>
              <w:t>41,552</w:t>
            </w:r>
          </w:p>
        </w:tc>
        <w:tc>
          <w:tcPr>
            <w:tcW w:w="14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vAlign w:val="center"/>
          </w:tcPr>
          <w:p>
            <w:pPr>
              <w:pStyle w:val="TableContents"/>
              <w:bidi w:val="0"/>
              <w:spacing w:before="0" w:after="283"/>
              <w:jc w:val="left"/>
              <w:rPr/>
            </w:pPr>
            <w:r>
              <w:rPr/>
              <w:t>​</w:t>
            </w:r>
          </w:p>
        </w:tc>
        <w:tc>
          <w:tcPr>
            <w:tcW w:w="122" w:type="dxa"/>
            <w:tcBorders>
              <w:bottom w:val="single" w:sz="2" w:space="0" w:color="BFBFBF"/>
            </w:tcBorders>
            <w:tcMar>
              <w:bottom w:w="50" w:type="dxa"/>
            </w:tcMar>
            <w:vAlign w:val="center"/>
          </w:tcPr>
          <w:p>
            <w:pPr>
              <w:pStyle w:val="TableContents"/>
              <w:bidi w:val="0"/>
              <w:spacing w:before="0" w:after="283"/>
              <w:jc w:val="right"/>
              <w:rPr/>
            </w:pPr>
            <w:r>
              <w:rPr/>
              <w:t>​</w:t>
            </w:r>
          </w:p>
        </w:tc>
        <w:tc>
          <w:tcPr>
            <w:tcW w:w="868" w:type="dxa"/>
            <w:tcBorders>
              <w:bottom w:val="single" w:sz="2" w:space="0" w:color="BFBFBF"/>
            </w:tcBorders>
            <w:tcMar>
              <w:bottom w:w="50" w:type="dxa"/>
            </w:tcMar>
            <w:vAlign w:val="center"/>
          </w:tcPr>
          <w:p>
            <w:pPr>
              <w:pStyle w:val="TableContents"/>
              <w:bidi w:val="0"/>
              <w:spacing w:before="0" w:after="283"/>
              <w:jc w:val="right"/>
              <w:rPr/>
            </w:pPr>
            <w:r>
              <w:rPr/>
              <w:t>—</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0" w:type="dxa"/>
            </w:tcMar>
            <w:vAlign w:val="center"/>
          </w:tcPr>
          <w:p>
            <w:pPr>
              <w:pStyle w:val="TableContents"/>
              <w:bidi w:val="0"/>
              <w:spacing w:before="0" w:after="283"/>
              <w:jc w:val="right"/>
              <w:rPr/>
            </w:pPr>
            <w:r>
              <w:rPr/>
              <w:t>​</w:t>
            </w:r>
          </w:p>
        </w:tc>
        <w:tc>
          <w:tcPr>
            <w:tcW w:w="1390" w:type="dxa"/>
            <w:tcBorders>
              <w:bottom w:val="single" w:sz="2" w:space="0" w:color="BFBFBF"/>
            </w:tcBorders>
            <w:tcMar>
              <w:bottom w:w="50" w:type="dxa"/>
            </w:tcMar>
            <w:vAlign w:val="center"/>
          </w:tcPr>
          <w:p>
            <w:pPr>
              <w:pStyle w:val="TableContents"/>
              <w:bidi w:val="0"/>
              <w:spacing w:before="0" w:after="283"/>
              <w:jc w:val="right"/>
              <w:rPr/>
            </w:pPr>
            <w:r>
              <w:rPr/>
              <w:t>1,633</w:t>
            </w:r>
          </w:p>
        </w:tc>
        <w:tc>
          <w:tcPr>
            <w:tcW w:w="23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0" w:type="dxa"/>
            </w:tcMar>
            <w:vAlign w:val="center"/>
          </w:tcPr>
          <w:p>
            <w:pPr>
              <w:pStyle w:val="TableContents"/>
              <w:bidi w:val="0"/>
              <w:spacing w:before="0" w:after="283"/>
              <w:jc w:val="right"/>
              <w:rPr/>
            </w:pPr>
            <w:r>
              <w:rPr/>
              <w:t>​</w:t>
            </w:r>
          </w:p>
        </w:tc>
        <w:tc>
          <w:tcPr>
            <w:tcW w:w="886" w:type="dxa"/>
            <w:tcBorders>
              <w:bottom w:val="single" w:sz="2" w:space="0" w:color="BFBFBF"/>
            </w:tcBorders>
            <w:tcMar>
              <w:bottom w:w="50" w:type="dxa"/>
            </w:tcMar>
            <w:vAlign w:val="center"/>
          </w:tcPr>
          <w:p>
            <w:pPr>
              <w:pStyle w:val="TableContents"/>
              <w:bidi w:val="0"/>
              <w:spacing w:before="0" w:after="283"/>
              <w:jc w:val="right"/>
              <w:rPr/>
            </w:pPr>
            <w:r>
              <w:rPr/>
              <w:t>43,185</w:t>
            </w:r>
          </w:p>
        </w:tc>
        <w:tc>
          <w:tcPr>
            <w:tcW w:w="109"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93"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cash compensation paid to Messrs. Cavaness, Langwell and Sherman was pro-rated based upon the portion of the year that such individuals served as directors or as Audit Committee Chair during 2025. Mr. Sherman served as a director until his retirement on April 30, 2025. Mr. Cavaness joined the Board in July 2025. Mr. Langwell was appointed as Audit Committee Chair in October 2025 and served as Audit Committee Chair until June 2026.</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59055"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79"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5pt;mso-wrap-distance-bottom:0pt;margin-top:4.6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the aggregate grant date fair value of restricted share units awarded under the 2014 Non-Employee Director Incentive Plan, calculated in accordance with FASB ASC Topic 718. The stock awards represent grants of the following number of restricted share units: (i) 13,586 restricted share units for each of Mr. Brown, Ms. Gould, Mr. Langwell and Mr. Migliorato, (ii) 5,479 restricted share units for Mr. Cavaness and (iii) 27,173 restricted share units for Ms. LaSala. Each amount of restricted share units identified in the prior sentence with respect to a director were the only outstanding awards held by such director on December 31, 2025.</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90">
                <wp:simplePos x="0" y="0"/>
                <wp:positionH relativeFrom="column">
                  <wp:align>left</wp:align>
                </wp:positionH>
                <wp:positionV relativeFrom="line">
                  <wp:posOffset>635</wp:posOffset>
                </wp:positionV>
                <wp:extent cx="254000" cy="350520"/>
                <wp:effectExtent l="0" t="0" r="0" b="0"/>
                <wp:wrapSquare wrapText="right"/>
                <wp:docPr id="80"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dividends paid to directors that had accrued on unvested restricted share units and were paid at the time awards vested.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91">
                <wp:simplePos x="0" y="0"/>
                <wp:positionH relativeFrom="column">
                  <wp:align>left</wp:align>
                </wp:positionH>
                <wp:positionV relativeFrom="line">
                  <wp:posOffset>635</wp:posOffset>
                </wp:positionV>
                <wp:extent cx="254000" cy="350520"/>
                <wp:effectExtent l="0" t="0" r="0" b="0"/>
                <wp:wrapSquare wrapText="right"/>
                <wp:docPr id="81"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Stock Ownership Guidelines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July 2022, the Board, at the recommendation of the Compensation and Human Capital Committee of the Board, adopted stock ownership guidelines (the “Guidelines”) to more closely align the financial interests of the Company’s directors and executive and other senior officers with those of the Company’s shareholders. Pursuant to the Guidelines, within five years of becoming subject to the Guidelines, (i) our Chief Executive Officer is required to beneficially own shares of common stock with a fair market value equivalent to five times his annual base salary, (ii) other executive officers and designated members of the senior management team of the Company are required to beneficially own shares of common stock with a fair market value equivalent to three times their annual base salary, and (iii) our non-employee directors are required to beneficially own shares of common stock with a fair market value equivalent to three times their annual cash retainer. For additional information regarding the requirements of our stock ownership guidelines, see, “Executive Compensation — Compensation Discussion and Analysis — VI. Additional Compensation Policies and Practices — Executive Stock Ownership Guidelines.”</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14</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EXO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48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EXECUTIVE OFFICERS</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210" w:before="4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identifies each of our executive officers and their age as of September 1, 2026:</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409"/>
        <w:gridCol w:w="109"/>
        <w:gridCol w:w="109"/>
        <w:gridCol w:w="109"/>
        <w:gridCol w:w="1133"/>
        <w:gridCol w:w="109"/>
        <w:gridCol w:w="109"/>
        <w:gridCol w:w="109"/>
        <w:gridCol w:w="1689"/>
        <w:gridCol w:w="109"/>
        <w:gridCol w:w="109"/>
        <w:gridCol w:w="109"/>
        <w:gridCol w:w="1381"/>
        <w:gridCol w:w="109"/>
        <w:gridCol w:w="109"/>
        <w:gridCol w:w="109"/>
        <w:gridCol w:w="2084"/>
        <w:gridCol w:w="157"/>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409"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pPr>
            <w:r>
              <w:rPr/>
              <w:t>FRANK N.</w:t>
              <w:br/>
              <w:t xml:space="preserve">D’ORAZIO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33"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pPr>
            <w:r>
              <w:rPr/>
              <w:t>SARAH C.</w:t>
              <w:br/>
              <w:t xml:space="preserve">DORAN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89"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pPr>
            <w:r>
              <w:rPr/>
              <w:t>MICHAEL J.</w:t>
              <w:br/>
              <w:t xml:space="preserve">HOFFMANN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81"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pPr>
            <w:r>
              <w:rPr/>
              <w:t>JEANETTE L.</w:t>
              <w:br/>
              <w:t xml:space="preserve">MILLER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84"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pPr>
            <w:r>
              <w:rPr/>
              <w:t>TODD R.</w:t>
              <w:br/>
              <w:t xml:space="preserve">SUTHERLAND </w:t>
            </w:r>
          </w:p>
        </w:tc>
        <w:tc>
          <w:tcPr>
            <w:tcW w:w="157"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09" w:type="dxa"/>
            <w:tcBorders/>
            <w:tcMar>
              <w:bottom w:w="0" w:type="dxa"/>
            </w:tcMar>
            <w:vAlign w:val="center"/>
          </w:tcPr>
          <w:p>
            <w:pPr>
              <w:pStyle w:val="TableContents"/>
              <w:bidi w:val="0"/>
              <w:spacing w:before="0" w:after="0"/>
              <w:jc w:val="left"/>
              <w:rPr>
                <w:sz w:val="19"/>
              </w:rPr>
            </w:pPr>
            <w:r>
              <w:rPr>
                <w:sz w:val="19"/>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3" w:type="dxa"/>
            <w:tcBorders/>
            <w:tcMar>
              <w:bottom w:w="0" w:type="dxa"/>
            </w:tcMar>
            <w:vAlign w:val="center"/>
          </w:tcPr>
          <w:p>
            <w:pPr>
              <w:pStyle w:val="TableContents"/>
              <w:bidi w:val="0"/>
              <w:spacing w:before="0" w:after="283"/>
              <w:jc w:val="left"/>
              <w:rPr/>
            </w:pPr>
            <w:r>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283"/>
              <w:jc w:val="left"/>
              <w:rPr/>
            </w:pPr>
            <w:r>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4" w:type="dxa"/>
            <w:tcBorders/>
            <w:tcMar>
              <w:bottom w:w="0" w:type="dxa"/>
            </w:tcMar>
            <w:vAlign w:val="center"/>
          </w:tcPr>
          <w:p>
            <w:pPr>
              <w:pStyle w:val="TableContents"/>
              <w:bidi w:val="0"/>
              <w:spacing w:before="0" w:after="283"/>
              <w:jc w:val="left"/>
              <w:rPr/>
            </w:pPr>
            <w:r>
              <w:rPr/>
              <w:t xml:space="preserve">56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409" w:type="dxa"/>
            <w:tcBorders>
              <w:bottom w:val="single" w:sz="2" w:space="0" w:color="BFBFBF"/>
            </w:tcBorders>
            <w:vAlign w:val="center"/>
          </w:tcPr>
          <w:p>
            <w:pPr>
              <w:pStyle w:val="TableContents"/>
              <w:bidi w:val="0"/>
              <w:spacing w:before="0" w:after="283"/>
              <w:jc w:val="left"/>
              <w:rPr/>
            </w:pPr>
            <w:r>
              <w:rPr/>
              <w:t xml:space="preserve">Chief Executive Officer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33" w:type="dxa"/>
            <w:tcBorders>
              <w:bottom w:val="single" w:sz="2" w:space="0" w:color="BFBFBF"/>
            </w:tcBorders>
            <w:vAlign w:val="center"/>
          </w:tcPr>
          <w:p>
            <w:pPr>
              <w:pStyle w:val="TableContents"/>
              <w:bidi w:val="0"/>
              <w:spacing w:before="0" w:after="283"/>
              <w:jc w:val="left"/>
              <w:rPr/>
            </w:pPr>
            <w:r>
              <w:rPr/>
              <w:t xml:space="preserve">Chief Financial Officer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89" w:type="dxa"/>
            <w:tcBorders>
              <w:bottom w:val="single" w:sz="2" w:space="0" w:color="BFBFBF"/>
            </w:tcBorders>
            <w:vAlign w:val="center"/>
          </w:tcPr>
          <w:p>
            <w:pPr>
              <w:pStyle w:val="TableContents"/>
              <w:bidi w:val="0"/>
              <w:spacing w:lineRule="atLeast" w:line="190" w:before="0" w:after="0"/>
              <w:jc w:val="left"/>
              <w:rPr/>
            </w:pPr>
            <w:r>
              <w:rPr/>
              <w:t xml:space="preserve">Group Chief Underwriting Officer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1" w:type="dxa"/>
            <w:tcBorders>
              <w:bottom w:val="single" w:sz="2" w:space="0" w:color="BFBFBF"/>
            </w:tcBorders>
            <w:vAlign w:val="center"/>
          </w:tcPr>
          <w:p>
            <w:pPr>
              <w:pStyle w:val="TableContents"/>
              <w:bidi w:val="0"/>
              <w:spacing w:before="0" w:after="283"/>
              <w:jc w:val="left"/>
              <w:rPr/>
            </w:pPr>
            <w:r>
              <w:rPr/>
              <w:t xml:space="preserve">Chief Legal Officer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84" w:type="dxa"/>
            <w:tcBorders>
              <w:bottom w:val="single" w:sz="2" w:space="0" w:color="BFBFBF"/>
            </w:tcBorders>
            <w:vAlign w:val="center"/>
          </w:tcPr>
          <w:p>
            <w:pPr>
              <w:pStyle w:val="TableContents"/>
              <w:bidi w:val="0"/>
              <w:spacing w:lineRule="atLeast" w:line="190" w:before="0" w:after="0"/>
              <w:jc w:val="left"/>
              <w:rPr/>
            </w:pPr>
            <w:r>
              <w:rPr/>
              <w:t>President of the Excess and Surplus Lines segment</w:t>
            </w:r>
          </w:p>
        </w:tc>
        <w:tc>
          <w:tcPr>
            <w:tcW w:w="157"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00" w:before="91"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biographical information is furnished regarding each of our executive officers, excluding Mr. D’Orazio, whose biographical information is included above in the section “Board of Directors and Corporate Governance.”</w:t>
      </w:r>
      <w:r>
        <w:rPr>
          <w:rFonts w:ascii="Arial Narrow;Arial;Helvetica;sans-serif" w:hAnsi="Arial Narrow;Arial;Helvetica;sans-serif"/>
          <w:b w:val="false"/>
          <w:i w:val="false"/>
          <w:caps w:val="false"/>
          <w:smallCaps w:val="false"/>
          <w:color w:val="000000"/>
          <w:spacing w:val="4"/>
          <w:sz w:val="19"/>
        </w:rPr>
        <w:t xml:space="preserve"> </w:t>
      </w:r>
    </w:p>
    <w:tbl>
      <w:tblPr>
        <w:tblW w:w="3088" w:type="dxa"/>
        <w:jc w:val="left"/>
        <w:tblInd w:w="920" w:type="dxa"/>
        <w:tblLayout w:type="fixed"/>
        <w:tblCellMar>
          <w:top w:w="0" w:type="dxa"/>
          <w:left w:w="0" w:type="dxa"/>
          <w:bottom w:w="28" w:type="dxa"/>
          <w:right w:w="0" w:type="dxa"/>
        </w:tblCellMar>
      </w:tblPr>
      <w:tblGrid>
        <w:gridCol w:w="124"/>
        <w:gridCol w:w="416"/>
        <w:gridCol w:w="109"/>
        <w:gridCol w:w="109"/>
        <w:gridCol w:w="217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35"/>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176" w:type="dxa"/>
            <w:tcBorders>
              <w:bottom w:val="single" w:sz="12" w:space="0" w:color="3F3F3F"/>
            </w:tcBorders>
            <w:shd w:fill="F2F2F2" w:val="clear"/>
            <w:vAlign w:val="center"/>
          </w:tcPr>
          <w:p>
            <w:pPr>
              <w:pStyle w:val="TableContents"/>
              <w:bidi w:val="0"/>
              <w:spacing w:lineRule="atLeast" w:line="264" w:before="0" w:after="0"/>
              <w:jc w:val="left"/>
              <w:rPr/>
            </w:pPr>
            <w:r>
              <w:rPr/>
              <w:t>SARAH C. DORAN</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p>
      <w:pPr>
        <w:pStyle w:val="TextBody"/>
        <w:bidi w:val="0"/>
        <w:spacing w:lineRule="atLeast" w:line="200" w:before="176"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Sarah C. Doran has served as the Company’s Chief Financial Officer since January 2017. Ms. Doran also serves as a director and officer of most of our U.S. subsidiaries. Before joining the Company, Ms. Doran served as Senior Vice President, Strategy, Investor Relations and Treasurer of Allied World Assurance Company Holdings, AG, a global provider of property, casualty and specialty insurance and reinsurance, since April 2013. Prior to that, Ms. Doran worked as an investment banker in the Financial Institutions Group of Barclays and Lehman Brothers, and in real estate private equity at LaSalle Investment Management. Ms. Doran received an M.B.A. from the University of Chicago and a B.A. in Government from the University of Notre Dame.</w:t>
      </w:r>
      <w:r>
        <w:rPr>
          <w:rFonts w:ascii="Arial Narrow;Arial;Helvetica;sans-serif" w:hAnsi="Arial Narrow;Arial;Helvetica;sans-serif"/>
          <w:b w:val="false"/>
          <w:i w:val="false"/>
          <w:caps w:val="false"/>
          <w:smallCaps w:val="false"/>
          <w:color w:val="000000"/>
          <w:spacing w:val="4"/>
          <w:sz w:val="19"/>
        </w:rPr>
        <w:t xml:space="preserve"> </w:t>
      </w:r>
    </w:p>
    <w:tbl>
      <w:tblPr>
        <w:tblW w:w="3778" w:type="dxa"/>
        <w:jc w:val="left"/>
        <w:tblInd w:w="920" w:type="dxa"/>
        <w:tblLayout w:type="fixed"/>
        <w:tblCellMar>
          <w:top w:w="0" w:type="dxa"/>
          <w:left w:w="0" w:type="dxa"/>
          <w:bottom w:w="28" w:type="dxa"/>
          <w:right w:w="0" w:type="dxa"/>
        </w:tblCellMar>
      </w:tblPr>
      <w:tblGrid>
        <w:gridCol w:w="124"/>
        <w:gridCol w:w="416"/>
        <w:gridCol w:w="109"/>
        <w:gridCol w:w="109"/>
        <w:gridCol w:w="286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4" descr=""/>
                          <pic:cNvPicPr>
                            <a:picLocks noChangeAspect="1" noChangeArrowheads="1"/>
                          </pic:cNvPicPr>
                        </pic:nvPicPr>
                        <pic:blipFill>
                          <a:blip r:embed="rId36"/>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866" w:type="dxa"/>
            <w:tcBorders>
              <w:bottom w:val="single" w:sz="12" w:space="0" w:color="3F3F3F"/>
            </w:tcBorders>
            <w:shd w:fill="F2F2F2" w:val="clear"/>
            <w:vAlign w:val="center"/>
          </w:tcPr>
          <w:p>
            <w:pPr>
              <w:pStyle w:val="TableContents"/>
              <w:bidi w:val="0"/>
              <w:spacing w:lineRule="atLeast" w:line="264" w:before="0" w:after="0"/>
              <w:jc w:val="left"/>
              <w:rPr/>
            </w:pPr>
            <w:r>
              <w:rPr/>
              <w:t>MICHAEL J. HOFFMANN</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p>
      <w:pPr>
        <w:pStyle w:val="TextBody"/>
        <w:bidi w:val="0"/>
        <w:spacing w:lineRule="atLeast" w:line="200" w:before="176"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Michael J. Hoffmann has served as the Company’s Senior Vice President, Group Chief Underwriting Officer since November 2021. Before joining the Company, Mr. Hoffmann served as Head of Risk &amp; Ceded Reinsurance at Everest Insurance Company (“Everest”), a division of Bermuda-based insurer and reinsurer Everest Re Group, from August 2020 to November 2021. Prior to Everest, Mr. Hoffmann spent fifteen years at Allied World, a global provider of property, casualty and specialty insurance and reinsurance, where he most recently served as Global Insurance Chief Underwriting Officer. Prior to Allied World, Mr. Hoffmann spent fourteen years with Chubb in a variety of roles in the U.S. and Bermuda. Mr. Hoffmann received a B.A. in History from Swarthmore College.</w:t>
      </w:r>
      <w:r>
        <w:rPr>
          <w:rFonts w:ascii="Arial Narrow;Arial;Helvetica;sans-serif" w:hAnsi="Arial Narrow;Arial;Helvetica;sans-serif"/>
          <w:b w:val="false"/>
          <w:i w:val="false"/>
          <w:caps w:val="false"/>
          <w:smallCaps w:val="false"/>
          <w:color w:val="000000"/>
          <w:spacing w:val="4"/>
          <w:sz w:val="19"/>
        </w:rPr>
        <w:t xml:space="preserve"> </w:t>
      </w:r>
    </w:p>
    <w:tbl>
      <w:tblPr>
        <w:tblW w:w="3448" w:type="dxa"/>
        <w:jc w:val="left"/>
        <w:tblInd w:w="920" w:type="dxa"/>
        <w:tblLayout w:type="fixed"/>
        <w:tblCellMar>
          <w:top w:w="0" w:type="dxa"/>
          <w:left w:w="0" w:type="dxa"/>
          <w:bottom w:w="28" w:type="dxa"/>
          <w:right w:w="0" w:type="dxa"/>
        </w:tblCellMar>
      </w:tblPr>
      <w:tblGrid>
        <w:gridCol w:w="124"/>
        <w:gridCol w:w="416"/>
        <w:gridCol w:w="109"/>
        <w:gridCol w:w="109"/>
        <w:gridCol w:w="253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5" descr=""/>
                          <pic:cNvPicPr>
                            <a:picLocks noChangeAspect="1" noChangeArrowheads="1"/>
                          </pic:cNvPicPr>
                        </pic:nvPicPr>
                        <pic:blipFill>
                          <a:blip r:embed="rId37"/>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536" w:type="dxa"/>
            <w:tcBorders>
              <w:bottom w:val="single" w:sz="12" w:space="0" w:color="3F3F3F"/>
            </w:tcBorders>
            <w:shd w:fill="F2F2F2" w:val="clear"/>
            <w:vAlign w:val="center"/>
          </w:tcPr>
          <w:p>
            <w:pPr>
              <w:pStyle w:val="TableContents"/>
              <w:bidi w:val="0"/>
              <w:spacing w:lineRule="atLeast" w:line="264" w:before="0" w:after="0"/>
              <w:jc w:val="left"/>
              <w:rPr/>
            </w:pPr>
            <w:r>
              <w:rPr/>
              <w:t>JEANETTE L. MILLER</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p>
      <w:pPr>
        <w:pStyle w:val="TextBody"/>
        <w:bidi w:val="0"/>
        <w:spacing w:lineRule="atLeast" w:line="200" w:before="174"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Jeanette L. Miller has served as the Company’s Chief Legal Officer since April 2021, and prior to that served as the Company’s Assistant General Counsel since October 2018. Ms. Miller also serves as an officer of James River Group, Inc. and James River Management Company, Inc. Before joining the Company, Ms. Miller served as Corporate Counsel &amp; Deputy Compliance Officer at International Farming Corporation LLC, a privately owned institutional investment manager specializing in agriculture, from May 2017 to October 2018, and as Assistant General Counsel at CIFC LLC, an asset manager based in New York specializing in alternative credit, from December 2011 to June 2016. From 2006 to 2011, Ms. Miller was an attorney with Milbank LLP in New York in its Alternative Investments Practice. Ms. Miller received a B.S. in Business Administration from the University of Maine and a Juris Doctor from Columbia Law School.</w:t>
      </w:r>
      <w:r>
        <w:rPr>
          <w:rFonts w:ascii="Arial Narrow;Arial;Helvetica;sans-serif" w:hAnsi="Arial Narrow;Arial;Helvetica;sans-serif"/>
          <w:b w:val="false"/>
          <w:i w:val="false"/>
          <w:caps w:val="false"/>
          <w:smallCaps w:val="false"/>
          <w:color w:val="000000"/>
          <w:spacing w:val="4"/>
          <w:sz w:val="19"/>
        </w:rPr>
        <w:t xml:space="preserve"> </w:t>
      </w:r>
    </w:p>
    <w:tbl>
      <w:tblPr>
        <w:tblW w:w="3703" w:type="dxa"/>
        <w:jc w:val="left"/>
        <w:tblInd w:w="920" w:type="dxa"/>
        <w:tblLayout w:type="fixed"/>
        <w:tblCellMar>
          <w:top w:w="0" w:type="dxa"/>
          <w:left w:w="0" w:type="dxa"/>
          <w:bottom w:w="28" w:type="dxa"/>
          <w:right w:w="0" w:type="dxa"/>
        </w:tblCellMar>
      </w:tblPr>
      <w:tblGrid>
        <w:gridCol w:w="124"/>
        <w:gridCol w:w="416"/>
        <w:gridCol w:w="109"/>
        <w:gridCol w:w="109"/>
        <w:gridCol w:w="279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416" w:type="dxa"/>
            <w:tcBorders>
              <w:bottom w:val="single" w:sz="12" w:space="0" w:color="3F3F3F"/>
            </w:tcBorders>
            <w:shd w:fill="F2F2F2" w:val="clear"/>
            <w:vAlign w:val="center"/>
          </w:tcPr>
          <w:p>
            <w:pPr>
              <w:pStyle w:val="TableContents"/>
              <w:bidi w:val="0"/>
              <w:spacing w:before="0" w:after="0"/>
              <w:jc w:val="left"/>
              <w:rPr/>
            </w:pPr>
            <w:r>
              <w:rPr/>
              <w:drawing>
                <wp:inline distT="0" distB="0" distL="0" distR="0">
                  <wp:extent cx="171450" cy="200025"/>
                  <wp:effectExtent l="0" t="0" r="0" b="0"/>
                  <wp:docPr id="8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6" descr=""/>
                          <pic:cNvPicPr>
                            <a:picLocks noChangeAspect="1" noChangeArrowheads="1"/>
                          </pic:cNvPicPr>
                        </pic:nvPicPr>
                        <pic:blipFill>
                          <a:blip r:embed="rId38"/>
                          <a:stretch>
                            <a:fillRect/>
                          </a:stretch>
                        </pic:blipFill>
                        <pic:spPr bwMode="auto">
                          <a:xfrm>
                            <a:off x="0" y="0"/>
                            <a:ext cx="171450" cy="200025"/>
                          </a:xfrm>
                          <a:prstGeom prst="rect">
                            <a:avLst/>
                          </a:prstGeom>
                        </pic:spPr>
                      </pic:pic>
                    </a:graphicData>
                  </a:graphic>
                </wp:inline>
              </w:drawing>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791" w:type="dxa"/>
            <w:tcBorders>
              <w:bottom w:val="single" w:sz="12" w:space="0" w:color="3F3F3F"/>
            </w:tcBorders>
            <w:shd w:fill="F2F2F2" w:val="clear"/>
            <w:vAlign w:val="center"/>
          </w:tcPr>
          <w:p>
            <w:pPr>
              <w:pStyle w:val="TableContents"/>
              <w:bidi w:val="0"/>
              <w:spacing w:lineRule="atLeast" w:line="264" w:before="0" w:after="0"/>
              <w:jc w:val="left"/>
              <w:rPr/>
            </w:pPr>
            <w:r>
              <w:rPr/>
              <w:t>TODD R. SUTHERLAND</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bl>
    <w:p>
      <w:pPr>
        <w:pStyle w:val="TextBody"/>
        <w:bidi w:val="0"/>
        <w:spacing w:lineRule="atLeast" w:line="200" w:before="174"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Todd R. Sutherland has served as the President of our Excess and Surplus Lines segment (“E&amp;S Segment”) since May 2025 and a director of James River Insurance Company and our other subsidiaries in our E&amp;S Segment since August 2025. Mr. Sutherland joined the Company in April 2023 as Senior Vice President of Underwriting, Management Liability. Before joining the Company, Mr. Sutherland spent five years at AXA XL, a division of AXA (“AXA”), where he most recently served as Head of the U.S. Central Zone. Prior to AXA, Mr. Sutherland spent thirteen years as Senior Vice President, Management Liability at Allied World Assurance Company Holdings, AG, a global provider of property, casualty and specialty insurance and reinsurance. Mr. Sutherland also held underwriting management roles at Axis Capital, Kemper Insurance and American International Group earlier in his career. Mr. Sutherland received his B.S. in Finance from Miami University (Ohio).</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15</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EXCO"/>
      <w:bookmarkEnd w:id="24"/>
      <w:r>
        <w:rPr>
          <w:rFonts w:ascii="calibri;arial;sans-serif" w:hAnsi="calibri;arial;sans-serif"/>
          <w:b w:val="false"/>
          <w:i w:val="false"/>
          <w:caps w:val="false"/>
          <w:smallCaps w:val="false"/>
          <w:color w:val="000000"/>
          <w:sz w:val="16"/>
        </w:rPr>
        <w:t>​</w:t>
      </w:r>
      <w:bookmarkStart w:id="25" w:name="tCDAA"/>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483" w:after="120"/>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EXECUTIVE COMPENSATION</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Compensation Discussion and Analysis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This compensation discussion and analysis (“CD&amp;A”) describes the philosophy, objectives, process, components and additional aspects of our executive compensation program for the fiscal year ended December 31, 2025. This CD&amp;A is intended to be read in conjunction with the compensation tables that immediately follow this section, which provide historical compensation information for our following named executive officers (NEOs):</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456"/>
        <w:gridCol w:w="109"/>
        <w:gridCol w:w="109"/>
        <w:gridCol w:w="109"/>
        <w:gridCol w:w="7223"/>
        <w:gridCol w:w="155"/>
      </w:tblGrid>
      <w:tr>
        <w:trPr/>
        <w:tc>
          <w:tcPr>
            <w:tcW w:w="124" w:type="dxa"/>
            <w:tcBorders>
              <w:bottom w:val="single" w:sz="2" w:space="0" w:color="BFBFBF"/>
            </w:tcBorders>
            <w:vAlign w:val="center"/>
          </w:tcPr>
          <w:p>
            <w:pPr>
              <w:pStyle w:val="TableContents"/>
              <w:bidi w:val="0"/>
              <w:spacing w:before="0" w:after="283"/>
              <w:jc w:val="left"/>
              <w:rPr/>
            </w:pPr>
            <w:r>
              <w:rPr/>
              <w:t>​</w:t>
            </w:r>
          </w:p>
        </w:tc>
        <w:tc>
          <w:tcPr>
            <w:tcW w:w="145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223" w:type="dxa"/>
            <w:tcBorders>
              <w:bottom w:val="single" w:sz="2" w:space="0" w:color="BFBFBF"/>
            </w:tcBorders>
            <w:tcMar>
              <w:bottom w:w="65" w:type="dxa"/>
            </w:tcMar>
            <w:vAlign w:val="center"/>
          </w:tcPr>
          <w:p>
            <w:pPr>
              <w:pStyle w:val="TableContents"/>
              <w:bidi w:val="0"/>
              <w:spacing w:before="0" w:after="283"/>
              <w:jc w:val="left"/>
              <w:rPr/>
            </w:pPr>
            <w:r>
              <w:rPr/>
              <w:t xml:space="preserve">Chief Executive Officer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45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223" w:type="dxa"/>
            <w:tcBorders>
              <w:bottom w:val="single" w:sz="2" w:space="0" w:color="BFBFBF"/>
            </w:tcBorders>
            <w:tcMar>
              <w:bottom w:w="65" w:type="dxa"/>
            </w:tcMar>
            <w:vAlign w:val="center"/>
          </w:tcPr>
          <w:p>
            <w:pPr>
              <w:pStyle w:val="TableContents"/>
              <w:bidi w:val="0"/>
              <w:spacing w:before="0" w:after="283"/>
              <w:jc w:val="left"/>
              <w:rPr/>
            </w:pPr>
            <w:r>
              <w:rPr/>
              <w:t xml:space="preserve">Chief Financial Officer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456" w:type="dxa"/>
            <w:tcBorders>
              <w:bottom w:val="single" w:sz="2" w:space="0" w:color="BFBFBF"/>
            </w:tcBorders>
            <w:tcMar>
              <w:bottom w:w="53" w:type="dxa"/>
            </w:tcMar>
            <w:vAlign w:val="center"/>
          </w:tcPr>
          <w:p>
            <w:pPr>
              <w:pStyle w:val="TableContents"/>
              <w:bidi w:val="0"/>
              <w:spacing w:before="0" w:after="0"/>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223" w:type="dxa"/>
            <w:tcBorders>
              <w:bottom w:val="single" w:sz="2" w:space="0" w:color="BFBFBF"/>
            </w:tcBorders>
            <w:tcMar>
              <w:bottom w:w="53" w:type="dxa"/>
            </w:tcMar>
            <w:vAlign w:val="center"/>
          </w:tcPr>
          <w:p>
            <w:pPr>
              <w:pStyle w:val="TableContents"/>
              <w:bidi w:val="0"/>
              <w:spacing w:before="0" w:after="283"/>
              <w:jc w:val="left"/>
              <w:rPr/>
            </w:pPr>
            <w:r>
              <w:rPr/>
              <w:t xml:space="preserve">Former President and Chief Executive Officer of James River Insurance Company and our other subsidiaries in our excess and surplus lines insurance business until May 5, 2025 and July 31, 2025, respectively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456" w:type="dxa"/>
            <w:tcBorders>
              <w:bottom w:val="single" w:sz="2" w:space="0" w:color="BFBFBF"/>
            </w:tcBorders>
            <w:tcMar>
              <w:bottom w:w="65" w:type="dxa"/>
            </w:tcMar>
            <w:vAlign w:val="center"/>
          </w:tcPr>
          <w:p>
            <w:pPr>
              <w:pStyle w:val="TableContents"/>
              <w:bidi w:val="0"/>
              <w:spacing w:before="0" w:after="0"/>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223" w:type="dxa"/>
            <w:tcBorders>
              <w:bottom w:val="single" w:sz="2" w:space="0" w:color="BFBFBF"/>
            </w:tcBorders>
            <w:tcMar>
              <w:bottom w:w="65" w:type="dxa"/>
            </w:tcMar>
            <w:vAlign w:val="center"/>
          </w:tcPr>
          <w:p>
            <w:pPr>
              <w:pStyle w:val="TableContents"/>
              <w:bidi w:val="0"/>
              <w:spacing w:before="0" w:after="283"/>
              <w:jc w:val="left"/>
              <w:rPr/>
            </w:pPr>
            <w:r>
              <w:rPr/>
              <w:t xml:space="preserve">Group Chief Underwriting Officer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45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223" w:type="dxa"/>
            <w:tcBorders>
              <w:bottom w:val="single" w:sz="2" w:space="0" w:color="BFBFBF"/>
            </w:tcBorders>
            <w:tcMar>
              <w:bottom w:w="65" w:type="dxa"/>
            </w:tcMar>
            <w:vAlign w:val="center"/>
          </w:tcPr>
          <w:p>
            <w:pPr>
              <w:pStyle w:val="TableContents"/>
              <w:bidi w:val="0"/>
              <w:spacing w:before="0" w:after="283"/>
              <w:jc w:val="left"/>
              <w:rPr/>
            </w:pPr>
            <w:r>
              <w:rPr/>
              <w:t xml:space="preserve">Chief Legal Officer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456" w:type="dxa"/>
            <w:tcBorders>
              <w:bottom w:val="single" w:sz="2" w:space="0" w:color="BFBFBF"/>
            </w:tcBorders>
            <w:tcMar>
              <w:bottom w:w="65" w:type="dxa"/>
            </w:tcMar>
            <w:vAlign w:val="center"/>
          </w:tcPr>
          <w:p>
            <w:pPr>
              <w:pStyle w:val="TableContents"/>
              <w:bidi w:val="0"/>
              <w:spacing w:before="0" w:after="0"/>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223" w:type="dxa"/>
            <w:tcBorders>
              <w:bottom w:val="single" w:sz="2" w:space="0" w:color="BFBFBF"/>
            </w:tcBorders>
            <w:tcMar>
              <w:bottom w:w="65" w:type="dxa"/>
            </w:tcMar>
            <w:vAlign w:val="center"/>
          </w:tcPr>
          <w:p>
            <w:pPr>
              <w:pStyle w:val="TableContents"/>
              <w:bidi w:val="0"/>
              <w:spacing w:before="0" w:after="283"/>
              <w:jc w:val="left"/>
              <w:rPr/>
            </w:pPr>
            <w:r>
              <w:rPr/>
              <w:t>President of the Excess and Surplus Lines segment</w:t>
            </w:r>
          </w:p>
        </w:tc>
        <w:tc>
          <w:tcPr>
            <w:tcW w:w="155"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41"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Sutherland was promoted to President of the Excess and Surplus Lines segment on May 5, 2025.</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89535"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6"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05pt;mso-wrap-distance-bottom:0pt;margin-top:7.05pt;mso-position-vertical:top;mso-position-vertical-relative:text;margin-left:20pt;mso-position-horizontal:left;mso-position-horizontal-relative:text">
                <v:textbox>
                  <w:txbxContent>
                    <w:p>
                      <w:pPr>
                        <w:pStyle w:val="TextBody"/>
                        <w:bidi w:val="0"/>
                        <w:spacing w:lineRule="atLeast" w:line="226" w:before="0" w:after="283"/>
                        <w:jc w:val="left"/>
                        <w:rPr/>
                      </w:pPr>
                      <w:r>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396" w:after="0"/>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EXECUTIVE SUMMARY</w:t>
      </w:r>
      <w:r>
        <w:rPr>
          <w:rFonts w:ascii="Arial Narrow;Arial;Helvetica;sans-serif" w:hAnsi="Arial Narrow;Arial;Helvetica;sans-serif"/>
          <w:b/>
          <w:i w:val="false"/>
          <w:caps w:val="false"/>
          <w:smallCaps w:val="false"/>
          <w:color w:val="000000"/>
          <w:spacing w:val="4"/>
          <w:sz w:val="20"/>
        </w:rPr>
        <w:t xml:space="preserve"> </w:t>
      </w:r>
      <w:r>
        <mc:AlternateContent>
          <mc:Choice Requires="wps">
            <w:drawing>
              <wp:anchor behindDoc="0" distT="251460" distB="0" distL="0" distR="0" simplePos="0" locked="0" layoutInCell="1" allowOverlap="1" relativeHeight="93">
                <wp:simplePos x="0" y="0"/>
                <wp:positionH relativeFrom="column">
                  <wp:align>left</wp:align>
                </wp:positionH>
                <wp:positionV relativeFrom="line">
                  <wp:align>top</wp:align>
                </wp:positionV>
                <wp:extent cx="254000" cy="304800"/>
                <wp:effectExtent l="0" t="0" r="0" b="0"/>
                <wp:wrapSquare wrapText="right"/>
                <wp:docPr id="87" name="Frame5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color w:val="002C73"/>
                                <w:sz w:val="20"/>
                              </w:rPr>
                            </w:pPr>
                            <w:r>
                              <w:rPr>
                                <w:b/>
                                <w:caps/>
                                <w:color w:val="002C73"/>
                                <w:sz w:val="20"/>
                              </w:rPr>
                              <w:t>I.</w:t>
                            </w:r>
                            <w:r>
                              <w:rPr>
                                <w:b/>
                                <w:color w:val="002C73"/>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9.8pt;mso-wrap-distance-bottom:0pt;margin-top:19.8pt;mso-position-vertical:top;mso-position-vertical-relative:text;margin-left:0pt;mso-position-horizontal:left;mso-position-horizontal-relative:text">
                <v:textbox>
                  <w:txbxContent>
                    <w:p>
                      <w:pPr>
                        <w:pStyle w:val="TextBody"/>
                        <w:bidi w:val="0"/>
                        <w:spacing w:lineRule="atLeast" w:line="240" w:before="0" w:after="283"/>
                        <w:jc w:val="left"/>
                        <w:rPr>
                          <w:b/>
                          <w:color w:val="002C73"/>
                          <w:sz w:val="20"/>
                        </w:rPr>
                      </w:pPr>
                      <w:r>
                        <w:rPr>
                          <w:b/>
                          <w:caps/>
                          <w:color w:val="002C73"/>
                          <w:sz w:val="20"/>
                        </w:rPr>
                        <w:t>I.</w:t>
                      </w:r>
                      <w:r>
                        <w:rPr>
                          <w:b/>
                          <w:color w:val="002C73"/>
                          <w:sz w:val="20"/>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2025 Select Business Results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Throughout 2025, we remained disciplined and focused on creating value for our shareholders. The strategic actions, underwriting changes, and focus on smaller insureds that we have driven over the past few years have strengthened our organization while improving our profitability and operational efficiency. Key highlights include: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1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Full year combined ratio of 96.6%.</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General and administrative expenses down 9% compared to 2024.</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right"/>
                <wp:docPr id="89"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Tangible common equity per share</w:t>
      </w:r>
      <w:r>
        <w:rPr>
          <w:rFonts w:ascii="Arial Narrow;Arial;Helvetica;sans-serif" w:hAnsi="Arial Narrow;Arial;Helvetica;sans-serif"/>
          <w:b w:val="false"/>
          <w:i w:val="false"/>
          <w:caps w:val="false"/>
          <w:smallCaps w:val="false"/>
          <w:color w:val="000000"/>
          <w:sz w:val="14"/>
        </w:rPr>
        <w:t>2</w:t>
      </w:r>
      <w:r>
        <w:rPr>
          <w:rFonts w:ascii="Arial Narrow;Arial;Helvetica;sans-serif" w:hAnsi="Arial Narrow;Arial;Helvetica;sans-serif"/>
          <w:b w:val="false"/>
          <w:i w:val="false"/>
          <w:caps w:val="false"/>
          <w:smallCaps w:val="false"/>
          <w:color w:val="000000"/>
          <w:sz w:val="19"/>
        </w:rPr>
        <w:t xml:space="preserve"> of  $8.94 grew 34% since December 31, 2024.</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90"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Adjusted net operating return on tangible common equity</w:t>
      </w:r>
      <w:r>
        <w:rPr>
          <w:rFonts w:ascii="Arial Narrow;Arial;Helvetica;sans-serif" w:hAnsi="Arial Narrow;Arial;Helvetica;sans-serif"/>
          <w:b w:val="false"/>
          <w:i w:val="false"/>
          <w:caps w:val="false"/>
          <w:smallCaps w:val="false"/>
          <w:color w:val="000000"/>
          <w:sz w:val="14"/>
        </w:rPr>
        <w:t>2</w:t>
      </w:r>
      <w:r>
        <w:rPr>
          <w:rFonts w:ascii="Arial Narrow;Arial;Helvetica;sans-serif" w:hAnsi="Arial Narrow;Arial;Helvetica;sans-serif"/>
          <w:b w:val="false"/>
          <w:i w:val="false"/>
          <w:caps w:val="false"/>
          <w:smallCaps w:val="false"/>
          <w:color w:val="000000"/>
          <w:sz w:val="19"/>
        </w:rPr>
        <w:t xml:space="preserve"> of 15.3%.</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right"/>
                <wp:docPr id="91"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Completion of redomicile from Bermuda to Delaware on November 7, 2025.</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98">
                <wp:simplePos x="0" y="0"/>
                <wp:positionH relativeFrom="column">
                  <wp:align>left</wp:align>
                </wp:positionH>
                <wp:positionV relativeFrom="line">
                  <wp:posOffset>635</wp:posOffset>
                </wp:positionV>
                <wp:extent cx="127000" cy="350520"/>
                <wp:effectExtent l="0" t="0" r="0" b="0"/>
                <wp:wrapSquare wrapText="right"/>
                <wp:docPr id="92"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Excess and Surplus Lines segment (“E&amp;S Segment”) highlights include: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99">
                <wp:simplePos x="0" y="0"/>
                <wp:positionH relativeFrom="column">
                  <wp:align>left</wp:align>
                </wp:positionH>
                <wp:positionV relativeFrom="line">
                  <wp:posOffset>635</wp:posOffset>
                </wp:positionV>
                <wp:extent cx="127000" cy="350520"/>
                <wp:effectExtent l="0" t="0" r="0" b="0"/>
                <wp:wrapSquare wrapText="right"/>
                <wp:docPr id="93"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16" w:after="0"/>
        <w:ind w:left="19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Net earned premium of  $559.5 million for the year, an increase of 9.2% from the prior year period.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73660" distB="0" distL="508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Gross written premium for the segment declined 5% for full-year 2025 compared to the prior year period driven by a continued focus on smaller profitable accounts (average premium per policy down 10% year over year) and a reduction of risks outside of our underwriting appetite.</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508000" distR="0" simplePos="0" locked="0" layoutInCell="1" allowOverlap="1" relativeHeight="101">
                <wp:simplePos x="0" y="0"/>
                <wp:positionH relativeFrom="column">
                  <wp:align>left</wp:align>
                </wp:positionH>
                <wp:positionV relativeFrom="line">
                  <wp:posOffset>635</wp:posOffset>
                </wp:positionV>
                <wp:extent cx="127000" cy="350520"/>
                <wp:effectExtent l="0" t="0" r="0" b="0"/>
                <wp:wrapSquare wrapText="right"/>
                <wp:docPr id="95"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9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4% total growth for new and renewal submissions compared to the prior year period.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508000" distR="0" simplePos="0" locked="0" layoutInCell="1" allowOverlap="1" relativeHeight="102">
                <wp:simplePos x="0" y="0"/>
                <wp:positionH relativeFrom="column">
                  <wp:align>left</wp:align>
                </wp:positionH>
                <wp:positionV relativeFrom="line">
                  <wp:posOffset>635</wp:posOffset>
                </wp:positionV>
                <wp:extent cx="127000" cy="350520"/>
                <wp:effectExtent l="0" t="0" r="0" b="0"/>
                <wp:wrapSquare wrapText="right"/>
                <wp:docPr id="96"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Key Highlights of the 2025 Executive Compensation Program</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NEOs’ Performance-based compensation.</w:t>
      </w:r>
      <w:r>
        <w:rPr>
          <w:rFonts w:ascii="Arial Narrow;Arial;Helvetica;sans-serif" w:hAnsi="Arial Narrow;Arial;Helvetica;sans-serif"/>
          <w:b w:val="false"/>
          <w:i w:val="false"/>
          <w:caps w:val="false"/>
          <w:smallCaps w:val="false"/>
          <w:color w:val="000000"/>
          <w:sz w:val="19"/>
        </w:rPr>
        <w:t xml:space="preserve"> Approximately 67% of our CEO’s and 64% on average of our other NEOs’ 2025 compensation was variable and at-risk, with the substantial majority being performance-based. Fifty percent of our NEOs’ long-term incentive grants were in the form of performance restricted share units (“PRSUs”), with the exception of Mr. Sutherland who became eligible for PRSU grants upon his promotion to President of our E&amp;S Segment, which occurred after the 2025 PRSU grant date. The PRSUs are subject to a three-year performance period tied to three key financial goals.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Modest increases in base salaries and no increases in short-term incentive and long-term incentive opportunities.</w:t>
      </w:r>
      <w:r>
        <w:rPr>
          <w:rFonts w:ascii="Arial Narrow;Arial;Helvetica;sans-serif" w:hAnsi="Arial Narrow;Arial;Helvetica;sans-serif"/>
          <w:b w:val="false"/>
          <w:i w:val="false"/>
          <w:caps w:val="false"/>
          <w:smallCaps w:val="false"/>
          <w:color w:val="000000"/>
          <w:sz w:val="19"/>
        </w:rPr>
        <w:t xml:space="preserve"> Based on consideration of relevant market data during our annual compensation review, our Compensation and Human Capital Committee of the Board (which for purposes </w:t>
      </w:r>
    </w:p>
    <w:p>
      <w:pPr>
        <w:pStyle w:val="TextBody"/>
        <w:bidi w:val="0"/>
        <w:spacing w:before="0" w:after="283"/>
        <w:ind w:left="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6" w:before="86" w:after="0"/>
        <w:ind w:left="40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Tangible common equity per share and adjusted net operating return on tangible common equity are non-GAAP financial measures. See “Reconciliation of Non-GAAP Measures” starting on page 82 of our Annual Report on Form 10-K for the fiscal year ended December 31, 2025 for a reconciliation of these numbers to GAAP.</w:t>
      </w:r>
      <w:r>
        <mc:AlternateContent>
          <mc:Choice Requires="wps">
            <w:drawing>
              <wp:anchor behindDoc="0" distT="6731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7"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z w:val="1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before="0" w:after="283"/>
                        <w:jc w:val="left"/>
                        <w:rPr/>
                      </w:pPr>
                      <w:r>
                        <w:rPr>
                          <w:sz w:val="14"/>
                        </w:rPr>
                        <w:t>2</w:t>
                      </w:r>
                      <w:r>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10" w:before="579"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16</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of this Executive Compensation discussion, we refer to as the “Committee”) approved a modest 3% salary increase for each of our NEOs, with the exception of Mr. Schmitzer who did not receive a salary increase and Mr. Sutherland, whose salary increase exceeded 3% due to his promotion to President of the E&amp;S Segment on May 5, 2025. Our NEOs’ target payout opportunities as a percentage of their respective base salaries for short-term incentives and long-term incentives were the same in 2025 as in 2024, with the exception of Mr. Sutherland, whose target opportunities were increased in connection with his promotion to President of the E&amp;S Segment on May 5, 2025.</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Rigorous goals for short-term incentive and PRSUs.</w:t>
      </w:r>
      <w:r>
        <w:rPr>
          <w:rFonts w:ascii="Arial Narrow;Arial;Helvetica;sans-serif" w:hAnsi="Arial Narrow;Arial;Helvetica;sans-serif"/>
          <w:b w:val="false"/>
          <w:i w:val="false"/>
          <w:caps w:val="false"/>
          <w:smallCaps w:val="false"/>
          <w:color w:val="000000"/>
          <w:sz w:val="19"/>
        </w:rPr>
        <w:t xml:space="preserve"> The Committee approved targets and goals that it believes were set at appropriately rigorous and challenging levels, requiring substantial effort to achieve, and effectively incentivizing performance.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44"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Financial Goals.</w:t>
      </w:r>
      <w:r>
        <w:rPr>
          <w:rFonts w:ascii="Arial Narrow;Arial;Helvetica;sans-serif" w:hAnsi="Arial Narrow;Arial;Helvetica;sans-serif"/>
          <w:b w:val="false"/>
          <w:i w:val="false"/>
          <w:caps w:val="false"/>
          <w:smallCaps w:val="false"/>
          <w:color w:val="000000"/>
          <w:sz w:val="19"/>
        </w:rPr>
        <w:t xml:space="preserve"> 66.7% of the amount of the bonus funding was based on underwriting profitability, as measured by (i) our combined ratio for the Company as a group and the E&amp;S Segment and (ii) Adjusted EBIT. The 2025 target goals for the group combined ratio, the E&amp;S Segment combined ratio, and the group Adjusted EBIT were 96.2%, 89.5%, and $108.4 million, respectively. These targets are rigorous given that our achievement for these metrics in 2024, after certain adjustments, were 99.5%, 94.9%, and $104.8 million, respectively.</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914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Strategic Goals.</w:t>
      </w:r>
      <w:r>
        <w:rPr>
          <w:rFonts w:ascii="Arial Narrow;Arial;Helvetica;sans-serif" w:hAnsi="Arial Narrow;Arial;Helvetica;sans-serif"/>
          <w:b w:val="false"/>
          <w:i w:val="false"/>
          <w:caps w:val="false"/>
          <w:smallCaps w:val="false"/>
          <w:color w:val="000000"/>
          <w:sz w:val="19"/>
        </w:rPr>
        <w:t xml:space="preserve"> 33.3% of the amount of the bonus funding was based on the strategic activities established by the Committee, consisting of certain important companywide objectives that the Committee believes will positively impact the future performance of the Company.</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 2025 financial goal, the level of achievement of the group Adjusted Combined Ratio was determined to be at 96.3%, which is below target of 96.2% but above minimum payout of 99.9%; the E&amp;S Segment Adjusted Combined Ratio was 89.3%, which is above target of 89.5% but below maximum payout of 85.7%; and the group Adjusted EBIT was $105.4 million, which is below target of  $108.4 million but above the threshold payout of  $74.6 million. For the strategic goals, which focused on the Company’s rating and outlook, redomicile from Bermuda to Delaware, underwriting productivity, and E&amp;S Segment internal profitability reporting, the Committee determined that they were achieved at 87.5% of target for the group and 80% of target for the E&amp;S Segment. 2025 Performance for the Specialty Admitted Insurance segment was measured using the group performance metrics.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Under our long-term incentive program, to earn any PRSUs at threshold for a particular metric, the performance of the metric must achieve a minimum of 50% of the target goals. In addition, the Committee and the Board established three-year goals for the performance period. For the fiscal 2023-2025 PRSUs, the actual performance on each of the adjusted operating return on average adjusted tangible common equity, and growth in adjusted tangible common equity per share of common stock were below target and above threshold. The fiscal 2023-2025 PRSUs were settled at 73% of the target, which demonstrates the rigor of our targets and alignment between pay and performance.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Realizable Pay Demonstrates Pay for Performance Alignment.</w:t>
      </w:r>
      <w:r>
        <w:rPr>
          <w:rFonts w:ascii="Arial Narrow;Arial;Helvetica;sans-serif" w:hAnsi="Arial Narrow;Arial;Helvetica;sans-serif"/>
          <w:b w:val="false"/>
          <w:i w:val="false"/>
          <w:caps w:val="false"/>
          <w:smallCaps w:val="false"/>
          <w:color w:val="000000"/>
          <w:sz w:val="19"/>
        </w:rPr>
        <w:t xml:space="preserve"> As described in more detail below, a core component of our compensation philosophy is to incentivize our executive officers by creating a strong link between their performance and compensation. To show the alignment of pay outcomes with performance, it is useful to illustrate the amounts realizable as of December 31, 2025, relative to the target amounts of CEO compensation set by the Board for the relevant year.</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Realizable pay shows this relationship because it reflects the actual value of annual incentives and equity awards received or to be received by our CEO and fluctuates with financial metric performance and with increases or decreases in our stock price. For this reason, contrasting target pay with realizable pay provides a meaningful demonstration of the pay for performance alignment of our executive compensation program.</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chart demonstrates the relationship between target pay and realizable pay values, in each of the past three years, of our CEO’s (i) base salary, (ii) annual cash incentive, and (iii) annual stock awards, including PRSUs and service-based restricted share units (“Service-Based RSUs”). When the Company does not meet performance targets and/or our stock price decreases, the CEO’s realizable pay declines, which demonstrates the link between pay and performance.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17</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120" w:after="283"/>
        <w:ind w:left="920" w:right="0" w:hanging="0"/>
        <w:jc w:val="center"/>
        <w:rPr>
          <w:caps w:val="false"/>
          <w:smallCaps w:val="false"/>
          <w:color w:val="000000"/>
        </w:rPr>
      </w:pPr>
      <w:r>
        <w:rPr>
          <w:caps w:val="false"/>
          <w:smallCaps w:val="false"/>
          <w:color w:val="000000"/>
        </w:rPr>
        <w:drawing>
          <wp:inline distT="0" distB="0" distL="0" distR="0">
            <wp:extent cx="4343400" cy="3086100"/>
            <wp:effectExtent l="0" t="0" r="0" b="0"/>
            <wp:docPr id="10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7" descr=""/>
                    <pic:cNvPicPr>
                      <a:picLocks noChangeAspect="1" noChangeArrowheads="1"/>
                    </pic:cNvPicPr>
                  </pic:nvPicPr>
                  <pic:blipFill>
                    <a:blip r:embed="rId39"/>
                    <a:stretch>
                      <a:fillRect/>
                    </a:stretch>
                  </pic:blipFill>
                  <pic:spPr bwMode="auto">
                    <a:xfrm>
                      <a:off x="0" y="0"/>
                      <a:ext cx="4343400" cy="30861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6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target pay reflects the annual base salary, target amount of annual cash incentive and grant-date value of Service-Based RSU and PRSU awards made in the respective year. The realizable value shown for the annual cash incentive reflects achievement of performance for the applicable year, and when contrasted with target value, underscores the link of the pay outcome to actual performance. The realizable value of stock awards in 2023, 2024, and 2025 is equal to the number of Service-Based RSUs vested during 2023, 2024, and 2025, respectively, multiplied by the stock price per share on the respective vesting dates. The realizable value of stock awards in 2025 also includes the number of actually earned and vested PRSUs for the 2023-2025 performance period multiplied by the stock price per share on the PRSUs’ vesting date.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40" w:after="0"/>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COMPENSATION PHILOSOPHY AND OBJECTIVES</w:t>
      </w:r>
      <w:r>
        <w:rPr>
          <w:rFonts w:ascii="Arial Narrow;Arial;Helvetica;sans-serif" w:hAnsi="Arial Narrow;Arial;Helvetica;sans-serif"/>
          <w:b/>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106">
                <wp:simplePos x="0" y="0"/>
                <wp:positionH relativeFrom="column">
                  <wp:align>left</wp:align>
                </wp:positionH>
                <wp:positionV relativeFrom="line">
                  <wp:align>top</wp:align>
                </wp:positionV>
                <wp:extent cx="254000" cy="304800"/>
                <wp:effectExtent l="0" t="0" r="0" b="0"/>
                <wp:wrapSquare wrapText="right"/>
                <wp:docPr id="101" name="Frame6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color w:val="002C73"/>
                                <w:sz w:val="20"/>
                              </w:rPr>
                            </w:pPr>
                            <w:r>
                              <w:rPr>
                                <w:b/>
                                <w:caps/>
                                <w:color w:val="002C73"/>
                                <w:sz w:val="20"/>
                              </w:rPr>
                              <w:t>II.</w:t>
                            </w:r>
                            <w:r>
                              <w:rPr>
                                <w:b/>
                                <w:color w:val="002C73"/>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b/>
                          <w:color w:val="002C73"/>
                          <w:sz w:val="20"/>
                        </w:rPr>
                      </w:pPr>
                      <w:r>
                        <w:rPr>
                          <w:b/>
                          <w:caps/>
                          <w:color w:val="002C73"/>
                          <w:sz w:val="20"/>
                        </w:rPr>
                        <w:t>II.</w:t>
                      </w:r>
                      <w:r>
                        <w:rPr>
                          <w:b/>
                          <w:color w:val="002C73"/>
                          <w:sz w:val="20"/>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designing and implementing our executive compensation program, the Committee and the Board seek to achieve three principal objectives:</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591"/>
        <w:gridCol w:w="109"/>
        <w:gridCol w:w="109"/>
        <w:gridCol w:w="1834"/>
        <w:gridCol w:w="109"/>
        <w:gridCol w:w="109"/>
        <w:gridCol w:w="109"/>
        <w:gridCol w:w="586"/>
        <w:gridCol w:w="109"/>
        <w:gridCol w:w="109"/>
        <w:gridCol w:w="2371"/>
        <w:gridCol w:w="109"/>
        <w:gridCol w:w="109"/>
        <w:gridCol w:w="109"/>
        <w:gridCol w:w="591"/>
        <w:gridCol w:w="109"/>
        <w:gridCol w:w="109"/>
        <w:gridCol w:w="1723"/>
        <w:gridCol w:w="157"/>
      </w:tblGrid>
      <w:tr>
        <w:trPr/>
        <w:tc>
          <w:tcPr>
            <w:tcW w:w="124" w:type="dxa"/>
            <w:tcBorders>
              <w:bottom w:val="single" w:sz="6" w:space="0" w:color="BFBFBF"/>
            </w:tcBorders>
            <w:shd w:fill="F2F2F2" w:val="clear"/>
            <w:vAlign w:val="center"/>
          </w:tcPr>
          <w:p>
            <w:pPr>
              <w:pStyle w:val="TableContents"/>
              <w:bidi w:val="0"/>
              <w:spacing w:before="0" w:after="283"/>
              <w:jc w:val="left"/>
              <w:rPr/>
            </w:pPr>
            <w:r>
              <w:rPr/>
              <w:t>​</w:t>
            </w:r>
          </w:p>
        </w:tc>
        <w:tc>
          <w:tcPr>
            <w:tcW w:w="591" w:type="dxa"/>
            <w:tcBorders>
              <w:bottom w:val="single" w:sz="6" w:space="0" w:color="BFBFBF"/>
            </w:tcBorders>
            <w:shd w:fill="F2F2F2" w:val="clear"/>
            <w:tcMar>
              <w:bottom w:w="571" w:type="dxa"/>
            </w:tcMar>
            <w:vAlign w:val="center"/>
          </w:tcPr>
          <w:p>
            <w:pPr>
              <w:pStyle w:val="TableContents"/>
              <w:bidi w:val="0"/>
              <w:spacing w:lineRule="atLeast" w:line="996" w:before="0" w:after="0"/>
              <w:jc w:val="left"/>
              <w:rPr>
                <w:b/>
                <w:color w:val="002C73"/>
                <w:sz w:val="96"/>
              </w:rPr>
            </w:pPr>
            <w:r>
              <w:rPr>
                <w:b/>
                <w:color w:val="002C73"/>
                <w:sz w:val="96"/>
              </w:rPr>
              <w:t xml:space="preserve">1​ </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834" w:type="dxa"/>
            <w:tcBorders>
              <w:bottom w:val="single" w:sz="6" w:space="0" w:color="BFBFBF"/>
            </w:tcBorders>
            <w:shd w:fill="F2F2F2" w:val="clear"/>
            <w:tcMar>
              <w:bottom w:w="331" w:type="dxa"/>
            </w:tcMar>
            <w:vAlign w:val="center"/>
          </w:tcPr>
          <w:p>
            <w:pPr>
              <w:pStyle w:val="TableContents"/>
              <w:bidi w:val="0"/>
              <w:spacing w:lineRule="atLeast" w:line="226" w:before="0" w:after="0"/>
              <w:jc w:val="left"/>
              <w:rPr/>
            </w:pPr>
            <w:r>
              <w:rPr/>
              <w:t xml:space="preserve">First, to establish compensation on a fair and reasonable basis that is competitive with our peers in the specialty insurance business, so that we may attract, motivate and retain talented executive officers. </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586" w:type="dxa"/>
            <w:tcBorders>
              <w:bottom w:val="single" w:sz="6" w:space="0" w:color="BFBFBF"/>
            </w:tcBorders>
            <w:shd w:fill="F2F2F2" w:val="clear"/>
            <w:tcMar>
              <w:bottom w:w="571" w:type="dxa"/>
            </w:tcMar>
            <w:vAlign w:val="center"/>
          </w:tcPr>
          <w:p>
            <w:pPr>
              <w:pStyle w:val="TableContents"/>
              <w:bidi w:val="0"/>
              <w:spacing w:lineRule="atLeast" w:line="996" w:before="0" w:after="0"/>
              <w:jc w:val="left"/>
              <w:rPr>
                <w:b/>
                <w:color w:val="002C73"/>
                <w:sz w:val="96"/>
              </w:rPr>
            </w:pPr>
            <w:r>
              <w:rPr>
                <w:b/>
                <w:color w:val="002C73"/>
                <w:sz w:val="96"/>
              </w:rPr>
              <w:t>2</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2371" w:type="dxa"/>
            <w:tcBorders>
              <w:bottom w:val="single" w:sz="6" w:space="0" w:color="BFBFBF"/>
            </w:tcBorders>
            <w:shd w:fill="F2F2F2" w:val="clear"/>
            <w:tcMar>
              <w:bottom w:w="105" w:type="dxa"/>
            </w:tcMar>
            <w:vAlign w:val="center"/>
          </w:tcPr>
          <w:p>
            <w:pPr>
              <w:pStyle w:val="TableContents"/>
              <w:bidi w:val="0"/>
              <w:spacing w:lineRule="atLeast" w:line="226" w:before="0" w:after="0"/>
              <w:jc w:val="left"/>
              <w:rPr/>
            </w:pPr>
            <w:r>
              <w:rPr/>
              <w:t xml:space="preserve">Second, to create an alignment of interests between our executive officers and shareholders. For this purpose, a portion of each executive officer’s compensation consists of service-based and performance-based equity awards. </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591" w:type="dxa"/>
            <w:tcBorders>
              <w:bottom w:val="single" w:sz="6" w:space="0" w:color="BFBFBF"/>
            </w:tcBorders>
            <w:shd w:fill="F2F2F2" w:val="clear"/>
            <w:tcMar>
              <w:bottom w:w="571" w:type="dxa"/>
            </w:tcMar>
            <w:vAlign w:val="center"/>
          </w:tcPr>
          <w:p>
            <w:pPr>
              <w:pStyle w:val="TableContents"/>
              <w:bidi w:val="0"/>
              <w:spacing w:lineRule="atLeast" w:line="996" w:before="0" w:after="0"/>
              <w:jc w:val="left"/>
              <w:rPr>
                <w:b/>
                <w:color w:val="002C73"/>
                <w:sz w:val="96"/>
              </w:rPr>
            </w:pPr>
            <w:r>
              <w:rPr>
                <w:b/>
                <w:color w:val="002C73"/>
                <w:sz w:val="96"/>
              </w:rPr>
              <w:t xml:space="preserve">3​ </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09" w:type="dxa"/>
            <w:tcBorders>
              <w:bottom w:val="single" w:sz="6" w:space="0" w:color="BFBFBF"/>
            </w:tcBorders>
            <w:shd w:fill="F2F2F2" w:val="clear"/>
            <w:vAlign w:val="center"/>
          </w:tcPr>
          <w:p>
            <w:pPr>
              <w:pStyle w:val="TableContents"/>
              <w:bidi w:val="0"/>
              <w:spacing w:before="0" w:after="283"/>
              <w:jc w:val="left"/>
              <w:rPr/>
            </w:pPr>
            <w:r>
              <w:rPr/>
              <w:t>​</w:t>
            </w:r>
          </w:p>
        </w:tc>
        <w:tc>
          <w:tcPr>
            <w:tcW w:w="1723" w:type="dxa"/>
            <w:tcBorders>
              <w:bottom w:val="single" w:sz="6" w:space="0" w:color="BFBFBF"/>
            </w:tcBorders>
            <w:shd w:fill="F2F2F2" w:val="clear"/>
            <w:tcMar>
              <w:bottom w:w="105" w:type="dxa"/>
            </w:tcMar>
            <w:vAlign w:val="center"/>
          </w:tcPr>
          <w:p>
            <w:pPr>
              <w:pStyle w:val="TableContents"/>
              <w:bidi w:val="0"/>
              <w:spacing w:lineRule="atLeast" w:line="226" w:before="0" w:after="0"/>
              <w:jc w:val="left"/>
              <w:rPr/>
            </w:pPr>
            <w:r>
              <w:rPr/>
              <w:t>Finally, we seek to reward performance that supports our principles of building long-term shareholder value overall and to recognize individual performance that contributes to the success of the Company.</w:t>
            </w:r>
          </w:p>
        </w:tc>
        <w:tc>
          <w:tcPr>
            <w:tcW w:w="157" w:type="dxa"/>
            <w:tcBorders>
              <w:bottom w:val="single" w:sz="6" w:space="0" w:color="BFBFBF"/>
            </w:tcBorders>
            <w:shd w:fill="F2F2F2" w:val="clear"/>
            <w:vAlign w:val="center"/>
          </w:tcPr>
          <w:p>
            <w:pPr>
              <w:pStyle w:val="TableContents"/>
              <w:bidi w:val="0"/>
              <w:spacing w:before="0" w:after="283"/>
              <w:jc w:val="left"/>
              <w:rPr/>
            </w:pPr>
            <w:r>
              <w:rPr/>
              <w:t>​</w:t>
            </w:r>
          </w:p>
        </w:tc>
      </w:tr>
    </w:tbl>
    <w:p>
      <w:pPr>
        <w:pStyle w:val="TextBody"/>
        <w:bidi w:val="0"/>
        <w:spacing w:lineRule="atLeast" w:line="230" w:before="144"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principal elements of our compensation program for our executive officers are base salary, short-term cash incentive bonuses and long-term incentive equity awards.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Compensation Program Governance</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assess the effectiveness of our executive compensation program in achieving its objectives from time to time and review risk mitigation and governance matters, which include maintaining the following best practices, many of which support an alignment of interests between our executive officers and shareholders: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18</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9285" w:type="dxa"/>
        <w:jc w:val="left"/>
        <w:tblInd w:w="920" w:type="dxa"/>
        <w:tblLayout w:type="fixed"/>
        <w:tblCellMar>
          <w:top w:w="0" w:type="dxa"/>
          <w:left w:w="0" w:type="dxa"/>
          <w:bottom w:w="28" w:type="dxa"/>
          <w:right w:w="0" w:type="dxa"/>
        </w:tblCellMar>
      </w:tblPr>
      <w:tblGrid>
        <w:gridCol w:w="124"/>
        <w:gridCol w:w="2246"/>
        <w:gridCol w:w="109"/>
        <w:gridCol w:w="109"/>
        <w:gridCol w:w="109"/>
        <w:gridCol w:w="6433"/>
        <w:gridCol w:w="155"/>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9006" w:type="dxa"/>
            <w:gridSpan w:val="5"/>
            <w:tcBorders>
              <w:bottom w:val="single" w:sz="12" w:space="0" w:color="3F3F3F"/>
            </w:tcBorders>
            <w:shd w:fill="F2F2F2" w:val="clear"/>
            <w:tcMar>
              <w:bottom w:w="130" w:type="dxa"/>
            </w:tcMar>
            <w:vAlign w:val="center"/>
          </w:tcPr>
          <w:p>
            <w:pPr>
              <w:pStyle w:val="TableContents"/>
              <w:bidi w:val="0"/>
              <w:spacing w:before="0" w:after="0"/>
              <w:jc w:val="center"/>
              <w:rPr/>
            </w:pPr>
            <w:r>
              <w:rPr/>
              <w:t xml:space="preserve">What We Do </w:t>
            </w:r>
          </w:p>
        </w:tc>
        <w:tc>
          <w:tcPr>
            <w:tcW w:w="155"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24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Pay for Performance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43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The majority of total target executive compensation opportunities are variable and at-risk.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24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Independent Compensation Consultant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43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The Committee has engaged an independent compensation consultant to provide information and advice for use in Committee decision-making.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24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Clawback Policy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43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Under our clawback policy, incentive compensation of our executive officers will be subject to clawback if we are required to restate our financial statements due to material noncompliance with a financial reporting requirement or to correct an error that is not material to previously issued financial statements but would result in a material misstatement if the error were corrected or left uncorrected in the current period.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24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Stock Ownership Guidelines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43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We have guidelines for executive officers and non-employee directors to maintain meaningful levels of stock ownership.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24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Caps on Annual Bonuses and Equity Grants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43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Our annual cash incentive plan and equity awards have upper limits on the amounts of cash and equity that may be earned, respectively.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24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Double Trigger Change in Control Severance and Acceleration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43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A change in control alone will not trigger severance pay or accelerated vesting of equity awards under the compensation arrangements covering our NEOs.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24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Peer Benchmarking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433" w:type="dxa"/>
            <w:tcBorders>
              <w:bottom w:val="single" w:sz="2" w:space="0" w:color="BFBFBF"/>
            </w:tcBorders>
            <w:tcMar>
              <w:bottom w:w="53" w:type="dxa"/>
            </w:tcMar>
            <w:vAlign w:val="center"/>
          </w:tcPr>
          <w:p>
            <w:pPr>
              <w:pStyle w:val="TableContents"/>
              <w:bidi w:val="0"/>
              <w:spacing w:before="0" w:after="0"/>
              <w:ind w:left="0" w:right="190" w:hanging="0"/>
              <w:jc w:val="left"/>
              <w:rPr/>
            </w:pPr>
            <w:r>
              <w:rPr/>
              <w:t>We utilize compensation peer sets comprised of companies based on industry sector, revenue and market capitalization as a reference for compensation decisions, and these peer sets are reviewed periodically.</w:t>
            </w:r>
          </w:p>
        </w:tc>
        <w:tc>
          <w:tcPr>
            <w:tcW w:w="155" w:type="dxa"/>
            <w:tcBorders>
              <w:bottom w:val="single" w:sz="2" w:space="0" w:color="BFBFBF"/>
            </w:tcBorders>
            <w:vAlign w:val="center"/>
          </w:tcPr>
          <w:p>
            <w:pPr>
              <w:pStyle w:val="TableContents"/>
              <w:bidi w:val="0"/>
              <w:spacing w:before="0" w:after="283"/>
              <w:jc w:val="left"/>
              <w:rPr/>
            </w:pPr>
            <w:r>
              <w:rPr/>
              <w:t>​</w:t>
            </w:r>
          </w:p>
        </w:tc>
      </w:tr>
    </w:tbl>
    <w:tbl>
      <w:tblPr>
        <w:tblW w:w="9285" w:type="dxa"/>
        <w:jc w:val="left"/>
        <w:tblInd w:w="920" w:type="dxa"/>
        <w:tblLayout w:type="fixed"/>
        <w:tblCellMar>
          <w:top w:w="0" w:type="dxa"/>
          <w:left w:w="0" w:type="dxa"/>
          <w:bottom w:w="28" w:type="dxa"/>
          <w:right w:w="0" w:type="dxa"/>
        </w:tblCellMar>
      </w:tblPr>
      <w:tblGrid>
        <w:gridCol w:w="124"/>
        <w:gridCol w:w="2656"/>
        <w:gridCol w:w="109"/>
        <w:gridCol w:w="109"/>
        <w:gridCol w:w="109"/>
        <w:gridCol w:w="6023"/>
        <w:gridCol w:w="155"/>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9006" w:type="dxa"/>
            <w:gridSpan w:val="5"/>
            <w:tcBorders>
              <w:bottom w:val="single" w:sz="12" w:space="0" w:color="3F3F3F"/>
            </w:tcBorders>
            <w:shd w:fill="F2F2F2" w:val="clear"/>
            <w:tcMar>
              <w:bottom w:w="130" w:type="dxa"/>
            </w:tcMar>
            <w:vAlign w:val="center"/>
          </w:tcPr>
          <w:p>
            <w:pPr>
              <w:pStyle w:val="TableContents"/>
              <w:bidi w:val="0"/>
              <w:spacing w:before="0" w:after="0"/>
              <w:jc w:val="center"/>
              <w:rPr/>
            </w:pPr>
            <w:r>
              <w:rPr/>
              <w:t xml:space="preserve">What We Don’t Do </w:t>
            </w:r>
          </w:p>
        </w:tc>
        <w:tc>
          <w:tcPr>
            <w:tcW w:w="155"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656" w:type="dxa"/>
            <w:tcBorders>
              <w:bottom w:val="single" w:sz="2" w:space="0" w:color="BFBFBF"/>
            </w:tcBorders>
            <w:tcMar>
              <w:bottom w:w="65" w:type="dxa"/>
            </w:tcMar>
            <w:vAlign w:val="center"/>
          </w:tcPr>
          <w:p>
            <w:pPr>
              <w:pStyle w:val="TableContents"/>
              <w:bidi w:val="0"/>
              <w:spacing w:before="0" w:after="0"/>
              <w:ind w:left="190" w:right="190" w:hanging="0"/>
              <w:jc w:val="left"/>
              <w:rPr/>
            </w:pPr>
            <w:r>
              <w:rPr/>
              <w:t xml:space="preserve">No Excessive Perks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023" w:type="dxa"/>
            <w:tcBorders>
              <w:bottom w:val="single" w:sz="2" w:space="0" w:color="BFBFBF"/>
            </w:tcBorders>
            <w:tcMar>
              <w:bottom w:w="65" w:type="dxa"/>
            </w:tcMar>
            <w:vAlign w:val="center"/>
          </w:tcPr>
          <w:p>
            <w:pPr>
              <w:pStyle w:val="TableContents"/>
              <w:bidi w:val="0"/>
              <w:spacing w:before="0" w:after="0"/>
              <w:ind w:left="0" w:right="190" w:hanging="0"/>
              <w:jc w:val="left"/>
              <w:rPr/>
            </w:pPr>
            <w:r>
              <w:rPr/>
              <w:t xml:space="preserve">We do not provide excessive perquisites to executive officers.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65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No Excise Tax Gross-Ups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02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We do not provide excise tax gross-ups on change in control payments.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65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No Hedging or Pledging of Company Stock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023" w:type="dxa"/>
            <w:tcBorders>
              <w:bottom w:val="single" w:sz="2" w:space="0" w:color="BFBFBF"/>
            </w:tcBorders>
            <w:tcMar>
              <w:bottom w:w="53" w:type="dxa"/>
            </w:tcMar>
            <w:vAlign w:val="center"/>
          </w:tcPr>
          <w:p>
            <w:pPr>
              <w:pStyle w:val="TableContents"/>
              <w:bidi w:val="0"/>
              <w:spacing w:before="0" w:after="0"/>
              <w:ind w:left="0" w:right="190" w:hanging="0"/>
              <w:jc w:val="left"/>
              <w:rPr/>
            </w:pPr>
            <w:r>
              <w:rPr/>
              <w:t xml:space="preserve">We do not permit our executive officers and directors to pledge or hedge their Company stock. </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656" w:type="dxa"/>
            <w:tcBorders>
              <w:bottom w:val="single" w:sz="2" w:space="0" w:color="BFBFBF"/>
            </w:tcBorders>
            <w:tcMar>
              <w:bottom w:w="53" w:type="dxa"/>
            </w:tcMar>
            <w:vAlign w:val="center"/>
          </w:tcPr>
          <w:p>
            <w:pPr>
              <w:pStyle w:val="TableContents"/>
              <w:bidi w:val="0"/>
              <w:spacing w:before="0" w:after="0"/>
              <w:ind w:left="190" w:right="190" w:hanging="0"/>
              <w:jc w:val="left"/>
              <w:rPr/>
            </w:pPr>
            <w:r>
              <w:rPr/>
              <w:t xml:space="preserve">No Guaranteed Performance Bonuses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023" w:type="dxa"/>
            <w:tcBorders>
              <w:bottom w:val="single" w:sz="2" w:space="0" w:color="BFBFBF"/>
            </w:tcBorders>
            <w:tcMar>
              <w:bottom w:w="53" w:type="dxa"/>
            </w:tcMar>
            <w:vAlign w:val="center"/>
          </w:tcPr>
          <w:p>
            <w:pPr>
              <w:pStyle w:val="TableContents"/>
              <w:bidi w:val="0"/>
              <w:spacing w:before="0" w:after="0"/>
              <w:ind w:left="0" w:right="190" w:hanging="0"/>
              <w:jc w:val="left"/>
              <w:rPr/>
            </w:pPr>
            <w:r>
              <w:rPr/>
              <w:t>We do not provide guaranteed performance bonuses to our NEOs at any minimum levels of payment under our annual cash incentive plan.</w:t>
            </w:r>
          </w:p>
        </w:tc>
        <w:tc>
          <w:tcPr>
            <w:tcW w:w="155"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40" w:before="227" w:after="283"/>
        <w:ind w:left="920" w:right="0" w:hanging="0"/>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Say-on-Pay Results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At the 2025 annual meeting, our shareholders approved the compensation of our NEOs on an advisory basis (commonly known as a “say-on-pay” proposal), with approximately 63.4% of our shares of common stock voting “For” such proposal. While a majority of shareholders were supportive of our program and plan design, we acknowledge that the results also reflect that other shareholders had concerns regarding our executive compensation. In response, at the direction of the Board, prior to our 2025 annual meeting, we engaged with shareholders representing 50% of our outstanding shares (including shareholders representing 71% of our top 20 shareholders) to discuss executive compensation as well as other topics. Most of those meetings included the Chair of the Board and the Chair of the Committee. The Committee values shareholder feedback and continued to engage with shareholders in 2026 in advance of the filing of this proxy statement, meeting with shareholders representing ~55.3% of our outstanding shares</w:t>
      </w:r>
      <w:r>
        <w:rPr>
          <w:rFonts w:ascii="Arial Narrow;Arial;Helvetica;sans-serif" w:hAnsi="Arial Narrow;Arial;Helvetica;sans-serif"/>
          <w:b w:val="false"/>
          <w:i w:val="false"/>
          <w:caps w:val="false"/>
          <w:smallCaps w:val="false"/>
          <w:color w:val="000000"/>
          <w:sz w:val="14"/>
        </w:rPr>
        <w:t>3</w:t>
      </w:r>
      <w:r>
        <w:rPr>
          <w:rFonts w:ascii="Arial Narrow;Arial;Helvetica;sans-serif" w:hAnsi="Arial Narrow;Arial;Helvetica;sans-serif"/>
          <w:b w:val="false"/>
          <w:i w:val="false"/>
          <w:caps w:val="false"/>
          <w:smallCaps w:val="false"/>
          <w:color w:val="000000"/>
          <w:sz w:val="19"/>
        </w:rPr>
        <w:t xml:space="preserve"> (including shareholders representing 64.1% of our top 25 shareholders).</w:t>
      </w:r>
      <w:r>
        <w:rPr>
          <w:rFonts w:ascii="Arial Narrow;Arial;Helvetica;sans-serif" w:hAnsi="Arial Narrow;Arial;Helvetica;sans-serif"/>
          <w:b w:val="false"/>
          <w:i w:val="false"/>
          <w:caps w:val="false"/>
          <w:smallCaps w:val="false"/>
          <w:color w:val="000000"/>
          <w:sz w:val="14"/>
        </w:rPr>
        <w:t>3</w:t>
      </w:r>
      <w:r>
        <w:rPr>
          <w:rFonts w:ascii="Arial Narrow;Arial;Helvetica;sans-serif" w:hAnsi="Arial Narrow;Arial;Helvetica;sans-serif"/>
          <w:b w:val="false"/>
          <w:i w:val="false"/>
          <w:caps w:val="false"/>
          <w:smallCaps w:val="false"/>
          <w:color w:val="000000"/>
          <w:sz w:val="19"/>
        </w:rPr>
        <w:t xml:space="preserve"> See “Board of Directors and Corporate Governance — Commitment to Shareholder Engagement” section of this proxy statement for additional information. The Committee carefully considered the feedback received through this engagement, together with the results of the 2025 say-on-pay vote, in its ongoing review of the Company’s executive compensation program and related disclosures.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before="0" w:after="283"/>
        <w:ind w:left="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6" w:before="246" w:after="0"/>
        <w:ind w:left="40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Assuming conversion of the Series A Preferred Shares to common stock.</w:t>
      </w:r>
      <w:r>
        <mc:AlternateContent>
          <mc:Choice Requires="wps">
            <w:drawing>
              <wp:anchor behindDoc="0" distT="16891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2"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z w:val="1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3pt;mso-wrap-distance-bottom:0pt;margin-top:13.3pt;mso-position-vertical:top;mso-position-vertical-relative:text;margin-left:0pt;mso-position-horizontal:left;mso-position-horizontal-relative:text">
                <v:textbox>
                  <w:txbxContent>
                    <w:p>
                      <w:pPr>
                        <w:pStyle w:val="TextBody"/>
                        <w:bidi w:val="0"/>
                        <w:spacing w:before="0" w:after="283"/>
                        <w:jc w:val="left"/>
                        <w:rPr/>
                      </w:pPr>
                      <w:r>
                        <w:rPr>
                          <w:sz w:val="14"/>
                        </w:rPr>
                        <w:t>3</w:t>
                      </w:r>
                      <w:r>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19</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COMPENSATION DETERMINATION PROCESS</w:t>
      </w:r>
      <w:r>
        <w:rPr>
          <w:rFonts w:ascii="Arial Narrow;Arial;Helvetica;sans-serif" w:hAnsi="Arial Narrow;Arial;Helvetica;san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254000" cy="304800"/>
                <wp:effectExtent l="0" t="0" r="0" b="0"/>
                <wp:wrapSquare wrapText="right"/>
                <wp:docPr id="103" name="Frame6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color w:val="002C73"/>
                                <w:sz w:val="20"/>
                              </w:rPr>
                            </w:pPr>
                            <w:r>
                              <w:rPr>
                                <w:b/>
                                <w:caps/>
                                <w:color w:val="002C73"/>
                                <w:sz w:val="20"/>
                              </w:rPr>
                              <w:t>III.</w:t>
                            </w:r>
                            <w:r>
                              <w:rPr>
                                <w:b/>
                                <w:color w:val="002C73"/>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color w:val="002C73"/>
                          <w:sz w:val="20"/>
                        </w:rPr>
                      </w:pPr>
                      <w:r>
                        <w:rPr>
                          <w:b/>
                          <w:caps/>
                          <w:color w:val="002C73"/>
                          <w:sz w:val="20"/>
                        </w:rPr>
                        <w:t>III.</w:t>
                      </w:r>
                      <w:r>
                        <w:rPr>
                          <w:b/>
                          <w:color w:val="002C73"/>
                          <w:sz w:val="20"/>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Role of the Board, Committee, and Management</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considering appropriate levels of compensation for executives, the Committee considers the Company’s performance and individual NEO performance and experience, as well as peer and broader financial services industry comparisons. When deemed appropriate, the Committee requests that its independent compensation consultant provide it with survey data of executive compensation for insurance companies that are comparable to the Company.</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chair of the Committee works with Mr. D’Orazio and the Group Chief Human Resources Officer to establish the agenda for Committee meetings. Mr. D’Orazio also engages with the Committee when providing recommendations regarding pay for other executives and senior officers of the Company, other than his own. The Committee periodically meets with Mr. D’Orazio to assess progress toward meeting objectives set by the Board for both annual and long-term compensation. The Committee also meets without management present when appropriate. Mr. D’Orazio does not play any role with respect to his own compensation.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reviews all the components of compensation in making determinations on the mix, amount, and form of executive compensation. While the Committee does not use any quantitative formula or multiple for comparing or establishing compensation for executive management, it is mindful of internal and external pay equity considerations and assesses the relationship of the compensation of each executive to other members of executive management.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Role of the Independent Compensation Consultant</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engaged Aon’s Human Capital Solutions practice, a division of Aon plc (“Aon”), as its independent compensation consultant. Aon reports to, and receives its direction from, the Committee. Aon helped facilitate the executive officer compensation process, including the creation of a compensation peer group for comparing our NEOs’ compensation to the market and provides advice and information on other executive compensation matters.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considering Aon’s engagement, the Committee evaluated Aon’s independence and any conflicts of interest in accordance with applicable SEC rules and Nasdaq listing requirements. The Committee requested and received a report from Aon addressing the independence of Aon and its senior advisors. The Committee considered Aon’s provision of other services to the Company, the fees paid by the Company to Aon as a percentage of Aon’s total revenue, Aon’s policies and procedures to prevent conflicts of interest, and the confirmation by Aon that it and its representatives have no business or personal relationship with any member of the Committee, do not own any stock of the Company, and have no business or personal relationship with any executive officer of the Company. The Committee concluded that Aon is independent of the Committee and of Company management and has no conflicts of interest in its performance of services to the Committee.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Peer Group</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believes that obtaining relevant market and peer group data is very important to making determinations about executive officer compensation. Such information provides a reference point for making decisions.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takes into consideration the structure and components of, and the amounts paid under, the executive compensation programs of other, comparable publicly-traded peer companies, as derived from public filings and other sources, when making decisions about the structure and component mix of our executive compensation program. The Committee also considers the practices of our competitors and the broader industry for recruiting and retaining talent.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historic peer group has been updated periodically by the Committee, based on a process that includes recommendations from internal sources, and external sources such as its independent compensation consultant, to reflect the companies against which the Company competes for executive talent or for shareholder investment. The peer group utilized by the Committee to determine 2025 compensation was defined using the following criteria:</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44"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public companies specializing in property and casualty insurance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914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4"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total assets between $1.6 billion and $15 billion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direct written premiums between $470 million and $4.3 billion (exception for Global Indemnity Group,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total revenue between $234 million — $2.1 billion (exceptions for SiriusPoint Ltd. and Hamilton Insurance Group, Ltd.)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no recent mutual conversions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Based upon these criteria, in 2025, the Committee identified the following sixteen companies as its peer group in benchmarking and setting executive compensation for 2025.</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20</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8362" w:type="dxa"/>
        <w:jc w:val="left"/>
        <w:tblInd w:w="920" w:type="dxa"/>
        <w:tblLayout w:type="fixed"/>
        <w:tblCellMar>
          <w:top w:w="0" w:type="dxa"/>
          <w:left w:w="0" w:type="dxa"/>
          <w:bottom w:w="28" w:type="dxa"/>
          <w:right w:w="0" w:type="dxa"/>
        </w:tblCellMar>
      </w:tblPr>
      <w:tblGrid>
        <w:gridCol w:w="124"/>
        <w:gridCol w:w="3676"/>
        <w:gridCol w:w="109"/>
        <w:gridCol w:w="109"/>
        <w:gridCol w:w="109"/>
        <w:gridCol w:w="4081"/>
        <w:gridCol w:w="154"/>
      </w:tblGrid>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Bowhead Specialty Holdings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 xml:space="preserve">Radian Group Inc.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Employers Holdings,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 xml:space="preserve">RLI Corp.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Global Indemnity Group, LLC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 xml:space="preserve">Safety Insurance Group, Inc.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Hamilton Insurance Group, Ltd.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 xml:space="preserve">SiriusPoint Ltd.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Horace Mann Educators Corporation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 xml:space="preserve">Skyward Specialty Insurance Group, Inc.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Kinsale Capital Group,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 xml:space="preserve">Tiptree Inc.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NMI Holdings,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 xml:space="preserve">United Fire Group, Inc.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676" w:type="dxa"/>
            <w:tcBorders>
              <w:bottom w:val="single" w:sz="2" w:space="0" w:color="BFBFBF"/>
            </w:tcBorders>
            <w:tcMar>
              <w:bottom w:w="65" w:type="dxa"/>
            </w:tcMar>
            <w:vAlign w:val="center"/>
          </w:tcPr>
          <w:p>
            <w:pPr>
              <w:pStyle w:val="TableContents"/>
              <w:bidi w:val="0"/>
              <w:spacing w:before="0" w:after="283"/>
              <w:jc w:val="left"/>
              <w:rPr/>
            </w:pPr>
            <w:r>
              <w:rPr/>
              <w:t xml:space="preserve">Palomar Holdings,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081" w:type="dxa"/>
            <w:tcBorders>
              <w:bottom w:val="single" w:sz="2" w:space="0" w:color="BFBFBF"/>
            </w:tcBorders>
            <w:tcMar>
              <w:bottom w:w="65" w:type="dxa"/>
            </w:tcMar>
            <w:vAlign w:val="center"/>
          </w:tcPr>
          <w:p>
            <w:pPr>
              <w:pStyle w:val="TableContents"/>
              <w:bidi w:val="0"/>
              <w:spacing w:before="0" w:after="283"/>
              <w:jc w:val="left"/>
              <w:rPr/>
            </w:pPr>
            <w:r>
              <w:rPr/>
              <w:t>Universal Insurance Holdings, Inc.</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231" w:after="0"/>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COMPENSATION PROGRAM COMPONENTS</w:t>
      </w:r>
      <w:r>
        <w:rPr>
          <w:rFonts w:ascii="Arial Narrow;Arial;Helvetica;sans-serif" w:hAnsi="Arial Narrow;Arial;Helvetica;sans-serif"/>
          <w:b/>
          <w:i w:val="false"/>
          <w:caps w:val="false"/>
          <w:smallCaps w:val="false"/>
          <w:color w:val="000000"/>
          <w:spacing w:val="4"/>
          <w:sz w:val="20"/>
        </w:rPr>
        <w:t xml:space="preserve"> </w:t>
      </w:r>
      <w:r>
        <mc:AlternateContent>
          <mc:Choice Requires="wps">
            <w:drawing>
              <wp:anchor behindDoc="0" distT="146685" distB="0" distL="0" distR="0" simplePos="0" locked="0" layoutInCell="1" allowOverlap="1" relativeHeight="114">
                <wp:simplePos x="0" y="0"/>
                <wp:positionH relativeFrom="column">
                  <wp:align>left</wp:align>
                </wp:positionH>
                <wp:positionV relativeFrom="line">
                  <wp:align>top</wp:align>
                </wp:positionV>
                <wp:extent cx="254000" cy="304800"/>
                <wp:effectExtent l="0" t="0" r="0" b="0"/>
                <wp:wrapSquare wrapText="right"/>
                <wp:docPr id="109" name="Frame7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color w:val="002C73"/>
                                <w:sz w:val="20"/>
                              </w:rPr>
                            </w:pPr>
                            <w:r>
                              <w:rPr>
                                <w:b/>
                                <w:caps/>
                                <w:color w:val="002C73"/>
                                <w:sz w:val="20"/>
                              </w:rPr>
                              <w:t>IV.</w:t>
                            </w:r>
                            <w:r>
                              <w:rPr>
                                <w:b/>
                                <w:color w:val="002C73"/>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1.55pt;mso-wrap-distance-bottom:0pt;margin-top:11.55pt;mso-position-vertical:top;mso-position-vertical-relative:text;margin-left:0pt;mso-position-horizontal:left;mso-position-horizontal-relative:text">
                <v:textbox>
                  <w:txbxContent>
                    <w:p>
                      <w:pPr>
                        <w:pStyle w:val="TextBody"/>
                        <w:bidi w:val="0"/>
                        <w:spacing w:lineRule="atLeast" w:line="240" w:before="0" w:after="283"/>
                        <w:jc w:val="left"/>
                        <w:rPr>
                          <w:b/>
                          <w:color w:val="002C73"/>
                          <w:sz w:val="20"/>
                        </w:rPr>
                      </w:pPr>
                      <w:r>
                        <w:rPr>
                          <w:b/>
                          <w:caps/>
                          <w:color w:val="002C73"/>
                          <w:sz w:val="20"/>
                        </w:rPr>
                        <w:t>IV.</w:t>
                      </w:r>
                      <w:r>
                        <w:rPr>
                          <w:b/>
                          <w:color w:val="002C73"/>
                          <w:sz w:val="20"/>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2025 Compensation Components in General</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selected the components of compensation set forth in the chart below to achieve our executive compensation program objectives. The Committee regularly reviews all components of the program to verify that each executive officer’s total compensation is consistent with our compensation philosophy and objectives and that the component is serving a purpose in supporting the execution of our strategy. The majority of each executive officer’s target compensation is variable and at-risk, with a meaningful portion tied to the achievement of pre-determined financial objectives and strategic goals, which we believe creates an alignment of interests between our executive officers and shareholders.</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393"/>
        <w:gridCol w:w="109"/>
        <w:gridCol w:w="109"/>
        <w:gridCol w:w="109"/>
        <w:gridCol w:w="2811"/>
        <w:gridCol w:w="109"/>
        <w:gridCol w:w="109"/>
        <w:gridCol w:w="109"/>
        <w:gridCol w:w="4147"/>
        <w:gridCol w:w="156"/>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393" w:type="dxa"/>
            <w:tcBorders>
              <w:bottom w:val="single" w:sz="12" w:space="0" w:color="3F3F3F"/>
            </w:tcBorders>
            <w:shd w:fill="F2F2F2" w:val="clear"/>
            <w:tcMar>
              <w:bottom w:w="135" w:type="dxa"/>
            </w:tcMar>
            <w:vAlign w:val="center"/>
          </w:tcPr>
          <w:p>
            <w:pPr>
              <w:pStyle w:val="TableContents"/>
              <w:bidi w:val="0"/>
              <w:spacing w:before="0" w:after="0"/>
              <w:jc w:val="left"/>
              <w:rPr/>
            </w:pPr>
            <w:r>
              <w:rPr/>
              <w:t xml:space="preserve">ELEMENT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811"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DESCRIPTION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4147"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ADDITIONAL DETAIL </w:t>
            </w:r>
          </w:p>
        </w:tc>
        <w:tc>
          <w:tcPr>
            <w:tcW w:w="156"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93" w:type="dxa"/>
            <w:tcBorders>
              <w:bottom w:val="single" w:sz="2" w:space="0" w:color="BFBFBF"/>
            </w:tcBorders>
            <w:tcMar>
              <w:bottom w:w="107" w:type="dxa"/>
            </w:tcMar>
            <w:vAlign w:val="center"/>
          </w:tcPr>
          <w:p>
            <w:pPr>
              <w:pStyle w:val="TableContents"/>
              <w:bidi w:val="0"/>
              <w:spacing w:before="0" w:after="283"/>
              <w:jc w:val="left"/>
              <w:rPr/>
            </w:pPr>
            <w:r>
              <w:rPr/>
              <w:t xml:space="preserve">Base Salary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811" w:type="dxa"/>
            <w:tcBorders>
              <w:bottom w:val="single" w:sz="2" w:space="0" w:color="BFBFBF"/>
            </w:tcBorders>
            <w:tcMar>
              <w:bottom w:w="107" w:type="dxa"/>
            </w:tcMar>
            <w:vAlign w:val="center"/>
          </w:tcPr>
          <w:p>
            <w:pPr>
              <w:pStyle w:val="TableContents"/>
              <w:bidi w:val="0"/>
              <w:spacing w:lineRule="atLeast" w:line="190" w:before="0" w:after="0"/>
              <w:ind w:left="190" w:right="0" w:hanging="0"/>
              <w:jc w:val="left"/>
              <w:rPr>
                <w:rFonts w:ascii="Arial;Helvetica;sans-serif" w:hAnsi="Arial;Helvetica;sans-serif"/>
              </w:rPr>
            </w:pPr>
            <w:r>
              <w:rPr>
                <w:rFonts w:ascii="Arial Narrow;Arial;Helvetica;sans-serif" w:hAnsi="Arial Narrow;Arial;Helvetica;sans-serif"/>
              </w:rPr>
              <w:t>Fixed cash compensation.</w:t>
            </w:r>
            <w:r>
              <w:rPr>
                <w:rFonts w:ascii="Arial;Helvetica;sans-serif" w:hAnsi="Arial;Helvetica;sans-serif"/>
              </w:rPr>
              <w:t xml:space="preserve">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120650" cy="350520"/>
                      <wp:effectExtent l="0" t="0" r="0" b="0"/>
                      <wp:wrapSquare wrapText="right"/>
                      <wp:docPr id="110" name="Frame7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 xml:space="preserve">Determined based on each executive officer’s role, individual skills, experience, performance, and competitive market conditions. </w:t>
            </w:r>
            <w:r>
              <mc:AlternateContent>
                <mc:Choice Requires="wps">
                  <w:drawing>
                    <wp:anchor behindDoc="0" distT="99060" distB="0" distL="0" distR="0" simplePos="0" locked="0" layoutInCell="1" allowOverlap="1" relativeHeight="116">
                      <wp:simplePos x="0" y="0"/>
                      <wp:positionH relativeFrom="column">
                        <wp:align>left</wp:align>
                      </wp:positionH>
                      <wp:positionV relativeFrom="line">
                        <wp:align>top</wp:align>
                      </wp:positionV>
                      <wp:extent cx="120650" cy="350520"/>
                      <wp:effectExtent l="0" t="0" r="0" b="0"/>
                      <wp:wrapSquare wrapText="right"/>
                      <wp:docPr id="111" name="Frame7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147" w:type="dxa"/>
            <w:tcBorders>
              <w:bottom w:val="single" w:sz="2" w:space="0" w:color="BFBFBF"/>
            </w:tcBorders>
            <w:tcMar>
              <w:bottom w:w="107" w:type="dxa"/>
            </w:tcMar>
            <w:vAlign w:val="center"/>
          </w:tcPr>
          <w:p>
            <w:pPr>
              <w:pStyle w:val="TableContents"/>
              <w:bidi w:val="0"/>
              <w:spacing w:before="0" w:after="283"/>
              <w:jc w:val="left"/>
              <w:rPr/>
            </w:pPr>
            <w:r>
              <w:rPr/>
              <w:t xml:space="preserve">Base salaries are intended to provide stable compensation to executive officers, allow us to attract and retain skilled executive talent and maintain a stable leadership team. </w:t>
            </w:r>
          </w:p>
        </w:tc>
        <w:tc>
          <w:tcPr>
            <w:tcW w:w="156"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93" w:type="dxa"/>
            <w:tcBorders>
              <w:bottom w:val="single" w:sz="2" w:space="0" w:color="BFBFBF"/>
            </w:tcBorders>
            <w:tcMar>
              <w:bottom w:w="108" w:type="dxa"/>
            </w:tcMar>
            <w:vAlign w:val="center"/>
          </w:tcPr>
          <w:p>
            <w:pPr>
              <w:pStyle w:val="TableContents"/>
              <w:bidi w:val="0"/>
              <w:spacing w:lineRule="atLeast" w:line="226" w:before="0" w:after="0"/>
              <w:ind w:left="190" w:right="0" w:hanging="190"/>
              <w:jc w:val="left"/>
              <w:rPr/>
            </w:pPr>
            <w:r>
              <w:rPr/>
              <w:t>Short-Term Incentives:</w:t>
              <w:br/>
              <w:t xml:space="preserve">Annual Cash Bonus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811" w:type="dxa"/>
            <w:tcBorders>
              <w:bottom w:val="single" w:sz="2" w:space="0" w:color="BFBFBF"/>
            </w:tcBorders>
            <w:tcMar>
              <w:bottom w:w="108" w:type="dxa"/>
            </w:tcMar>
            <w:vAlign w:val="center"/>
          </w:tcPr>
          <w:p>
            <w:pPr>
              <w:pStyle w:val="TableContents"/>
              <w:bidi w:val="0"/>
              <w:spacing w:lineRule="atLeast" w:line="226" w:before="0" w:after="0"/>
              <w:ind w:left="190" w:right="0" w:hanging="0"/>
              <w:jc w:val="left"/>
              <w:rPr/>
            </w:pPr>
            <w:r>
              <w:rPr/>
              <w:t>66.7% based on financial objectives and 33.3% based on strategic goals.</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120650" cy="350520"/>
                      <wp:effectExtent l="0" t="0" r="0" b="0"/>
                      <wp:wrapSquare wrapText="right"/>
                      <wp:docPr id="112" name="Frame7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Variable cash compensation based on the level of achievement of pre-determined annual corporate goals.</w:t>
            </w:r>
            <w:r>
              <mc:AlternateContent>
                <mc:Choice Requires="wps">
                  <w:drawing>
                    <wp:anchor behindDoc="0" distT="99060" distB="0" distL="0" distR="0" simplePos="0" locked="0" layoutInCell="1" allowOverlap="1" relativeHeight="118">
                      <wp:simplePos x="0" y="0"/>
                      <wp:positionH relativeFrom="column">
                        <wp:align>left</wp:align>
                      </wp:positionH>
                      <wp:positionV relativeFrom="line">
                        <wp:align>top</wp:align>
                      </wp:positionV>
                      <wp:extent cx="120650" cy="350520"/>
                      <wp:effectExtent l="0" t="0" r="0" b="0"/>
                      <wp:wrapSquare wrapText="right"/>
                      <wp:docPr id="113" name="Frame7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 xml:space="preserve">Cash incentives are capped at a maximum of 150% of each NEO’s target opportunity. </w:t>
            </w:r>
            <w:r>
              <mc:AlternateContent>
                <mc:Choice Requires="wps">
                  <w:drawing>
                    <wp:anchor behindDoc="0" distT="99060" distB="0" distL="0" distR="0" simplePos="0" locked="0" layoutInCell="1" allowOverlap="1" relativeHeight="119">
                      <wp:simplePos x="0" y="0"/>
                      <wp:positionH relativeFrom="column">
                        <wp:align>left</wp:align>
                      </wp:positionH>
                      <wp:positionV relativeFrom="line">
                        <wp:align>top</wp:align>
                      </wp:positionV>
                      <wp:extent cx="120650" cy="350520"/>
                      <wp:effectExtent l="0" t="0" r="0" b="0"/>
                      <wp:wrapSquare wrapText="right"/>
                      <wp:docPr id="114" name="Frame7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147" w:type="dxa"/>
            <w:tcBorders>
              <w:bottom w:val="single" w:sz="2" w:space="0" w:color="BFBFBF"/>
            </w:tcBorders>
            <w:tcMar>
              <w:bottom w:w="108" w:type="dxa"/>
            </w:tcMar>
            <w:vAlign w:val="center"/>
          </w:tcPr>
          <w:p>
            <w:pPr>
              <w:pStyle w:val="TableContents"/>
              <w:bidi w:val="0"/>
              <w:spacing w:before="0" w:after="283"/>
              <w:jc w:val="left"/>
              <w:rPr/>
            </w:pPr>
            <w:r>
              <w:rPr/>
              <w:t xml:space="preserve">Annual cash incentive opportunities are designed to ensure that executive officers are motivated to achieve our annual goals and reward them for doing so, as well as to attract and retain executive officers. </w:t>
            </w:r>
          </w:p>
        </w:tc>
        <w:tc>
          <w:tcPr>
            <w:tcW w:w="156"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393" w:type="dxa"/>
            <w:tcBorders>
              <w:bottom w:val="single" w:sz="2" w:space="0" w:color="BFBFBF"/>
            </w:tcBorders>
            <w:tcMar>
              <w:bottom w:w="108" w:type="dxa"/>
            </w:tcMar>
            <w:vAlign w:val="center"/>
          </w:tcPr>
          <w:p>
            <w:pPr>
              <w:pStyle w:val="TableContents"/>
              <w:bidi w:val="0"/>
              <w:spacing w:before="0" w:after="0"/>
              <w:ind w:left="190" w:right="0" w:hanging="190"/>
              <w:jc w:val="left"/>
              <w:rPr/>
            </w:pPr>
            <w:r>
              <w:rPr/>
              <w:t>Long-Term Incentives:</w:t>
              <w:br/>
              <w:t xml:space="preserve">Annual Equity-Based Awards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811" w:type="dxa"/>
            <w:tcBorders>
              <w:bottom w:val="single" w:sz="2" w:space="0" w:color="BFBFBF"/>
            </w:tcBorders>
            <w:tcMar>
              <w:bottom w:w="108" w:type="dxa"/>
            </w:tcMar>
            <w:vAlign w:val="center"/>
          </w:tcPr>
          <w:p>
            <w:pPr>
              <w:pStyle w:val="TableContents"/>
              <w:bidi w:val="0"/>
              <w:spacing w:lineRule="atLeast" w:line="190" w:before="0" w:after="0"/>
              <w:ind w:left="190" w:right="0" w:hanging="0"/>
              <w:jc w:val="left"/>
              <w:rPr>
                <w:rFonts w:ascii="Arial;Helvetica;sans-serif" w:hAnsi="Arial;Helvetica;sans-serif"/>
              </w:rPr>
            </w:pPr>
            <w:r>
              <w:rPr>
                <w:rFonts w:ascii="Arial Narrow;Arial;Helvetica;sans-serif" w:hAnsi="Arial Narrow;Arial;Helvetica;sans-serif"/>
              </w:rPr>
              <w:t>Variable equity-based compensation.</w:t>
            </w:r>
            <w:r>
              <w:rPr>
                <w:rFonts w:ascii="Arial;Helvetica;sans-serif" w:hAnsi="Arial;Helvetica;sans-serif"/>
              </w:rPr>
              <w:t xml:space="preserve">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120650" cy="350520"/>
                      <wp:effectExtent l="0" t="0" r="0" b="0"/>
                      <wp:wrapSquare wrapText="right"/>
                      <wp:docPr id="115" name="Frame7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PRSUs: Restricted share units that vest based on achievement of performance goals over a three-year performance period.</w:t>
            </w:r>
            <w:r>
              <mc:AlternateContent>
                <mc:Choice Requires="wps">
                  <w:drawing>
                    <wp:anchor behindDoc="0" distT="99060" distB="0" distL="0" distR="0" simplePos="0" locked="0" layoutInCell="1" allowOverlap="1" relativeHeight="121">
                      <wp:simplePos x="0" y="0"/>
                      <wp:positionH relativeFrom="column">
                        <wp:align>left</wp:align>
                      </wp:positionH>
                      <wp:positionV relativeFrom="line">
                        <wp:align>top</wp:align>
                      </wp:positionV>
                      <wp:extent cx="120650" cy="350520"/>
                      <wp:effectExtent l="0" t="0" r="0" b="0"/>
                      <wp:wrapSquare wrapText="right"/>
                      <wp:docPr id="116" name="Frame7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 xml:space="preserve">Service-Based RSUs: Restricted share units that vest in three equal annual installments based on the executive officer’s continued service with the Company. </w:t>
            </w:r>
            <w:r>
              <mc:AlternateContent>
                <mc:Choice Requires="wps">
                  <w:drawing>
                    <wp:anchor behindDoc="0" distT="99060" distB="0" distL="0" distR="0" simplePos="0" locked="0" layoutInCell="1" allowOverlap="1" relativeHeight="122">
                      <wp:simplePos x="0" y="0"/>
                      <wp:positionH relativeFrom="column">
                        <wp:align>left</wp:align>
                      </wp:positionH>
                      <wp:positionV relativeFrom="line">
                        <wp:align>top</wp:align>
                      </wp:positionV>
                      <wp:extent cx="120650" cy="350520"/>
                      <wp:effectExtent l="0" t="0" r="0" b="0"/>
                      <wp:wrapSquare wrapText="right"/>
                      <wp:docPr id="117" name="Frame7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4147" w:type="dxa"/>
            <w:tcBorders>
              <w:bottom w:val="single" w:sz="2" w:space="0" w:color="BFBFBF"/>
            </w:tcBorders>
            <w:tcMar>
              <w:bottom w:w="108" w:type="dxa"/>
            </w:tcMar>
            <w:vAlign w:val="center"/>
          </w:tcPr>
          <w:p>
            <w:pPr>
              <w:pStyle w:val="TableContents"/>
              <w:bidi w:val="0"/>
              <w:spacing w:before="0" w:after="283"/>
              <w:jc w:val="left"/>
              <w:rPr/>
            </w:pPr>
            <w:r>
              <w:rPr/>
              <w:t>Equity-based compensation is designed to motivate and reward executive officers to achieve our multi-year strategic goals and to deliver sustained long-term value to shareholders, as well as to attract and retain executive officers. It links compensation with shareholder value creation and aligns NEOs’ interests with shareholders’ interests.</w:t>
            </w:r>
          </w:p>
        </w:tc>
        <w:tc>
          <w:tcPr>
            <w:tcW w:w="156"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40" w:before="229" w:after="283"/>
        <w:ind w:left="920" w:right="0" w:hanging="0"/>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2025 Target Pay Mix</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Consistent with the Committee’s pay-for-performance philosophy, a meaningful majority of annual target total compensation for our NEOs is variable, at-risk pay. The Committee considers compensation to be “at-risk” if it is subject to operating performance or if its value depends on our stock price. For 2025, 67% of the allocation of annual target total compensation payable to Mr. D’Orazio and 64% of the allocation of the average annual target total compensation payable to the other continuing NEOs, was considered variable or at-risk.</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The Committee allocated compensation among base salary, target annual cash incentive plan amounts, and the grant date fair value of long-term incentive awards, which were granted to NEOs in the form of PRSUs (valued at target value) and Service-Based RSUs. The values and allocations were determined by the Committee with reference to, and consistent with, the allocations among such elements at the companies in our peer group.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21</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Approximately 34% of Mr. D’Orazio’s total target compensation, and 31% of the average total target compensation for the other NEOs, respectively, represented long-term incentive compensation.</w:t>
      </w:r>
      <w:r>
        <w:rPr>
          <w:rFonts w:ascii="Arial Narrow;Arial;Helvetica;sans-serif" w:hAnsi="Arial Narrow;Arial;Helvetica;sans-serif"/>
          <w:b w:val="false"/>
          <w:i w:val="false"/>
          <w:caps w:val="false"/>
          <w:smallCaps w:val="false"/>
          <w:color w:val="000000"/>
          <w:spacing w:val="4"/>
          <w:sz w:val="19"/>
        </w:rPr>
        <w:t xml:space="preserve"> </w:t>
      </w:r>
    </w:p>
    <w:tbl>
      <w:tblPr>
        <w:tblW w:w="8431" w:type="dxa"/>
        <w:jc w:val="left"/>
        <w:tblInd w:w="920" w:type="dxa"/>
        <w:tblLayout w:type="fixed"/>
        <w:tblCellMar>
          <w:top w:w="0" w:type="dxa"/>
          <w:left w:w="0" w:type="dxa"/>
          <w:bottom w:w="28" w:type="dxa"/>
          <w:right w:w="0" w:type="dxa"/>
        </w:tblCellMar>
      </w:tblPr>
      <w:tblGrid>
        <w:gridCol w:w="124"/>
        <w:gridCol w:w="3706"/>
        <w:gridCol w:w="109"/>
        <w:gridCol w:w="109"/>
        <w:gridCol w:w="109"/>
        <w:gridCol w:w="264"/>
        <w:gridCol w:w="264"/>
        <w:gridCol w:w="839"/>
        <w:gridCol w:w="266"/>
        <w:gridCol w:w="109"/>
        <w:gridCol w:w="109"/>
        <w:gridCol w:w="109"/>
        <w:gridCol w:w="275"/>
        <w:gridCol w:w="275"/>
        <w:gridCol w:w="1332"/>
        <w:gridCol w:w="278"/>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370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PAY ELEMENT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3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CEO TARGET</w:t>
              <w:br/>
              <w:t>PAY MIX</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160"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OTHER NEO</w:t>
              <w:br/>
              <w:t>TARGET PAY MIX</w:t>
              <w:br/>
              <w:t>(AVERAGE)</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706" w:type="dxa"/>
            <w:tcBorders>
              <w:bottom w:val="single" w:sz="2" w:space="0" w:color="BFBFBF"/>
            </w:tcBorders>
            <w:tcMar>
              <w:bottom w:w="65" w:type="dxa"/>
            </w:tcMar>
            <w:vAlign w:val="center"/>
          </w:tcPr>
          <w:p>
            <w:pPr>
              <w:pStyle w:val="TableContents"/>
              <w:bidi w:val="0"/>
              <w:spacing w:before="0" w:after="283"/>
              <w:jc w:val="left"/>
              <w:rPr/>
            </w:pPr>
            <w:r>
              <w:rPr/>
              <w:t xml:space="preserve">Base Salary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tcMar>
              <w:bottom w:w="65" w:type="dxa"/>
            </w:tcMar>
            <w:vAlign w:val="center"/>
          </w:tcPr>
          <w:p>
            <w:pPr>
              <w:pStyle w:val="TableContents"/>
              <w:bidi w:val="0"/>
              <w:spacing w:before="0" w:after="283"/>
              <w:jc w:val="right"/>
              <w:rPr/>
            </w:pPr>
            <w:r>
              <w:rPr/>
              <w:t>​</w:t>
            </w:r>
          </w:p>
        </w:tc>
        <w:tc>
          <w:tcPr>
            <w:tcW w:w="839" w:type="dxa"/>
            <w:tcBorders>
              <w:bottom w:val="single" w:sz="2" w:space="0" w:color="BFBFBF"/>
            </w:tcBorders>
            <w:tcMar>
              <w:bottom w:w="65" w:type="dxa"/>
            </w:tcMar>
            <w:vAlign w:val="center"/>
          </w:tcPr>
          <w:p>
            <w:pPr>
              <w:pStyle w:val="TableContents"/>
              <w:bidi w:val="0"/>
              <w:spacing w:before="0" w:after="283"/>
              <w:jc w:val="right"/>
              <w:rPr/>
            </w:pPr>
            <w:r>
              <w:rPr/>
              <w:t>33%</w:t>
            </w:r>
          </w:p>
        </w:tc>
        <w:tc>
          <w:tcPr>
            <w:tcW w:w="2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tcMar>
              <w:bottom w:w="65" w:type="dxa"/>
            </w:tcMar>
            <w:vAlign w:val="center"/>
          </w:tcPr>
          <w:p>
            <w:pPr>
              <w:pStyle w:val="TableContents"/>
              <w:bidi w:val="0"/>
              <w:spacing w:before="0" w:after="283"/>
              <w:jc w:val="right"/>
              <w:rPr/>
            </w:pPr>
            <w:r>
              <w:rPr/>
              <w:t>​</w:t>
            </w:r>
          </w:p>
        </w:tc>
        <w:tc>
          <w:tcPr>
            <w:tcW w:w="1332" w:type="dxa"/>
            <w:tcBorders>
              <w:bottom w:val="single" w:sz="2" w:space="0" w:color="BFBFBF"/>
            </w:tcBorders>
            <w:tcMar>
              <w:bottom w:w="65" w:type="dxa"/>
            </w:tcMar>
            <w:vAlign w:val="center"/>
          </w:tcPr>
          <w:p>
            <w:pPr>
              <w:pStyle w:val="TableContents"/>
              <w:bidi w:val="0"/>
              <w:spacing w:before="0" w:after="283"/>
              <w:jc w:val="right"/>
              <w:rPr/>
            </w:pPr>
            <w:r>
              <w:rPr/>
              <w:t>36%</w:t>
            </w:r>
          </w:p>
        </w:tc>
        <w:tc>
          <w:tcPr>
            <w:tcW w:w="278"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706" w:type="dxa"/>
            <w:tcBorders>
              <w:bottom w:val="single" w:sz="2" w:space="0" w:color="BFBFBF"/>
            </w:tcBorders>
            <w:tcMar>
              <w:bottom w:w="65" w:type="dxa"/>
            </w:tcMar>
            <w:vAlign w:val="center"/>
          </w:tcPr>
          <w:p>
            <w:pPr>
              <w:pStyle w:val="TableContents"/>
              <w:bidi w:val="0"/>
              <w:spacing w:before="0" w:after="283"/>
              <w:jc w:val="left"/>
              <w:rPr/>
            </w:pPr>
            <w:r>
              <w:rPr/>
              <w:t xml:space="preserve">Annual Bonus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tcMar>
              <w:bottom w:w="65" w:type="dxa"/>
            </w:tcMar>
            <w:vAlign w:val="center"/>
          </w:tcPr>
          <w:p>
            <w:pPr>
              <w:pStyle w:val="TableContents"/>
              <w:bidi w:val="0"/>
              <w:spacing w:before="0" w:after="283"/>
              <w:jc w:val="right"/>
              <w:rPr/>
            </w:pPr>
            <w:r>
              <w:rPr/>
              <w:t>​</w:t>
            </w:r>
          </w:p>
        </w:tc>
        <w:tc>
          <w:tcPr>
            <w:tcW w:w="839" w:type="dxa"/>
            <w:tcBorders>
              <w:bottom w:val="single" w:sz="2" w:space="0" w:color="BFBFBF"/>
            </w:tcBorders>
            <w:tcMar>
              <w:bottom w:w="65" w:type="dxa"/>
            </w:tcMar>
            <w:vAlign w:val="center"/>
          </w:tcPr>
          <w:p>
            <w:pPr>
              <w:pStyle w:val="TableContents"/>
              <w:bidi w:val="0"/>
              <w:spacing w:before="0" w:after="283"/>
              <w:jc w:val="right"/>
              <w:rPr/>
            </w:pPr>
            <w:r>
              <w:rPr/>
              <w:t>33%</w:t>
            </w:r>
          </w:p>
        </w:tc>
        <w:tc>
          <w:tcPr>
            <w:tcW w:w="2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tcMar>
              <w:bottom w:w="65" w:type="dxa"/>
            </w:tcMar>
            <w:vAlign w:val="center"/>
          </w:tcPr>
          <w:p>
            <w:pPr>
              <w:pStyle w:val="TableContents"/>
              <w:bidi w:val="0"/>
              <w:spacing w:before="0" w:after="283"/>
              <w:jc w:val="right"/>
              <w:rPr/>
            </w:pPr>
            <w:r>
              <w:rPr/>
              <w:t>​</w:t>
            </w:r>
          </w:p>
        </w:tc>
        <w:tc>
          <w:tcPr>
            <w:tcW w:w="1332" w:type="dxa"/>
            <w:tcBorders>
              <w:bottom w:val="single" w:sz="2" w:space="0" w:color="BFBFBF"/>
            </w:tcBorders>
            <w:tcMar>
              <w:bottom w:w="65" w:type="dxa"/>
            </w:tcMar>
            <w:vAlign w:val="center"/>
          </w:tcPr>
          <w:p>
            <w:pPr>
              <w:pStyle w:val="TableContents"/>
              <w:bidi w:val="0"/>
              <w:spacing w:before="0" w:after="283"/>
              <w:jc w:val="right"/>
              <w:rPr/>
            </w:pPr>
            <w:r>
              <w:rPr/>
              <w:t>33%</w:t>
            </w:r>
          </w:p>
        </w:tc>
        <w:tc>
          <w:tcPr>
            <w:tcW w:w="278"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706" w:type="dxa"/>
            <w:tcBorders>
              <w:bottom w:val="single" w:sz="2" w:space="0" w:color="BFBFBF"/>
            </w:tcBorders>
            <w:tcMar>
              <w:bottom w:w="65" w:type="dxa"/>
            </w:tcMar>
            <w:vAlign w:val="center"/>
          </w:tcPr>
          <w:p>
            <w:pPr>
              <w:pStyle w:val="TableContents"/>
              <w:bidi w:val="0"/>
              <w:spacing w:before="0" w:after="283"/>
              <w:jc w:val="left"/>
              <w:rPr/>
            </w:pPr>
            <w:r>
              <w:rPr/>
              <w:t xml:space="preserve">Long-Term Incentives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tcMar>
              <w:bottom w:w="65" w:type="dxa"/>
            </w:tcMar>
            <w:vAlign w:val="center"/>
          </w:tcPr>
          <w:p>
            <w:pPr>
              <w:pStyle w:val="TableContents"/>
              <w:bidi w:val="0"/>
              <w:spacing w:before="0" w:after="283"/>
              <w:jc w:val="right"/>
              <w:rPr/>
            </w:pPr>
            <w:r>
              <w:rPr/>
              <w:t>​</w:t>
            </w:r>
          </w:p>
        </w:tc>
        <w:tc>
          <w:tcPr>
            <w:tcW w:w="839" w:type="dxa"/>
            <w:tcBorders>
              <w:bottom w:val="single" w:sz="2" w:space="0" w:color="BFBFBF"/>
            </w:tcBorders>
            <w:tcMar>
              <w:bottom w:w="65" w:type="dxa"/>
            </w:tcMar>
            <w:vAlign w:val="center"/>
          </w:tcPr>
          <w:p>
            <w:pPr>
              <w:pStyle w:val="TableContents"/>
              <w:bidi w:val="0"/>
              <w:spacing w:before="0" w:after="283"/>
              <w:jc w:val="right"/>
              <w:rPr/>
            </w:pPr>
            <w:r>
              <w:rPr/>
              <w:t>34%</w:t>
            </w:r>
          </w:p>
        </w:tc>
        <w:tc>
          <w:tcPr>
            <w:tcW w:w="2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tcMar>
              <w:bottom w:w="65" w:type="dxa"/>
            </w:tcMar>
            <w:vAlign w:val="center"/>
          </w:tcPr>
          <w:p>
            <w:pPr>
              <w:pStyle w:val="TableContents"/>
              <w:bidi w:val="0"/>
              <w:spacing w:before="0" w:after="283"/>
              <w:jc w:val="right"/>
              <w:rPr/>
            </w:pPr>
            <w:r>
              <w:rPr/>
              <w:t>​</w:t>
            </w:r>
          </w:p>
        </w:tc>
        <w:tc>
          <w:tcPr>
            <w:tcW w:w="1332" w:type="dxa"/>
            <w:tcBorders>
              <w:bottom w:val="single" w:sz="2" w:space="0" w:color="BFBFBF"/>
            </w:tcBorders>
            <w:tcMar>
              <w:bottom w:w="65" w:type="dxa"/>
            </w:tcMar>
            <w:vAlign w:val="center"/>
          </w:tcPr>
          <w:p>
            <w:pPr>
              <w:pStyle w:val="TableContents"/>
              <w:bidi w:val="0"/>
              <w:spacing w:before="0" w:after="283"/>
              <w:jc w:val="right"/>
              <w:rPr/>
            </w:pPr>
            <w:r>
              <w:rPr/>
              <w:t>31%</w:t>
            </w:r>
          </w:p>
        </w:tc>
        <w:tc>
          <w:tcPr>
            <w:tcW w:w="278"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706" w:type="dxa"/>
            <w:tcBorders>
              <w:bottom w:val="single" w:sz="2" w:space="0" w:color="BFBFBF"/>
            </w:tcBorders>
            <w:tcMar>
              <w:bottom w:w="65" w:type="dxa"/>
            </w:tcMar>
            <w:vAlign w:val="center"/>
          </w:tcPr>
          <w:p>
            <w:pPr>
              <w:pStyle w:val="TableContents"/>
              <w:bidi w:val="0"/>
              <w:spacing w:before="0" w:after="0"/>
              <w:ind w:left="190" w:right="0" w:hanging="0"/>
              <w:jc w:val="left"/>
              <w:rPr/>
            </w:pPr>
            <w:r>
              <w:rPr/>
              <w:t xml:space="preserve">Performance Restricted Share Units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tcMar>
              <w:bottom w:w="65" w:type="dxa"/>
            </w:tcMar>
            <w:vAlign w:val="center"/>
          </w:tcPr>
          <w:p>
            <w:pPr>
              <w:pStyle w:val="TableContents"/>
              <w:bidi w:val="0"/>
              <w:spacing w:before="0" w:after="283"/>
              <w:jc w:val="right"/>
              <w:rPr/>
            </w:pPr>
            <w:r>
              <w:rPr/>
              <w:t>​</w:t>
            </w:r>
          </w:p>
        </w:tc>
        <w:tc>
          <w:tcPr>
            <w:tcW w:w="839" w:type="dxa"/>
            <w:tcBorders>
              <w:bottom w:val="single" w:sz="2" w:space="0" w:color="BFBFBF"/>
            </w:tcBorders>
            <w:tcMar>
              <w:bottom w:w="65" w:type="dxa"/>
            </w:tcMar>
            <w:vAlign w:val="center"/>
          </w:tcPr>
          <w:p>
            <w:pPr>
              <w:pStyle w:val="TableContents"/>
              <w:bidi w:val="0"/>
              <w:spacing w:before="0" w:after="283"/>
              <w:jc w:val="right"/>
              <w:rPr/>
            </w:pPr>
            <w:r>
              <w:rPr/>
              <w:t>17%</w:t>
            </w:r>
          </w:p>
        </w:tc>
        <w:tc>
          <w:tcPr>
            <w:tcW w:w="2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tcMar>
              <w:bottom w:w="65" w:type="dxa"/>
            </w:tcMar>
            <w:vAlign w:val="center"/>
          </w:tcPr>
          <w:p>
            <w:pPr>
              <w:pStyle w:val="TableContents"/>
              <w:bidi w:val="0"/>
              <w:spacing w:before="0" w:after="283"/>
              <w:jc w:val="right"/>
              <w:rPr/>
            </w:pPr>
            <w:r>
              <w:rPr/>
              <w:t>​</w:t>
            </w:r>
          </w:p>
        </w:tc>
        <w:tc>
          <w:tcPr>
            <w:tcW w:w="1332" w:type="dxa"/>
            <w:tcBorders>
              <w:bottom w:val="single" w:sz="2" w:space="0" w:color="BFBFBF"/>
            </w:tcBorders>
            <w:tcMar>
              <w:bottom w:w="65" w:type="dxa"/>
            </w:tcMar>
            <w:vAlign w:val="center"/>
          </w:tcPr>
          <w:p>
            <w:pPr>
              <w:pStyle w:val="TableContents"/>
              <w:bidi w:val="0"/>
              <w:spacing w:before="0" w:after="283"/>
              <w:jc w:val="right"/>
              <w:rPr/>
            </w:pPr>
            <w:r>
              <w:rPr/>
              <w:t>15.5%</w:t>
            </w:r>
          </w:p>
        </w:tc>
        <w:tc>
          <w:tcPr>
            <w:tcW w:w="278"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3706" w:type="dxa"/>
            <w:tcBorders>
              <w:bottom w:val="single" w:sz="2" w:space="0" w:color="BFBFBF"/>
            </w:tcBorders>
            <w:tcMar>
              <w:bottom w:w="65" w:type="dxa"/>
            </w:tcMar>
            <w:vAlign w:val="center"/>
          </w:tcPr>
          <w:p>
            <w:pPr>
              <w:pStyle w:val="TableContents"/>
              <w:bidi w:val="0"/>
              <w:spacing w:before="0" w:after="0"/>
              <w:ind w:left="190" w:right="0" w:hanging="0"/>
              <w:jc w:val="left"/>
              <w:rPr/>
            </w:pPr>
            <w:r>
              <w:rPr/>
              <w:t xml:space="preserve">Service-Based Restricted Share Units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vAlign w:val="center"/>
          </w:tcPr>
          <w:p>
            <w:pPr>
              <w:pStyle w:val="TableContents"/>
              <w:bidi w:val="0"/>
              <w:spacing w:before="0" w:after="283"/>
              <w:jc w:val="left"/>
              <w:rPr/>
            </w:pPr>
            <w:r>
              <w:rPr/>
              <w:t>​</w:t>
            </w:r>
          </w:p>
        </w:tc>
        <w:tc>
          <w:tcPr>
            <w:tcW w:w="264" w:type="dxa"/>
            <w:tcBorders>
              <w:bottom w:val="single" w:sz="2" w:space="0" w:color="BFBFBF"/>
            </w:tcBorders>
            <w:tcMar>
              <w:bottom w:w="65" w:type="dxa"/>
            </w:tcMar>
            <w:vAlign w:val="center"/>
          </w:tcPr>
          <w:p>
            <w:pPr>
              <w:pStyle w:val="TableContents"/>
              <w:bidi w:val="0"/>
              <w:spacing w:before="0" w:after="283"/>
              <w:jc w:val="right"/>
              <w:rPr/>
            </w:pPr>
            <w:r>
              <w:rPr/>
              <w:t>​</w:t>
            </w:r>
          </w:p>
        </w:tc>
        <w:tc>
          <w:tcPr>
            <w:tcW w:w="839" w:type="dxa"/>
            <w:tcBorders>
              <w:bottom w:val="single" w:sz="2" w:space="0" w:color="BFBFBF"/>
            </w:tcBorders>
            <w:tcMar>
              <w:bottom w:w="65" w:type="dxa"/>
            </w:tcMar>
            <w:vAlign w:val="center"/>
          </w:tcPr>
          <w:p>
            <w:pPr>
              <w:pStyle w:val="TableContents"/>
              <w:bidi w:val="0"/>
              <w:spacing w:before="0" w:after="283"/>
              <w:jc w:val="right"/>
              <w:rPr/>
            </w:pPr>
            <w:r>
              <w:rPr/>
              <w:t>17%</w:t>
            </w:r>
          </w:p>
        </w:tc>
        <w:tc>
          <w:tcPr>
            <w:tcW w:w="2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vAlign w:val="center"/>
          </w:tcPr>
          <w:p>
            <w:pPr>
              <w:pStyle w:val="TableContents"/>
              <w:bidi w:val="0"/>
              <w:spacing w:before="0" w:after="283"/>
              <w:jc w:val="left"/>
              <w:rPr/>
            </w:pPr>
            <w:r>
              <w:rPr/>
              <w:t>​</w:t>
            </w:r>
          </w:p>
        </w:tc>
        <w:tc>
          <w:tcPr>
            <w:tcW w:w="275" w:type="dxa"/>
            <w:tcBorders>
              <w:bottom w:val="single" w:sz="2" w:space="0" w:color="BFBFBF"/>
            </w:tcBorders>
            <w:tcMar>
              <w:bottom w:w="65" w:type="dxa"/>
            </w:tcMar>
            <w:vAlign w:val="center"/>
          </w:tcPr>
          <w:p>
            <w:pPr>
              <w:pStyle w:val="TableContents"/>
              <w:bidi w:val="0"/>
              <w:spacing w:before="0" w:after="283"/>
              <w:jc w:val="right"/>
              <w:rPr/>
            </w:pPr>
            <w:r>
              <w:rPr/>
              <w:t>​</w:t>
            </w:r>
          </w:p>
        </w:tc>
        <w:tc>
          <w:tcPr>
            <w:tcW w:w="1332" w:type="dxa"/>
            <w:tcBorders>
              <w:bottom w:val="single" w:sz="2" w:space="0" w:color="BFBFBF"/>
            </w:tcBorders>
            <w:tcMar>
              <w:bottom w:w="65" w:type="dxa"/>
            </w:tcMar>
            <w:vAlign w:val="center"/>
          </w:tcPr>
          <w:p>
            <w:pPr>
              <w:pStyle w:val="TableContents"/>
              <w:bidi w:val="0"/>
              <w:spacing w:before="0" w:after="283"/>
              <w:jc w:val="right"/>
              <w:rPr/>
            </w:pPr>
            <w:r>
              <w:rPr/>
              <w:t>15.5%</w:t>
            </w:r>
          </w:p>
        </w:tc>
        <w:tc>
          <w:tcPr>
            <w:tcW w:w="278"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30" w:before="235"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Each compensation element is discussed in more detail below. The percentage shown for the PRSUs in the table above is based on the target grant date values of the PRSUs for our NEOs’ annual equity grants.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Base Salary</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Base salaries provide fixed compensation to executive officers and help to attract and retain the executive talent needed to lead the business and maintain a stable leadership team. Base salaries are individually determined according to each executive officer’s areas of responsibility, role, and experience, and vary among executive officers based on a variety of considerations, including skills, experience, achievements, and the competitive market for the position. Each of our NEOs received a modest 3% salary increase in 2025, with the exception of Mr. Schmitzer who did not receive a salary increase and Mr. Sutherland, whose salary increase exceeded 3% in connection with his promotion to President of the E&amp;S Segment on May 5, 2025. The table below sets forth the base salaries for each of our NEOs for the fiscal year ended December 31, 2025, and, other than for Ms. Miller and Mr. Sutherland, for the fiscal year ended December 31, 2024.</w:t>
      </w:r>
      <w:r>
        <w:rPr>
          <w:rFonts w:ascii="Arial Narrow;Arial;Helvetica;sans-serif" w:hAnsi="Arial Narrow;Arial;Helvetica;sans-serif"/>
          <w:b w:val="false"/>
          <w:i w:val="false"/>
          <w:caps w:val="false"/>
          <w:smallCaps w:val="false"/>
          <w:color w:val="000000"/>
          <w:spacing w:val="4"/>
          <w:sz w:val="19"/>
        </w:rPr>
        <w:t xml:space="preserve"> </w:t>
      </w:r>
    </w:p>
    <w:tbl>
      <w:tblPr>
        <w:tblW w:w="8456" w:type="dxa"/>
        <w:jc w:val="left"/>
        <w:tblInd w:w="920" w:type="dxa"/>
        <w:tblLayout w:type="fixed"/>
        <w:tblCellMar>
          <w:top w:w="0" w:type="dxa"/>
          <w:left w:w="0" w:type="dxa"/>
          <w:bottom w:w="28" w:type="dxa"/>
          <w:right w:w="0" w:type="dxa"/>
        </w:tblCellMar>
      </w:tblPr>
      <w:tblGrid>
        <w:gridCol w:w="124"/>
        <w:gridCol w:w="2176"/>
        <w:gridCol w:w="109"/>
        <w:gridCol w:w="109"/>
        <w:gridCol w:w="109"/>
        <w:gridCol w:w="160"/>
        <w:gridCol w:w="160"/>
        <w:gridCol w:w="1304"/>
        <w:gridCol w:w="160"/>
        <w:gridCol w:w="109"/>
        <w:gridCol w:w="109"/>
        <w:gridCol w:w="109"/>
        <w:gridCol w:w="136"/>
        <w:gridCol w:w="136"/>
        <w:gridCol w:w="1375"/>
        <w:gridCol w:w="136"/>
        <w:gridCol w:w="109"/>
        <w:gridCol w:w="109"/>
        <w:gridCol w:w="109"/>
        <w:gridCol w:w="252"/>
        <w:gridCol w:w="252"/>
        <w:gridCol w:w="697"/>
        <w:gridCol w:w="253"/>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17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NEO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84"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2024</w:t>
              <w:br/>
              <w:t>BASE SALARY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8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2025</w:t>
              <w:br/>
              <w:t>BASE SALARY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54"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 CHANGE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tcMar>
              <w:bottom w:w="65" w:type="dxa"/>
            </w:tcMar>
            <w:vAlign w:val="center"/>
          </w:tcPr>
          <w:p>
            <w:pPr>
              <w:pStyle w:val="TableContents"/>
              <w:bidi w:val="0"/>
              <w:spacing w:before="0" w:after="283"/>
              <w:jc w:val="right"/>
              <w:rPr/>
            </w:pPr>
            <w:r>
              <w:rPr/>
              <w:t>​</w:t>
            </w:r>
          </w:p>
        </w:tc>
        <w:tc>
          <w:tcPr>
            <w:tcW w:w="1304" w:type="dxa"/>
            <w:tcBorders>
              <w:bottom w:val="single" w:sz="2" w:space="0" w:color="BFBFBF"/>
            </w:tcBorders>
            <w:tcMar>
              <w:bottom w:w="65" w:type="dxa"/>
            </w:tcMar>
            <w:vAlign w:val="center"/>
          </w:tcPr>
          <w:p>
            <w:pPr>
              <w:pStyle w:val="TableContents"/>
              <w:bidi w:val="0"/>
              <w:spacing w:before="0" w:after="283"/>
              <w:jc w:val="right"/>
              <w:rPr/>
            </w:pPr>
            <w:r>
              <w:rPr/>
              <w:t>966,625</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tcMar>
              <w:bottom w:w="65" w:type="dxa"/>
            </w:tcMar>
            <w:vAlign w:val="center"/>
          </w:tcPr>
          <w:p>
            <w:pPr>
              <w:pStyle w:val="TableContents"/>
              <w:bidi w:val="0"/>
              <w:spacing w:before="0" w:after="283"/>
              <w:jc w:val="right"/>
              <w:rPr/>
            </w:pPr>
            <w:r>
              <w:rPr/>
              <w:t>​</w:t>
            </w:r>
          </w:p>
        </w:tc>
        <w:tc>
          <w:tcPr>
            <w:tcW w:w="1375" w:type="dxa"/>
            <w:tcBorders>
              <w:bottom w:val="single" w:sz="2" w:space="0" w:color="BFBFBF"/>
            </w:tcBorders>
            <w:tcMar>
              <w:bottom w:w="65" w:type="dxa"/>
            </w:tcMar>
            <w:vAlign w:val="center"/>
          </w:tcPr>
          <w:p>
            <w:pPr>
              <w:pStyle w:val="TableContents"/>
              <w:bidi w:val="0"/>
              <w:spacing w:before="0" w:after="283"/>
              <w:jc w:val="right"/>
              <w:rPr/>
            </w:pPr>
            <w:r>
              <w:rPr/>
              <w:t>995,624</w:t>
            </w:r>
          </w:p>
        </w:tc>
        <w:tc>
          <w:tcPr>
            <w:tcW w:w="1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tcMar>
              <w:bottom w:w="65" w:type="dxa"/>
            </w:tcMar>
            <w:vAlign w:val="center"/>
          </w:tcPr>
          <w:p>
            <w:pPr>
              <w:pStyle w:val="TableContents"/>
              <w:bidi w:val="0"/>
              <w:spacing w:before="0" w:after="283"/>
              <w:jc w:val="right"/>
              <w:rPr/>
            </w:pPr>
            <w:r>
              <w:rPr/>
              <w:t>​</w:t>
            </w:r>
          </w:p>
        </w:tc>
        <w:tc>
          <w:tcPr>
            <w:tcW w:w="697" w:type="dxa"/>
            <w:tcBorders>
              <w:bottom w:val="single" w:sz="2" w:space="0" w:color="BFBFBF"/>
            </w:tcBorders>
            <w:tcMar>
              <w:bottom w:w="65" w:type="dxa"/>
            </w:tcMar>
            <w:vAlign w:val="center"/>
          </w:tcPr>
          <w:p>
            <w:pPr>
              <w:pStyle w:val="TableContents"/>
              <w:bidi w:val="0"/>
              <w:spacing w:before="0" w:after="283"/>
              <w:jc w:val="right"/>
              <w:rPr/>
            </w:pPr>
            <w:r>
              <w:rPr/>
              <w:t>3%</w:t>
            </w:r>
          </w:p>
        </w:tc>
        <w:tc>
          <w:tcPr>
            <w:tcW w:w="253"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tcMar>
              <w:bottom w:w="65" w:type="dxa"/>
            </w:tcMar>
            <w:vAlign w:val="center"/>
          </w:tcPr>
          <w:p>
            <w:pPr>
              <w:pStyle w:val="TableContents"/>
              <w:bidi w:val="0"/>
              <w:spacing w:before="0" w:after="283"/>
              <w:jc w:val="right"/>
              <w:rPr/>
            </w:pPr>
            <w:r>
              <w:rPr/>
              <w:t>​</w:t>
            </w:r>
          </w:p>
        </w:tc>
        <w:tc>
          <w:tcPr>
            <w:tcW w:w="1304" w:type="dxa"/>
            <w:tcBorders>
              <w:bottom w:val="single" w:sz="2" w:space="0" w:color="BFBFBF"/>
            </w:tcBorders>
            <w:tcMar>
              <w:bottom w:w="65" w:type="dxa"/>
            </w:tcMar>
            <w:vAlign w:val="center"/>
          </w:tcPr>
          <w:p>
            <w:pPr>
              <w:pStyle w:val="TableContents"/>
              <w:bidi w:val="0"/>
              <w:spacing w:before="0" w:after="283"/>
              <w:jc w:val="right"/>
              <w:rPr/>
            </w:pPr>
            <w:r>
              <w:rPr/>
              <w:t>572,000</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tcMar>
              <w:bottom w:w="65" w:type="dxa"/>
            </w:tcMar>
            <w:vAlign w:val="center"/>
          </w:tcPr>
          <w:p>
            <w:pPr>
              <w:pStyle w:val="TableContents"/>
              <w:bidi w:val="0"/>
              <w:spacing w:before="0" w:after="283"/>
              <w:jc w:val="right"/>
              <w:rPr/>
            </w:pPr>
            <w:r>
              <w:rPr/>
              <w:t>​</w:t>
            </w:r>
          </w:p>
        </w:tc>
        <w:tc>
          <w:tcPr>
            <w:tcW w:w="1375" w:type="dxa"/>
            <w:tcBorders>
              <w:bottom w:val="single" w:sz="2" w:space="0" w:color="BFBFBF"/>
            </w:tcBorders>
            <w:tcMar>
              <w:bottom w:w="65" w:type="dxa"/>
            </w:tcMar>
            <w:vAlign w:val="center"/>
          </w:tcPr>
          <w:p>
            <w:pPr>
              <w:pStyle w:val="TableContents"/>
              <w:bidi w:val="0"/>
              <w:spacing w:before="0" w:after="283"/>
              <w:jc w:val="right"/>
              <w:rPr/>
            </w:pPr>
            <w:r>
              <w:rPr/>
              <w:t>589,160</w:t>
            </w:r>
          </w:p>
        </w:tc>
        <w:tc>
          <w:tcPr>
            <w:tcW w:w="1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tcMar>
              <w:bottom w:w="65" w:type="dxa"/>
            </w:tcMar>
            <w:vAlign w:val="center"/>
          </w:tcPr>
          <w:p>
            <w:pPr>
              <w:pStyle w:val="TableContents"/>
              <w:bidi w:val="0"/>
              <w:spacing w:before="0" w:after="283"/>
              <w:jc w:val="right"/>
              <w:rPr/>
            </w:pPr>
            <w:r>
              <w:rPr/>
              <w:t>​</w:t>
            </w:r>
          </w:p>
        </w:tc>
        <w:tc>
          <w:tcPr>
            <w:tcW w:w="697" w:type="dxa"/>
            <w:tcBorders>
              <w:bottom w:val="single" w:sz="2" w:space="0" w:color="BFBFBF"/>
            </w:tcBorders>
            <w:tcMar>
              <w:bottom w:w="65" w:type="dxa"/>
            </w:tcMar>
            <w:vAlign w:val="center"/>
          </w:tcPr>
          <w:p>
            <w:pPr>
              <w:pStyle w:val="TableContents"/>
              <w:bidi w:val="0"/>
              <w:spacing w:before="0" w:after="283"/>
              <w:jc w:val="right"/>
              <w:rPr/>
            </w:pPr>
            <w:r>
              <w:rPr/>
              <w:t>3%</w:t>
            </w:r>
          </w:p>
        </w:tc>
        <w:tc>
          <w:tcPr>
            <w:tcW w:w="253"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tcMar>
              <w:bottom w:w="65" w:type="dxa"/>
            </w:tcMar>
            <w:vAlign w:val="center"/>
          </w:tcPr>
          <w:p>
            <w:pPr>
              <w:pStyle w:val="TableContents"/>
              <w:bidi w:val="0"/>
              <w:spacing w:before="0" w:after="283"/>
              <w:jc w:val="right"/>
              <w:rPr/>
            </w:pPr>
            <w:r>
              <w:rPr/>
              <w:t>​</w:t>
            </w:r>
          </w:p>
        </w:tc>
        <w:tc>
          <w:tcPr>
            <w:tcW w:w="1304" w:type="dxa"/>
            <w:tcBorders>
              <w:bottom w:val="single" w:sz="2" w:space="0" w:color="BFBFBF"/>
            </w:tcBorders>
            <w:tcMar>
              <w:bottom w:w="65" w:type="dxa"/>
            </w:tcMar>
            <w:vAlign w:val="center"/>
          </w:tcPr>
          <w:p>
            <w:pPr>
              <w:pStyle w:val="TableContents"/>
              <w:bidi w:val="0"/>
              <w:spacing w:before="0" w:after="283"/>
              <w:jc w:val="right"/>
              <w:rPr/>
            </w:pPr>
            <w:r>
              <w:rPr/>
              <w:t>669,955</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tcMar>
              <w:bottom w:w="65" w:type="dxa"/>
            </w:tcMar>
            <w:vAlign w:val="center"/>
          </w:tcPr>
          <w:p>
            <w:pPr>
              <w:pStyle w:val="TableContents"/>
              <w:bidi w:val="0"/>
              <w:spacing w:before="0" w:after="283"/>
              <w:jc w:val="right"/>
              <w:rPr/>
            </w:pPr>
            <w:r>
              <w:rPr/>
              <w:t>​</w:t>
            </w:r>
          </w:p>
        </w:tc>
        <w:tc>
          <w:tcPr>
            <w:tcW w:w="1375" w:type="dxa"/>
            <w:tcBorders>
              <w:bottom w:val="single" w:sz="2" w:space="0" w:color="BFBFBF"/>
            </w:tcBorders>
            <w:tcMar>
              <w:bottom w:w="65" w:type="dxa"/>
            </w:tcMar>
            <w:vAlign w:val="center"/>
          </w:tcPr>
          <w:p>
            <w:pPr>
              <w:pStyle w:val="TableContents"/>
              <w:bidi w:val="0"/>
              <w:spacing w:before="0" w:after="283"/>
              <w:jc w:val="right"/>
              <w:rPr/>
            </w:pPr>
            <w:r>
              <w:rPr/>
              <w:t>463,479</w:t>
            </w:r>
            <w:r>
              <w:rPr>
                <w:sz w:val="12"/>
              </w:rPr>
              <w:t>(1)</w:t>
            </w:r>
            <w:r>
              <w:rPr/>
              <w:t xml:space="preserve"> </w:t>
            </w:r>
          </w:p>
        </w:tc>
        <w:tc>
          <w:tcPr>
            <w:tcW w:w="1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tcMar>
              <w:bottom w:w="65" w:type="dxa"/>
            </w:tcMar>
            <w:vAlign w:val="center"/>
          </w:tcPr>
          <w:p>
            <w:pPr>
              <w:pStyle w:val="TableContents"/>
              <w:bidi w:val="0"/>
              <w:spacing w:before="0" w:after="283"/>
              <w:jc w:val="right"/>
              <w:rPr/>
            </w:pPr>
            <w:r>
              <w:rPr/>
              <w:t>​</w:t>
            </w:r>
          </w:p>
        </w:tc>
        <w:tc>
          <w:tcPr>
            <w:tcW w:w="697" w:type="dxa"/>
            <w:tcBorders>
              <w:bottom w:val="single" w:sz="2" w:space="0" w:color="BFBFBF"/>
            </w:tcBorders>
            <w:tcMar>
              <w:bottom w:w="65" w:type="dxa"/>
            </w:tcMar>
            <w:vAlign w:val="center"/>
          </w:tcPr>
          <w:p>
            <w:pPr>
              <w:pStyle w:val="TableContents"/>
              <w:bidi w:val="0"/>
              <w:spacing w:before="0" w:after="283"/>
              <w:jc w:val="right"/>
              <w:rPr/>
            </w:pPr>
            <w:r>
              <w:rPr/>
              <w:t>n/a</w:t>
            </w:r>
          </w:p>
        </w:tc>
        <w:tc>
          <w:tcPr>
            <w:tcW w:w="253"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tcMar>
              <w:bottom w:w="65" w:type="dxa"/>
            </w:tcMar>
            <w:vAlign w:val="center"/>
          </w:tcPr>
          <w:p>
            <w:pPr>
              <w:pStyle w:val="TableContents"/>
              <w:bidi w:val="0"/>
              <w:spacing w:before="0" w:after="283"/>
              <w:jc w:val="right"/>
              <w:rPr/>
            </w:pPr>
            <w:r>
              <w:rPr/>
              <w:t>​</w:t>
            </w:r>
          </w:p>
        </w:tc>
        <w:tc>
          <w:tcPr>
            <w:tcW w:w="1304" w:type="dxa"/>
            <w:tcBorders>
              <w:bottom w:val="single" w:sz="2" w:space="0" w:color="BFBFBF"/>
            </w:tcBorders>
            <w:tcMar>
              <w:bottom w:w="65" w:type="dxa"/>
            </w:tcMar>
            <w:vAlign w:val="center"/>
          </w:tcPr>
          <w:p>
            <w:pPr>
              <w:pStyle w:val="TableContents"/>
              <w:bidi w:val="0"/>
              <w:spacing w:before="0" w:after="283"/>
              <w:jc w:val="right"/>
              <w:rPr/>
            </w:pPr>
            <w:r>
              <w:rPr/>
              <w:t>442,000</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tcMar>
              <w:bottom w:w="65" w:type="dxa"/>
            </w:tcMar>
            <w:vAlign w:val="center"/>
          </w:tcPr>
          <w:p>
            <w:pPr>
              <w:pStyle w:val="TableContents"/>
              <w:bidi w:val="0"/>
              <w:spacing w:before="0" w:after="283"/>
              <w:jc w:val="right"/>
              <w:rPr/>
            </w:pPr>
            <w:r>
              <w:rPr/>
              <w:t>​</w:t>
            </w:r>
          </w:p>
        </w:tc>
        <w:tc>
          <w:tcPr>
            <w:tcW w:w="1375" w:type="dxa"/>
            <w:tcBorders>
              <w:bottom w:val="single" w:sz="2" w:space="0" w:color="BFBFBF"/>
            </w:tcBorders>
            <w:tcMar>
              <w:bottom w:w="65" w:type="dxa"/>
            </w:tcMar>
            <w:vAlign w:val="center"/>
          </w:tcPr>
          <w:p>
            <w:pPr>
              <w:pStyle w:val="TableContents"/>
              <w:bidi w:val="0"/>
              <w:spacing w:before="0" w:after="283"/>
              <w:jc w:val="right"/>
              <w:rPr/>
            </w:pPr>
            <w:r>
              <w:rPr/>
              <w:t>455,260</w:t>
            </w:r>
          </w:p>
        </w:tc>
        <w:tc>
          <w:tcPr>
            <w:tcW w:w="1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tcMar>
              <w:bottom w:w="65" w:type="dxa"/>
            </w:tcMar>
            <w:vAlign w:val="center"/>
          </w:tcPr>
          <w:p>
            <w:pPr>
              <w:pStyle w:val="TableContents"/>
              <w:bidi w:val="0"/>
              <w:spacing w:before="0" w:after="283"/>
              <w:jc w:val="right"/>
              <w:rPr/>
            </w:pPr>
            <w:r>
              <w:rPr/>
              <w:t>​</w:t>
            </w:r>
          </w:p>
        </w:tc>
        <w:tc>
          <w:tcPr>
            <w:tcW w:w="697" w:type="dxa"/>
            <w:tcBorders>
              <w:bottom w:val="single" w:sz="2" w:space="0" w:color="BFBFBF"/>
            </w:tcBorders>
            <w:tcMar>
              <w:bottom w:w="65" w:type="dxa"/>
            </w:tcMar>
            <w:vAlign w:val="center"/>
          </w:tcPr>
          <w:p>
            <w:pPr>
              <w:pStyle w:val="TableContents"/>
              <w:bidi w:val="0"/>
              <w:spacing w:before="0" w:after="283"/>
              <w:jc w:val="right"/>
              <w:rPr/>
            </w:pPr>
            <w:r>
              <w:rPr/>
              <w:t>3%</w:t>
            </w:r>
          </w:p>
        </w:tc>
        <w:tc>
          <w:tcPr>
            <w:tcW w:w="253"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tcMar>
              <w:bottom w:w="65" w:type="dxa"/>
            </w:tcMar>
            <w:vAlign w:val="center"/>
          </w:tcPr>
          <w:p>
            <w:pPr>
              <w:pStyle w:val="TableContents"/>
              <w:bidi w:val="0"/>
              <w:spacing w:before="0" w:after="283"/>
              <w:jc w:val="right"/>
              <w:rPr/>
            </w:pPr>
            <w:r>
              <w:rPr/>
              <w:t>​</w:t>
            </w:r>
          </w:p>
        </w:tc>
        <w:tc>
          <w:tcPr>
            <w:tcW w:w="1304" w:type="dxa"/>
            <w:tcBorders>
              <w:bottom w:val="single" w:sz="2" w:space="0" w:color="BFBFBF"/>
            </w:tcBorders>
            <w:tcMar>
              <w:bottom w:w="65" w:type="dxa"/>
            </w:tcMar>
            <w:vAlign w:val="center"/>
          </w:tcPr>
          <w:p>
            <w:pPr>
              <w:pStyle w:val="TableContents"/>
              <w:bidi w:val="0"/>
              <w:spacing w:before="0" w:after="283"/>
              <w:jc w:val="right"/>
              <w:rPr/>
            </w:pPr>
            <w:r>
              <w:rPr/>
              <w:t>n/a</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tcMar>
              <w:bottom w:w="65" w:type="dxa"/>
            </w:tcMar>
            <w:vAlign w:val="center"/>
          </w:tcPr>
          <w:p>
            <w:pPr>
              <w:pStyle w:val="TableContents"/>
              <w:bidi w:val="0"/>
              <w:spacing w:before="0" w:after="283"/>
              <w:jc w:val="right"/>
              <w:rPr/>
            </w:pPr>
            <w:r>
              <w:rPr/>
              <w:t>​</w:t>
            </w:r>
          </w:p>
        </w:tc>
        <w:tc>
          <w:tcPr>
            <w:tcW w:w="1375" w:type="dxa"/>
            <w:tcBorders>
              <w:bottom w:val="single" w:sz="2" w:space="0" w:color="BFBFBF"/>
            </w:tcBorders>
            <w:tcMar>
              <w:bottom w:w="65" w:type="dxa"/>
            </w:tcMar>
            <w:vAlign w:val="center"/>
          </w:tcPr>
          <w:p>
            <w:pPr>
              <w:pStyle w:val="TableContents"/>
              <w:bidi w:val="0"/>
              <w:spacing w:before="0" w:after="283"/>
              <w:jc w:val="right"/>
              <w:rPr/>
            </w:pPr>
            <w:r>
              <w:rPr/>
              <w:t>370,800</w:t>
            </w:r>
          </w:p>
        </w:tc>
        <w:tc>
          <w:tcPr>
            <w:tcW w:w="1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tcMar>
              <w:bottom w:w="65" w:type="dxa"/>
            </w:tcMar>
            <w:vAlign w:val="center"/>
          </w:tcPr>
          <w:p>
            <w:pPr>
              <w:pStyle w:val="TableContents"/>
              <w:bidi w:val="0"/>
              <w:spacing w:before="0" w:after="283"/>
              <w:jc w:val="right"/>
              <w:rPr/>
            </w:pPr>
            <w:r>
              <w:rPr/>
              <w:t>​</w:t>
            </w:r>
          </w:p>
        </w:tc>
        <w:tc>
          <w:tcPr>
            <w:tcW w:w="697" w:type="dxa"/>
            <w:tcBorders>
              <w:bottom w:val="single" w:sz="2" w:space="0" w:color="BFBFBF"/>
            </w:tcBorders>
            <w:tcMar>
              <w:bottom w:w="65" w:type="dxa"/>
            </w:tcMar>
            <w:vAlign w:val="center"/>
          </w:tcPr>
          <w:p>
            <w:pPr>
              <w:pStyle w:val="TableContents"/>
              <w:bidi w:val="0"/>
              <w:spacing w:before="0" w:after="283"/>
              <w:jc w:val="right"/>
              <w:rPr/>
            </w:pPr>
            <w:r>
              <w:rPr/>
              <w:t>n/a</w:t>
            </w:r>
          </w:p>
        </w:tc>
        <w:tc>
          <w:tcPr>
            <w:tcW w:w="253"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vAlign w:val="center"/>
          </w:tcPr>
          <w:p>
            <w:pPr>
              <w:pStyle w:val="TableContents"/>
              <w:bidi w:val="0"/>
              <w:spacing w:before="0" w:after="283"/>
              <w:jc w:val="left"/>
              <w:rPr/>
            </w:pPr>
            <w:r>
              <w:rPr/>
              <w:t>​</w:t>
            </w:r>
          </w:p>
        </w:tc>
        <w:tc>
          <w:tcPr>
            <w:tcW w:w="160" w:type="dxa"/>
            <w:tcBorders>
              <w:bottom w:val="single" w:sz="2" w:space="0" w:color="BFBFBF"/>
            </w:tcBorders>
            <w:tcMar>
              <w:bottom w:w="65" w:type="dxa"/>
            </w:tcMar>
            <w:vAlign w:val="center"/>
          </w:tcPr>
          <w:p>
            <w:pPr>
              <w:pStyle w:val="TableContents"/>
              <w:bidi w:val="0"/>
              <w:spacing w:before="0" w:after="283"/>
              <w:jc w:val="right"/>
              <w:rPr/>
            </w:pPr>
            <w:r>
              <w:rPr/>
              <w:t>​</w:t>
            </w:r>
          </w:p>
        </w:tc>
        <w:tc>
          <w:tcPr>
            <w:tcW w:w="1304" w:type="dxa"/>
            <w:tcBorders>
              <w:bottom w:val="single" w:sz="2" w:space="0" w:color="BFBFBF"/>
            </w:tcBorders>
            <w:tcMar>
              <w:bottom w:w="65" w:type="dxa"/>
            </w:tcMar>
            <w:vAlign w:val="center"/>
          </w:tcPr>
          <w:p>
            <w:pPr>
              <w:pStyle w:val="TableContents"/>
              <w:bidi w:val="0"/>
              <w:spacing w:before="0" w:after="283"/>
              <w:jc w:val="right"/>
              <w:rPr/>
            </w:pPr>
            <w:r>
              <w:rPr/>
              <w:t>n/a</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vAlign w:val="center"/>
          </w:tcPr>
          <w:p>
            <w:pPr>
              <w:pStyle w:val="TableContents"/>
              <w:bidi w:val="0"/>
              <w:spacing w:before="0" w:after="283"/>
              <w:jc w:val="left"/>
              <w:rPr/>
            </w:pPr>
            <w:r>
              <w:rPr/>
              <w:t>​</w:t>
            </w:r>
          </w:p>
        </w:tc>
        <w:tc>
          <w:tcPr>
            <w:tcW w:w="136" w:type="dxa"/>
            <w:tcBorders>
              <w:bottom w:val="single" w:sz="2" w:space="0" w:color="BFBFBF"/>
            </w:tcBorders>
            <w:tcMar>
              <w:bottom w:w="65" w:type="dxa"/>
            </w:tcMar>
            <w:vAlign w:val="center"/>
          </w:tcPr>
          <w:p>
            <w:pPr>
              <w:pStyle w:val="TableContents"/>
              <w:bidi w:val="0"/>
              <w:spacing w:before="0" w:after="283"/>
              <w:jc w:val="right"/>
              <w:rPr/>
            </w:pPr>
            <w:r>
              <w:rPr/>
              <w:t>​</w:t>
            </w:r>
          </w:p>
        </w:tc>
        <w:tc>
          <w:tcPr>
            <w:tcW w:w="1375" w:type="dxa"/>
            <w:tcBorders>
              <w:bottom w:val="single" w:sz="2" w:space="0" w:color="BFBFBF"/>
            </w:tcBorders>
            <w:tcMar>
              <w:bottom w:w="65" w:type="dxa"/>
            </w:tcMar>
            <w:vAlign w:val="center"/>
          </w:tcPr>
          <w:p>
            <w:pPr>
              <w:pStyle w:val="TableContents"/>
              <w:bidi w:val="0"/>
              <w:spacing w:before="0" w:after="283"/>
              <w:jc w:val="right"/>
              <w:rPr/>
            </w:pPr>
            <w:r>
              <w:rPr/>
              <w:t>375,119</w:t>
            </w:r>
            <w:r>
              <w:rPr>
                <w:sz w:val="12"/>
              </w:rPr>
              <w:t>(2)</w:t>
            </w:r>
            <w:r>
              <w:rPr/>
              <w:t xml:space="preserve"> </w:t>
            </w:r>
          </w:p>
        </w:tc>
        <w:tc>
          <w:tcPr>
            <w:tcW w:w="1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vAlign w:val="center"/>
          </w:tcPr>
          <w:p>
            <w:pPr>
              <w:pStyle w:val="TableContents"/>
              <w:bidi w:val="0"/>
              <w:spacing w:before="0" w:after="283"/>
              <w:jc w:val="left"/>
              <w:rPr/>
            </w:pPr>
            <w:r>
              <w:rPr/>
              <w:t>​</w:t>
            </w:r>
          </w:p>
        </w:tc>
        <w:tc>
          <w:tcPr>
            <w:tcW w:w="252" w:type="dxa"/>
            <w:tcBorders>
              <w:bottom w:val="single" w:sz="2" w:space="0" w:color="BFBFBF"/>
            </w:tcBorders>
            <w:tcMar>
              <w:bottom w:w="65" w:type="dxa"/>
            </w:tcMar>
            <w:vAlign w:val="center"/>
          </w:tcPr>
          <w:p>
            <w:pPr>
              <w:pStyle w:val="TableContents"/>
              <w:bidi w:val="0"/>
              <w:spacing w:before="0" w:after="283"/>
              <w:jc w:val="right"/>
              <w:rPr/>
            </w:pPr>
            <w:r>
              <w:rPr/>
              <w:t>​</w:t>
            </w:r>
          </w:p>
        </w:tc>
        <w:tc>
          <w:tcPr>
            <w:tcW w:w="697" w:type="dxa"/>
            <w:tcBorders>
              <w:bottom w:val="single" w:sz="2" w:space="0" w:color="BFBFBF"/>
            </w:tcBorders>
            <w:tcMar>
              <w:bottom w:w="65" w:type="dxa"/>
            </w:tcMar>
            <w:vAlign w:val="center"/>
          </w:tcPr>
          <w:p>
            <w:pPr>
              <w:pStyle w:val="TableContents"/>
              <w:bidi w:val="0"/>
              <w:spacing w:before="0" w:after="283"/>
              <w:jc w:val="right"/>
              <w:rPr/>
            </w:pPr>
            <w:r>
              <w:rPr/>
              <w:t>n/a</w:t>
            </w:r>
          </w:p>
        </w:tc>
        <w:tc>
          <w:tcPr>
            <w:tcW w:w="253"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Schmitzer stepped down as Chief Executive Officer of the Company’s E&amp;S Segment, effective July 31, 2025, in anticipation of his retirement from the Company effective October 15, 2025. In connection with this transition, Mr. Schmitzer’s base salary was decreased to $300,000 effective in August 2025. Accordingly, Mr. Schmitzer’s base salary in this table for 2025 reflects approximately eight months at the salary level established in March 2023 and two months at the decreased salary level established in August 2025 in connection with Mr. Schmitzer’s transition.</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69215"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8"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8"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Sutherland was promoted to President of the Company’s E&amp;S Segment, effective May 5, 2025. In connection with this promotion, Mr. Sutherland’s base salary was increased to $400,000 effective in May 2025. Accordingly, Mr. Sutherland’s base salary in this table for 2025 reflects approximately two months at the salary level established in March 2024, two months at the salary level established in March 2025 during the Company’s annual compensation cycle, and eight months at the increased salary level established in May 2025 in connection with Mr. Sutherland’s promotion.</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508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9"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4pt;mso-wrap-distance-bottom:0pt;margin-top:0.4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Short-Term Incentives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short-term incentive plan (the “STI Plan”) is designed to provide incentives to designated senior officers of the Company to achieve certain financial and strategic performance targets and to link executive compensation to Company financial results and enhance shareholder value by rewarding competitive and superior performance, thereby creating an alignment of interests between our executive officers and shareholders.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22</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920" w:right="0" w:hanging="0"/>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Target Opportunities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determines a target cash incentive opportunity for each NEO under the annual cash incentive plan by taking the individual’s base salary and multiplying it by the individual’s target incentive percentage. The target incentive percentages for each of our NEOs for the fiscal year ended December 31, 2025, are set forth in the table below. With the exception of Mr. Sutherland, whose compensation targets were increased in connection with his promotion to President of the E&amp;S Segment on May 5, 2025, the target incentive percentages remained the same as in 2024.</w:t>
      </w:r>
      <w:r>
        <w:rPr>
          <w:rFonts w:ascii="Arial Narrow;Arial;Helvetica;sans-serif" w:hAnsi="Arial Narrow;Arial;Helvetica;sans-serif"/>
          <w:b w:val="false"/>
          <w:i w:val="false"/>
          <w:caps w:val="false"/>
          <w:smallCaps w:val="false"/>
          <w:color w:val="000000"/>
          <w:spacing w:val="4"/>
          <w:sz w:val="19"/>
        </w:rPr>
        <w:t xml:space="preserve"> </w:t>
      </w:r>
    </w:p>
    <w:tbl>
      <w:tblPr>
        <w:tblW w:w="8254" w:type="dxa"/>
        <w:jc w:val="left"/>
        <w:tblInd w:w="920" w:type="dxa"/>
        <w:tblLayout w:type="fixed"/>
        <w:tblCellMar>
          <w:top w:w="0" w:type="dxa"/>
          <w:left w:w="0" w:type="dxa"/>
          <w:bottom w:w="28" w:type="dxa"/>
          <w:right w:w="0" w:type="dxa"/>
        </w:tblCellMar>
      </w:tblPr>
      <w:tblGrid>
        <w:gridCol w:w="124"/>
        <w:gridCol w:w="2176"/>
        <w:gridCol w:w="109"/>
        <w:gridCol w:w="109"/>
        <w:gridCol w:w="109"/>
        <w:gridCol w:w="750"/>
        <w:gridCol w:w="750"/>
        <w:gridCol w:w="3217"/>
        <w:gridCol w:w="75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17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NEO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547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2025 TARGET CASH INCENTIVE OPPORTUNITY</w:t>
              <w:br/>
              <w:t xml:space="preserve">(AS A % OF BASE SALARY)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tcMar>
              <w:bottom w:w="65" w:type="dxa"/>
            </w:tcMar>
            <w:vAlign w:val="center"/>
          </w:tcPr>
          <w:p>
            <w:pPr>
              <w:pStyle w:val="TableContents"/>
              <w:bidi w:val="0"/>
              <w:spacing w:before="0" w:after="283"/>
              <w:jc w:val="right"/>
              <w:rPr/>
            </w:pPr>
            <w:r>
              <w:rPr/>
              <w:t>​</w:t>
            </w:r>
          </w:p>
        </w:tc>
        <w:tc>
          <w:tcPr>
            <w:tcW w:w="321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7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tcMar>
              <w:bottom w:w="65" w:type="dxa"/>
            </w:tcMar>
            <w:vAlign w:val="center"/>
          </w:tcPr>
          <w:p>
            <w:pPr>
              <w:pStyle w:val="TableContents"/>
              <w:bidi w:val="0"/>
              <w:spacing w:before="0" w:after="283"/>
              <w:jc w:val="right"/>
              <w:rPr/>
            </w:pPr>
            <w:r>
              <w:rPr/>
              <w:t>​</w:t>
            </w:r>
          </w:p>
        </w:tc>
        <w:tc>
          <w:tcPr>
            <w:tcW w:w="321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7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tcMar>
              <w:bottom w:w="65" w:type="dxa"/>
            </w:tcMar>
            <w:vAlign w:val="center"/>
          </w:tcPr>
          <w:p>
            <w:pPr>
              <w:pStyle w:val="TableContents"/>
              <w:bidi w:val="0"/>
              <w:spacing w:before="0" w:after="283"/>
              <w:jc w:val="right"/>
              <w:rPr/>
            </w:pPr>
            <w:r>
              <w:rPr/>
              <w:t>​</w:t>
            </w:r>
          </w:p>
        </w:tc>
        <w:tc>
          <w:tcPr>
            <w:tcW w:w="321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7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tcMar>
              <w:bottom w:w="65" w:type="dxa"/>
            </w:tcMar>
            <w:vAlign w:val="center"/>
          </w:tcPr>
          <w:p>
            <w:pPr>
              <w:pStyle w:val="TableContents"/>
              <w:bidi w:val="0"/>
              <w:spacing w:before="0" w:after="283"/>
              <w:jc w:val="right"/>
              <w:rPr/>
            </w:pPr>
            <w:r>
              <w:rPr/>
              <w:t>​</w:t>
            </w:r>
          </w:p>
        </w:tc>
        <w:tc>
          <w:tcPr>
            <w:tcW w:w="3217" w:type="dxa"/>
            <w:tcBorders>
              <w:bottom w:val="single" w:sz="2" w:space="0" w:color="BFBFBF"/>
            </w:tcBorders>
            <w:tcMar>
              <w:bottom w:w="65" w:type="dxa"/>
            </w:tcMar>
            <w:vAlign w:val="center"/>
          </w:tcPr>
          <w:p>
            <w:pPr>
              <w:pStyle w:val="TableContents"/>
              <w:bidi w:val="0"/>
              <w:spacing w:before="0" w:after="283"/>
              <w:jc w:val="right"/>
              <w:rPr/>
            </w:pPr>
            <w:r>
              <w:rPr/>
              <w:t>75%</w:t>
            </w:r>
          </w:p>
        </w:tc>
        <w:tc>
          <w:tcPr>
            <w:tcW w:w="7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tcMar>
              <w:bottom w:w="65" w:type="dxa"/>
            </w:tcMar>
            <w:vAlign w:val="center"/>
          </w:tcPr>
          <w:p>
            <w:pPr>
              <w:pStyle w:val="TableContents"/>
              <w:bidi w:val="0"/>
              <w:spacing w:before="0" w:after="283"/>
              <w:jc w:val="right"/>
              <w:rPr/>
            </w:pPr>
            <w:r>
              <w:rPr/>
              <w:t>​</w:t>
            </w:r>
          </w:p>
        </w:tc>
        <w:tc>
          <w:tcPr>
            <w:tcW w:w="3217" w:type="dxa"/>
            <w:tcBorders>
              <w:bottom w:val="single" w:sz="2" w:space="0" w:color="BFBFBF"/>
            </w:tcBorders>
            <w:tcMar>
              <w:bottom w:w="65" w:type="dxa"/>
            </w:tcMar>
            <w:vAlign w:val="center"/>
          </w:tcPr>
          <w:p>
            <w:pPr>
              <w:pStyle w:val="TableContents"/>
              <w:bidi w:val="0"/>
              <w:spacing w:before="0" w:after="283"/>
              <w:jc w:val="right"/>
              <w:rPr/>
            </w:pPr>
            <w:r>
              <w:rPr/>
              <w:t>75%</w:t>
            </w:r>
          </w:p>
        </w:tc>
        <w:tc>
          <w:tcPr>
            <w:tcW w:w="7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vAlign w:val="center"/>
          </w:tcPr>
          <w:p>
            <w:pPr>
              <w:pStyle w:val="TableContents"/>
              <w:bidi w:val="0"/>
              <w:spacing w:before="0" w:after="283"/>
              <w:jc w:val="left"/>
              <w:rPr/>
            </w:pPr>
            <w:r>
              <w:rPr/>
              <w:t>​</w:t>
            </w:r>
          </w:p>
        </w:tc>
        <w:tc>
          <w:tcPr>
            <w:tcW w:w="750" w:type="dxa"/>
            <w:tcBorders>
              <w:bottom w:val="single" w:sz="2" w:space="0" w:color="BFBFBF"/>
            </w:tcBorders>
            <w:tcMar>
              <w:bottom w:w="65" w:type="dxa"/>
            </w:tcMar>
            <w:vAlign w:val="center"/>
          </w:tcPr>
          <w:p>
            <w:pPr>
              <w:pStyle w:val="TableContents"/>
              <w:bidi w:val="0"/>
              <w:spacing w:before="0" w:after="283"/>
              <w:jc w:val="right"/>
              <w:rPr/>
            </w:pPr>
            <w:r>
              <w:rPr/>
              <w:t>​</w:t>
            </w:r>
          </w:p>
        </w:tc>
        <w:tc>
          <w:tcPr>
            <w:tcW w:w="321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7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101"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 NEOs who are chief executive officers of the Company or one of its segments and the chief financial officer of the Company, the target cash incentive amount was set at 100% of each such NEO’s 2025 base salary, in acknowledgement of the greater responsibilities of such executive officers as compared to others. Mr. Hoffmann and Ms. Miller, who do not have a corresponding position, received a target cash incentive amount of 75% of their 2025 base salaries. The payout for threshold performance is equivalent to 50% of the target amount, and the payout for maximum performance is equivalent to 150% of the target amount. The payout amount for performance falling between threshold and target, or target and maximum, is determined by linear interpolation. The STI Plan permits the Committee to exercise discretion to adjust payouts, positively or negatively, when it deems it to be appropriate.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Performance Metrics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Based upon a review of our peer group’s short-term compensation practices and the Company’s strategic plan and historical performance levels, the Committee recommended to the Board, and the Board approved, the use of three performance metrics. Two of these metrics are financial performance metrics: Adjusted Combined Ratio and adjusted earnings before interest and taxes (Adjusted EBIT), which are non-GAAP financial measures. The Committee believes that these financial performance metrics are appropriate, as they are industry standard measures of profitability. The two financial performance metrics comprise 66.7% of the bonus target and are calculated as follows: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CALCULATION OF ADJUSTED COMBINED RATIO METRIC</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Adjusted Combined Ratio</w:t>
      </w:r>
      <w:r>
        <w:rPr>
          <w:rFonts w:ascii="Arial Narrow;Arial;Helvetica;sans-serif" w:hAnsi="Arial Narrow;Arial;Helvetica;sans-serif"/>
          <w:b w:val="false"/>
          <w:i w:val="false"/>
          <w:caps w:val="false"/>
          <w:smallCaps w:val="false"/>
          <w:color w:val="000000"/>
          <w:sz w:val="19"/>
        </w:rPr>
        <w:t>: The Company’s Adjusted Combined Ratio is calculated as the combined ratio of the Company on a consolidated basis, calculated prior to the effect of favorable or unfavorable prior year reserve development for which the Company’s subsidiaries ceded the risk under retroactive reinsurance agreements and the related changes in the amortization of the deferred gain.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Mr. D’Orazio, Ms. Doran, Mr. Hoffmann, and Ms. Miller, performance of the Adjusted Combined Ratio metric was determined entirely on the achievement of the Company, whereas for Mr. Schmitzer and Mr. Sutherland, performance of the Adjusted Combined Ratio was evenly divided between (i) Company Adjusted Combined Ratio, and (ii) the Adjusted Combined Ratio of the E&amp;S Segment. For 2025, the Specialty Admitted Insurance segment performance was measured using the group performance metrics.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 E&amp;S Segment, Adjusted Combined Ratio is calculated as the segment’s combined ratio, calculated prior to the effect of favorable or unfavorable prior year reserve development for which the segment ceded the risk under retroactive reinsurance agreements, if any, and the related changes in the amortization of the deferred gain.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CALCULATION OF ADJUSTED EBIT</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Adjusted EBIT</w:t>
      </w:r>
      <w:r>
        <w:rPr>
          <w:rFonts w:ascii="Arial Narrow;Arial;Helvetica;sans-serif" w:hAnsi="Arial Narrow;Arial;Helvetica;sans-serif"/>
          <w:b w:val="false"/>
          <w:i w:val="false"/>
          <w:caps w:val="false"/>
          <w:smallCaps w:val="false"/>
          <w:color w:val="000000"/>
          <w:sz w:val="19"/>
        </w:rPr>
        <w:t>: Adjusted EBIT is calculated as net income of the Company before interest and income taxes, and excluding the portion of favorable or unfavorable prior year reserve development for which the Company’s subsidiaries ceded the risk under retroactive reinsurance agreements and the related changes in the amortization of the deferred gain.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set the targets for these financial metrics at a level that it considered rigorous and challenging and that took into account the relevant risks and opportunities of the Company’s business. In particular, the Committee reviewed our 2025 annual operating budget that resulted from our detailed budgeting process and evaluated various factors that might affect whether the target could be achieved, including the risks to achieving certain preliminary objectives that were necessary pre-requisites to achieving the budget targets.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In addition to the financial performance metrics, 33.3% of the bonus target was based upon the achievement of strategic goals established for 2025, the achievement of which were non-formulaic, and determined on a subjective basis by the Committee. Our 2025 strategic goals were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23</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identified by the Committee as among the most important goals in a broader set of companywide objectives set for 2025. The strategic goals were focused on the Company’s rating and outlook, redomicile from Bermuda to Delaware, underwriting productivity and E&amp;S Segment internal profitability reporting.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these strategic goals, the 2025 targets were established by the Committee at a level that the Committee determined to be aggressive and set at challenging levels such that the attainment of target performance for each category of goals was not assured at the time they were set and required a high level of effort and execution on the part of the executive officers and others in order to achieve the goals. The Committee believes that each of these goals is strongly aligned with the creation of shareholder value.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Achievement of Financial and Strategic Goals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is permitted to make varying adjustments to the performance metrics within the framework established for the STI Plan that may have a net positive or net negative impact on the calculation of performance in respect of those metrics. For 2025, the Committee set threshold, target and maximum metrics for group Adjusted Combined Ratio and Adjusted EBIT that incorporated adjustments for discontinued operations and employee retention awards scheduled to be paid in 2025. In addition, in determining the final calculation of results of the 2025 group Adjusted Combined Ratio and Adjusted EBIT financial performance metrics, the Committee exercised discretion to make adjustments to exclude expenses related to strategic transactions previously undertaken by the Company at the direction of the Board that the Board believed were essential to delivering long-term value to shareholders. These adjustments are consistent with the calculation methodology used in prior years and resulted in a very slight net positive impact to the results of the financial performance goals. The Committee believes that the adjusted items were outside the control of management and were not representative of operating performance, and that the adjustments were necessary to preserve the motivational objective of the STI Plan.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table below shows the 2025 threshold, target and maximum level of performance, actual performance results, adjusted performance results based on the Committee’s adjustments to the performance metrics, and adjusted performance as a percentage of target, for each financial performance goal (group and E&amp;S Segment Adjusted Combined Ratio and Adjusted EBIT for Messrs. Schmitzer and Sutherland, and group only Adjusted Combined Ratio and Adjusted EBIT for the other NEOs).</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714"/>
        <w:gridCol w:w="109"/>
        <w:gridCol w:w="109"/>
        <w:gridCol w:w="109"/>
        <w:gridCol w:w="1471"/>
        <w:gridCol w:w="109"/>
        <w:gridCol w:w="109"/>
        <w:gridCol w:w="109"/>
        <w:gridCol w:w="172"/>
        <w:gridCol w:w="172"/>
        <w:gridCol w:w="1019"/>
        <w:gridCol w:w="173"/>
        <w:gridCol w:w="109"/>
        <w:gridCol w:w="109"/>
        <w:gridCol w:w="109"/>
        <w:gridCol w:w="1490"/>
        <w:gridCol w:w="109"/>
        <w:gridCol w:w="109"/>
        <w:gridCol w:w="109"/>
        <w:gridCol w:w="1485"/>
        <w:gridCol w:w="157"/>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714" w:type="dxa"/>
            <w:tcBorders>
              <w:bottom w:val="single" w:sz="12" w:space="0" w:color="3F3F3F"/>
            </w:tcBorders>
            <w:shd w:fill="F2F2F2" w:val="clear"/>
            <w:tcMar>
              <w:bottom w:w="127" w:type="dxa"/>
            </w:tcM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71" w:type="dxa"/>
            <w:tcBorders>
              <w:bottom w:val="single" w:sz="12" w:space="0" w:color="3F3F3F"/>
            </w:tcBorders>
            <w:shd w:fill="F2F2F2" w:val="clear"/>
            <w:tcMar>
              <w:bottom w:w="127" w:type="dxa"/>
            </w:tcMar>
            <w:vAlign w:val="center"/>
          </w:tcPr>
          <w:p>
            <w:pPr>
              <w:pStyle w:val="TableContents"/>
              <w:bidi w:val="0"/>
              <w:spacing w:before="0" w:after="0"/>
              <w:jc w:val="center"/>
              <w:rPr/>
            </w:pPr>
            <w:r>
              <w:rPr/>
              <w:t>GROUP</w:t>
              <w:br/>
              <w:t>ADJUSTED</w:t>
              <w:br/>
              <w:t>COMBINED RATIO</w:t>
              <w:br/>
              <w:t xml:space="preserve">(ALL NEOS)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3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E&amp;S SEGMENT ADJUSTED</w:t>
              <w:br/>
              <w:t>COMBINED RATIO</w:t>
              <w:br/>
              <w:t xml:space="preserve">(E&amp;S SEGMENT ONLY)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90" w:type="dxa"/>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GROUP</w:t>
              <w:br/>
              <w:t>ADJUSTED</w:t>
              <w:br/>
              <w:t>EBIT</w:t>
            </w:r>
            <w:r>
              <w:rPr>
                <w:sz w:val="11"/>
              </w:rPr>
              <w:t>(2)</w:t>
            </w:r>
            <w:r>
              <w:rPr/>
              <w:br/>
              <w:t xml:space="preserve">(ALL NEOS)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85" w:type="dxa"/>
            <w:tcBorders>
              <w:bottom w:val="single" w:sz="12" w:space="0" w:color="3F3F3F"/>
            </w:tcBorders>
            <w:shd w:fill="F2F2F2" w:val="clear"/>
            <w:tcMar>
              <w:bottom w:w="127" w:type="dxa"/>
            </w:tcMar>
            <w:vAlign w:val="center"/>
          </w:tcPr>
          <w:p>
            <w:pPr>
              <w:pStyle w:val="TableContents"/>
              <w:bidi w:val="0"/>
              <w:spacing w:before="0" w:after="0"/>
              <w:jc w:val="center"/>
              <w:rPr/>
            </w:pPr>
            <w:r>
              <w:rPr/>
              <w:t>STRATEGIC</w:t>
              <w:br/>
              <w:t>GOALS</w:t>
              <w:br/>
              <w:t xml:space="preserve">(ALL NEOS) </w:t>
            </w:r>
          </w:p>
        </w:tc>
        <w:tc>
          <w:tcPr>
            <w:tcW w:w="157"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65" w:type="dxa"/>
            </w:tcMar>
            <w:vAlign w:val="center"/>
          </w:tcPr>
          <w:p>
            <w:pPr>
              <w:pStyle w:val="TableContents"/>
              <w:bidi w:val="0"/>
              <w:spacing w:before="0" w:after="283"/>
              <w:jc w:val="left"/>
              <w:rPr/>
            </w:pPr>
            <w:r>
              <w:rPr/>
              <w:t xml:space="preserve">Weighting of Metric for Group NEOs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5" w:type="dxa"/>
            </w:tcMar>
            <w:vAlign w:val="center"/>
          </w:tcPr>
          <w:p>
            <w:pPr>
              <w:pStyle w:val="TableContents"/>
              <w:bidi w:val="0"/>
              <w:spacing w:before="0" w:after="0"/>
              <w:jc w:val="center"/>
              <w:rPr/>
            </w:pPr>
            <w:r>
              <w:rPr/>
              <w:t xml:space="preserve">33.3%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65" w:type="dxa"/>
            </w:tcMar>
            <w:vAlign w:val="center"/>
          </w:tcPr>
          <w:p>
            <w:pPr>
              <w:pStyle w:val="TableContents"/>
              <w:bidi w:val="0"/>
              <w:spacing w:before="0" w:after="0"/>
              <w:jc w:val="center"/>
              <w:rPr/>
            </w:pPr>
            <w:r>
              <w:rPr/>
              <w:t xml:space="preserve">33.3%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65" w:type="dxa"/>
            </w:tcMar>
            <w:vAlign w:val="center"/>
          </w:tcPr>
          <w:p>
            <w:pPr>
              <w:pStyle w:val="TableContents"/>
              <w:bidi w:val="0"/>
              <w:spacing w:before="0" w:after="0"/>
              <w:jc w:val="center"/>
              <w:rPr/>
            </w:pPr>
            <w:r>
              <w:rPr/>
              <w:t xml:space="preserve">33.3% </w:t>
            </w:r>
          </w:p>
        </w:tc>
        <w:tc>
          <w:tcPr>
            <w:tcW w:w="157"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53" w:type="dxa"/>
            </w:tcMar>
            <w:vAlign w:val="center"/>
          </w:tcPr>
          <w:p>
            <w:pPr>
              <w:pStyle w:val="TableContents"/>
              <w:bidi w:val="0"/>
              <w:spacing w:before="0" w:after="283"/>
              <w:jc w:val="left"/>
              <w:rPr/>
            </w:pPr>
            <w:r>
              <w:rPr/>
              <w:t xml:space="preserve">Weighting of Metric for E&amp;S Segment NEOs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53" w:type="dxa"/>
            </w:tcMar>
            <w:vAlign w:val="center"/>
          </w:tcPr>
          <w:p>
            <w:pPr>
              <w:pStyle w:val="TableContents"/>
              <w:bidi w:val="0"/>
              <w:spacing w:before="0" w:after="0"/>
              <w:jc w:val="center"/>
              <w:rPr/>
            </w:pPr>
            <w:r>
              <w:rPr/>
              <w:t xml:space="preserve">16.7%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019" w:type="dxa"/>
            <w:tcBorders>
              <w:bottom w:val="single" w:sz="2" w:space="0" w:color="BFBFBF"/>
            </w:tcBorders>
            <w:tcMar>
              <w:bottom w:w="53" w:type="dxa"/>
            </w:tcMar>
            <w:vAlign w:val="center"/>
          </w:tcPr>
          <w:p>
            <w:pPr>
              <w:pStyle w:val="TableContents"/>
              <w:bidi w:val="0"/>
              <w:spacing w:before="0" w:after="283"/>
              <w:jc w:val="right"/>
              <w:rPr/>
            </w:pPr>
            <w:r>
              <w:rPr/>
              <w:t>16.7%</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53" w:type="dxa"/>
            </w:tcMar>
            <w:vAlign w:val="center"/>
          </w:tcPr>
          <w:p>
            <w:pPr>
              <w:pStyle w:val="TableContents"/>
              <w:bidi w:val="0"/>
              <w:spacing w:before="0" w:after="0"/>
              <w:jc w:val="center"/>
              <w:rPr/>
            </w:pPr>
            <w:r>
              <w:rPr/>
              <w:t xml:space="preserve">33.3%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53" w:type="dxa"/>
            </w:tcMar>
            <w:vAlign w:val="center"/>
          </w:tcPr>
          <w:p>
            <w:pPr>
              <w:pStyle w:val="TableContents"/>
              <w:bidi w:val="0"/>
              <w:spacing w:before="0" w:after="0"/>
              <w:jc w:val="center"/>
              <w:rPr/>
            </w:pPr>
            <w:r>
              <w:rPr/>
              <w:t xml:space="preserve">33.3% </w:t>
            </w:r>
          </w:p>
        </w:tc>
        <w:tc>
          <w:tcPr>
            <w:tcW w:w="157"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65" w:type="dxa"/>
            </w:tcMar>
            <w:vAlign w:val="center"/>
          </w:tcPr>
          <w:p>
            <w:pPr>
              <w:pStyle w:val="TableContents"/>
              <w:bidi w:val="0"/>
              <w:spacing w:before="0" w:after="283"/>
              <w:jc w:val="left"/>
              <w:rPr/>
            </w:pPr>
            <w:r>
              <w:rPr/>
              <w:t>Threshold</w:t>
            </w:r>
            <w:r>
              <w:rPr>
                <w:sz w:val="12"/>
              </w:rPr>
              <w:t>(1)</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5" w:type="dxa"/>
            </w:tcMar>
            <w:vAlign w:val="center"/>
          </w:tcPr>
          <w:p>
            <w:pPr>
              <w:pStyle w:val="TableContents"/>
              <w:bidi w:val="0"/>
              <w:spacing w:before="0" w:after="0"/>
              <w:jc w:val="center"/>
              <w:rPr/>
            </w:pPr>
            <w:r>
              <w:rPr/>
              <w:t xml:space="preserve">99.9%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93.25%</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65" w:type="dxa"/>
            </w:tcMar>
            <w:vAlign w:val="center"/>
          </w:tcPr>
          <w:p>
            <w:pPr>
              <w:pStyle w:val="TableContents"/>
              <w:bidi w:val="0"/>
              <w:spacing w:before="0" w:after="0"/>
              <w:jc w:val="center"/>
              <w:rPr/>
            </w:pPr>
            <w:r>
              <w:rPr/>
              <w:t xml:space="preserve">$74.6 million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65" w:type="dxa"/>
            </w:tcMar>
            <w:vAlign w:val="center"/>
          </w:tcPr>
          <w:p>
            <w:pPr>
              <w:pStyle w:val="TableContents"/>
              <w:bidi w:val="0"/>
              <w:spacing w:before="0" w:after="0"/>
              <w:jc w:val="center"/>
              <w:rPr/>
            </w:pPr>
            <w:r>
              <w:rPr/>
              <w:t xml:space="preserve">N/A </w:t>
            </w:r>
          </w:p>
        </w:tc>
        <w:tc>
          <w:tcPr>
            <w:tcW w:w="157"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65" w:type="dxa"/>
            </w:tcMar>
            <w:vAlign w:val="center"/>
          </w:tcPr>
          <w:p>
            <w:pPr>
              <w:pStyle w:val="TableContents"/>
              <w:bidi w:val="0"/>
              <w:spacing w:before="0" w:after="283"/>
              <w:jc w:val="left"/>
              <w:rPr/>
            </w:pPr>
            <w:r>
              <w:rPr/>
              <w:t>Target</w:t>
            </w:r>
            <w:r>
              <w:rPr>
                <w:sz w:val="12"/>
              </w:rPr>
              <w:t>(1)</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5" w:type="dxa"/>
            </w:tcMar>
            <w:vAlign w:val="center"/>
          </w:tcPr>
          <w:p>
            <w:pPr>
              <w:pStyle w:val="TableContents"/>
              <w:bidi w:val="0"/>
              <w:spacing w:before="0" w:after="0"/>
              <w:jc w:val="center"/>
              <w:rPr/>
            </w:pPr>
            <w:r>
              <w:rPr/>
              <w:t xml:space="preserve">96.2%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89.5%</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65" w:type="dxa"/>
            </w:tcMar>
            <w:vAlign w:val="center"/>
          </w:tcPr>
          <w:p>
            <w:pPr>
              <w:pStyle w:val="TableContents"/>
              <w:bidi w:val="0"/>
              <w:spacing w:before="0" w:after="0"/>
              <w:jc w:val="center"/>
              <w:rPr/>
            </w:pPr>
            <w:r>
              <w:rPr/>
              <w:t xml:space="preserve">$108.4 million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65" w:type="dxa"/>
            </w:tcMar>
            <w:vAlign w:val="center"/>
          </w:tcPr>
          <w:p>
            <w:pPr>
              <w:pStyle w:val="TableContents"/>
              <w:bidi w:val="0"/>
              <w:spacing w:before="0" w:after="0"/>
              <w:jc w:val="center"/>
              <w:rPr/>
            </w:pPr>
            <w:r>
              <w:rPr/>
              <w:t xml:space="preserve">N/A </w:t>
            </w:r>
          </w:p>
        </w:tc>
        <w:tc>
          <w:tcPr>
            <w:tcW w:w="157"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65" w:type="dxa"/>
            </w:tcMar>
            <w:vAlign w:val="center"/>
          </w:tcPr>
          <w:p>
            <w:pPr>
              <w:pStyle w:val="TableContents"/>
              <w:bidi w:val="0"/>
              <w:spacing w:before="0" w:after="283"/>
              <w:jc w:val="left"/>
              <w:rPr/>
            </w:pPr>
            <w:r>
              <w:rPr/>
              <w:t>Maximum</w:t>
            </w:r>
            <w:r>
              <w:rPr>
                <w:sz w:val="12"/>
              </w:rPr>
              <w:t>(1)</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5" w:type="dxa"/>
            </w:tcMar>
            <w:vAlign w:val="center"/>
          </w:tcPr>
          <w:p>
            <w:pPr>
              <w:pStyle w:val="TableContents"/>
              <w:bidi w:val="0"/>
              <w:spacing w:before="0" w:after="0"/>
              <w:jc w:val="center"/>
              <w:rPr/>
            </w:pPr>
            <w:r>
              <w:rPr/>
              <w:t xml:space="preserve">92.4%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85.7%</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65" w:type="dxa"/>
            </w:tcMar>
            <w:vAlign w:val="center"/>
          </w:tcPr>
          <w:p>
            <w:pPr>
              <w:pStyle w:val="TableContents"/>
              <w:bidi w:val="0"/>
              <w:spacing w:before="0" w:after="0"/>
              <w:jc w:val="center"/>
              <w:rPr/>
            </w:pPr>
            <w:r>
              <w:rPr/>
              <w:t xml:space="preserve">$142.2 million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65" w:type="dxa"/>
            </w:tcMar>
            <w:vAlign w:val="center"/>
          </w:tcPr>
          <w:p>
            <w:pPr>
              <w:pStyle w:val="TableContents"/>
              <w:bidi w:val="0"/>
              <w:spacing w:before="0" w:after="0"/>
              <w:jc w:val="center"/>
              <w:rPr/>
            </w:pPr>
            <w:r>
              <w:rPr/>
              <w:t xml:space="preserve">N/A </w:t>
            </w:r>
          </w:p>
        </w:tc>
        <w:tc>
          <w:tcPr>
            <w:tcW w:w="157"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65" w:type="dxa"/>
            </w:tcMar>
            <w:vAlign w:val="center"/>
          </w:tcPr>
          <w:p>
            <w:pPr>
              <w:pStyle w:val="TableContents"/>
              <w:bidi w:val="0"/>
              <w:spacing w:before="0" w:after="283"/>
              <w:jc w:val="left"/>
              <w:rPr/>
            </w:pPr>
            <w:r>
              <w:rPr/>
              <w:t>Actual Result</w:t>
            </w:r>
            <w:r>
              <w:rPr>
                <w:sz w:val="12"/>
              </w:rPr>
              <w:t>(2)</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65" w:type="dxa"/>
            </w:tcMar>
            <w:vAlign w:val="center"/>
          </w:tcPr>
          <w:p>
            <w:pPr>
              <w:pStyle w:val="TableContents"/>
              <w:bidi w:val="0"/>
              <w:spacing w:before="0" w:after="0"/>
              <w:jc w:val="center"/>
              <w:rPr/>
            </w:pPr>
            <w:r>
              <w:rPr/>
              <w:t xml:space="preserve">96.3%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89.3%</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65" w:type="dxa"/>
            </w:tcMar>
            <w:vAlign w:val="center"/>
          </w:tcPr>
          <w:p>
            <w:pPr>
              <w:pStyle w:val="TableContents"/>
              <w:bidi w:val="0"/>
              <w:spacing w:before="0" w:after="0"/>
              <w:jc w:val="center"/>
              <w:rPr/>
            </w:pPr>
            <w:r>
              <w:rPr/>
              <w:t xml:space="preserve">$104.6 million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65" w:type="dxa"/>
            </w:tcMar>
            <w:vAlign w:val="center"/>
          </w:tcPr>
          <w:p>
            <w:pPr>
              <w:pStyle w:val="TableContents"/>
              <w:bidi w:val="0"/>
              <w:spacing w:before="0" w:after="0"/>
              <w:jc w:val="center"/>
              <w:rPr/>
            </w:pPr>
            <w:r>
              <w:rPr/>
              <w:t xml:space="preserve">N/A </w:t>
            </w:r>
          </w:p>
        </w:tc>
        <w:tc>
          <w:tcPr>
            <w:tcW w:w="157"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53" w:type="dxa"/>
            </w:tcMar>
            <w:vAlign w:val="center"/>
          </w:tcPr>
          <w:p>
            <w:pPr>
              <w:pStyle w:val="TableContents"/>
              <w:bidi w:val="0"/>
              <w:spacing w:before="0" w:after="283"/>
              <w:jc w:val="left"/>
              <w:rPr/>
            </w:pPr>
            <w:r>
              <w:rPr/>
              <w:t>Adjusted Result</w:t>
            </w:r>
            <w:r>
              <w:rPr>
                <w:sz w:val="12"/>
              </w:rPr>
              <w:t>(3)</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53" w:type="dxa"/>
            </w:tcMar>
            <w:vAlign w:val="center"/>
          </w:tcPr>
          <w:p>
            <w:pPr>
              <w:pStyle w:val="TableContents"/>
              <w:bidi w:val="0"/>
              <w:spacing w:before="0" w:after="0"/>
              <w:jc w:val="center"/>
              <w:rPr/>
            </w:pPr>
            <w:r>
              <w:rPr/>
              <w:t xml:space="preserve">96.3%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019" w:type="dxa"/>
            <w:tcBorders>
              <w:bottom w:val="single" w:sz="2" w:space="0" w:color="BFBFBF"/>
            </w:tcBorders>
            <w:tcMar>
              <w:bottom w:w="53" w:type="dxa"/>
            </w:tcMar>
            <w:vAlign w:val="center"/>
          </w:tcPr>
          <w:p>
            <w:pPr>
              <w:pStyle w:val="TableContents"/>
              <w:bidi w:val="0"/>
              <w:spacing w:before="0" w:after="283"/>
              <w:jc w:val="right"/>
              <w:rPr/>
            </w:pPr>
            <w:r>
              <w:rPr/>
              <w:t>89.3%</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53" w:type="dxa"/>
            </w:tcMar>
            <w:vAlign w:val="center"/>
          </w:tcPr>
          <w:p>
            <w:pPr>
              <w:pStyle w:val="TableContents"/>
              <w:bidi w:val="0"/>
              <w:spacing w:before="0" w:after="0"/>
              <w:jc w:val="center"/>
              <w:rPr/>
            </w:pPr>
            <w:r>
              <w:rPr/>
              <w:t xml:space="preserve">$105.4 million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53" w:type="dxa"/>
            </w:tcMar>
            <w:vAlign w:val="center"/>
          </w:tcPr>
          <w:p>
            <w:pPr>
              <w:pStyle w:val="TableContents"/>
              <w:bidi w:val="0"/>
              <w:spacing w:before="0" w:after="0"/>
              <w:jc w:val="center"/>
              <w:rPr/>
            </w:pPr>
            <w:r>
              <w:rPr/>
              <w:t>87.5% for Group /​</w:t>
              <w:br/>
              <w:t xml:space="preserve">80% for E&amp;S </w:t>
              <w:br/>
              <w:t xml:space="preserve">Segment </w:t>
            </w:r>
          </w:p>
        </w:tc>
        <w:tc>
          <w:tcPr>
            <w:tcW w:w="157"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714" w:type="dxa"/>
            <w:tcBorders>
              <w:bottom w:val="single" w:sz="2" w:space="0" w:color="BFBFBF"/>
            </w:tcBorders>
            <w:tcMar>
              <w:bottom w:w="53" w:type="dxa"/>
            </w:tcMar>
            <w:vAlign w:val="center"/>
          </w:tcPr>
          <w:p>
            <w:pPr>
              <w:pStyle w:val="TableContents"/>
              <w:bidi w:val="0"/>
              <w:spacing w:lineRule="atLeast" w:line="226" w:before="0" w:after="0"/>
              <w:jc w:val="left"/>
              <w:rPr/>
            </w:pPr>
            <w:r>
              <w:rPr/>
              <w:t>Achievement as a % of Target after Applying the Weighting</w:t>
            </w:r>
            <w:r>
              <w:rPr>
                <w:sz w:val="12"/>
              </w:rPr>
              <w:t>(4)</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71" w:type="dxa"/>
            <w:tcBorders>
              <w:bottom w:val="single" w:sz="2" w:space="0" w:color="BFBFBF"/>
            </w:tcBorders>
            <w:tcMar>
              <w:bottom w:w="53" w:type="dxa"/>
            </w:tcMar>
            <w:vAlign w:val="center"/>
          </w:tcPr>
          <w:p>
            <w:pPr>
              <w:pStyle w:val="TableContents"/>
              <w:bidi w:val="0"/>
              <w:spacing w:before="0" w:after="0"/>
              <w:jc w:val="center"/>
              <w:rPr/>
            </w:pPr>
            <w:r>
              <w:rPr/>
              <w:t>32.9% for Group /​</w:t>
              <w:br/>
              <w:t xml:space="preserve">16.4% for E&amp;S </w:t>
              <w:br/>
              <w:t xml:space="preserve">Segment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019" w:type="dxa"/>
            <w:tcBorders>
              <w:bottom w:val="single" w:sz="2" w:space="0" w:color="BFBFBF"/>
            </w:tcBorders>
            <w:tcMar>
              <w:bottom w:w="53" w:type="dxa"/>
            </w:tcMar>
            <w:vAlign w:val="center"/>
          </w:tcPr>
          <w:p>
            <w:pPr>
              <w:pStyle w:val="TableContents"/>
              <w:bidi w:val="0"/>
              <w:spacing w:before="0" w:after="283"/>
              <w:jc w:val="right"/>
              <w:rPr/>
            </w:pPr>
            <w:r>
              <w:rPr/>
              <w:t>17.1%</w:t>
            </w:r>
          </w:p>
        </w:tc>
        <w:tc>
          <w:tcPr>
            <w:tcW w:w="17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90" w:type="dxa"/>
            <w:tcBorders>
              <w:bottom w:val="single" w:sz="2" w:space="0" w:color="BFBFBF"/>
            </w:tcBorders>
            <w:tcMar>
              <w:bottom w:w="53" w:type="dxa"/>
            </w:tcMar>
            <w:vAlign w:val="center"/>
          </w:tcPr>
          <w:p>
            <w:pPr>
              <w:pStyle w:val="TableContents"/>
              <w:bidi w:val="0"/>
              <w:spacing w:before="0" w:after="0"/>
              <w:jc w:val="center"/>
              <w:rPr/>
            </w:pPr>
            <w:r>
              <w:rPr/>
              <w:t xml:space="preserve">31.9%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85" w:type="dxa"/>
            <w:tcBorders>
              <w:bottom w:val="single" w:sz="2" w:space="0" w:color="BFBFBF"/>
            </w:tcBorders>
            <w:tcMar>
              <w:bottom w:w="53" w:type="dxa"/>
            </w:tcMar>
            <w:vAlign w:val="center"/>
          </w:tcPr>
          <w:p>
            <w:pPr>
              <w:pStyle w:val="TableContents"/>
              <w:bidi w:val="0"/>
              <w:spacing w:before="0" w:after="0"/>
              <w:jc w:val="center"/>
              <w:rPr/>
            </w:pPr>
            <w:r>
              <w:rPr/>
              <w:t>29.2% for Group /​</w:t>
              <w:br/>
              <w:t xml:space="preserve">26.7% for E&amp;S </w:t>
              <w:br/>
              <w:t>Segment</w:t>
            </w:r>
          </w:p>
        </w:tc>
        <w:tc>
          <w:tcPr>
            <w:tcW w:w="157"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threshold, target, and maximum metrics for group Adjusted Combined Ratio and Adjusted EBIT established for the 2025 performance year incorporate adjustments for discontinued operations and employee retention awards that were scheduled to be paid in 2025, as applicable.</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69215"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0"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actual results for Adjusted Combined Ratio and Adjusted EBIT reflect the adjustments for discontinued operations and employee retention awards, as applicable, that were incorporated into the threshold, target and maximum metrics for such performance measures established for the 2025 performance year. The actual Adjusted Combined Ratio and Adjusted EBIT for 2025 before these adjustments was 96.6% and $100.4 million, respectively.</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26">
                <wp:simplePos x="0" y="0"/>
                <wp:positionH relativeFrom="column">
                  <wp:align>left</wp:align>
                </wp:positionH>
                <wp:positionV relativeFrom="line">
                  <wp:posOffset>635</wp:posOffset>
                </wp:positionV>
                <wp:extent cx="254000" cy="350520"/>
                <wp:effectExtent l="0" t="0" r="0" b="0"/>
                <wp:wrapSquare wrapText="right"/>
                <wp:docPr id="121"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Consistent with the terms of the STI Plan, the Committee adjusted the calculation of the group Adjusted Combined Ratio and Adjusted EBIT results to remove actual expenses pertaining to the strategic activities previously undertaken by the Company, to the extent that such items would have been included in the calculation of the group Adjusted Combined Ratio and Adjusted EBIT performance measures.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254000" cy="350520"/>
                <wp:effectExtent l="0" t="0" r="0" b="0"/>
                <wp:wrapSquare wrapText="right"/>
                <wp:docPr id="122"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24</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6" w:before="303" w:after="283"/>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determining the level of achievement of the NEOs of the strategic goals of the STI Plan, the Committee determined that the Company fulfilled the majority of the strategic goals, with the exception of one that was not completed to its full target.</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28">
                <wp:simplePos x="0" y="0"/>
                <wp:positionH relativeFrom="column">
                  <wp:align>left</wp:align>
                </wp:positionH>
                <wp:positionV relativeFrom="line">
                  <wp:posOffset>635</wp:posOffset>
                </wp:positionV>
                <wp:extent cx="254000" cy="350520"/>
                <wp:effectExtent l="0" t="0" r="0" b="0"/>
                <wp:wrapSquare wrapText="right"/>
                <wp:docPr id="123"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(4)</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Board approved payouts under the STI Plan for the NEOs in the amounts recommended by the Committee. The table below sets forth the amount of each NEO’s STI Plan payment based upon the adjusted performance results, as well as what the STI Plan payouts would have been if the Committee did not use discretion to adjust the calculation. The table also includes the percentage that the actual payment represented compared to such officer’s target payout, which, for each NEO, other than Mr. Hoffmann and Ms. Miller, was equivalent to such NEO’s 2025 base salary (subject to pro-ration as described in the footnotes to the table), and for Mr. Hoffmann and Ms. Miller, was equivalent to 75% of their respective base salaries.</w:t>
      </w:r>
      <w:r>
        <w:rPr>
          <w:rFonts w:ascii="Arial Narrow;Arial;Helvetica;sans-serif" w:hAnsi="Arial Narrow;Arial;Helvetica;sans-serif"/>
          <w:b w:val="false"/>
          <w:i w:val="false"/>
          <w:caps w:val="false"/>
          <w:smallCaps w:val="false"/>
          <w:color w:val="000000"/>
          <w:spacing w:val="4"/>
          <w:sz w:val="19"/>
        </w:rPr>
        <w:t xml:space="preserve"> </w:t>
      </w:r>
    </w:p>
    <w:tbl>
      <w:tblPr>
        <w:tblW w:w="11141" w:type="dxa"/>
        <w:jc w:val="left"/>
        <w:tblInd w:w="920" w:type="dxa"/>
        <w:tblLayout w:type="fixed"/>
        <w:tblCellMar>
          <w:top w:w="0" w:type="dxa"/>
          <w:left w:w="0" w:type="dxa"/>
          <w:bottom w:w="28" w:type="dxa"/>
          <w:right w:w="0" w:type="dxa"/>
        </w:tblCellMar>
      </w:tblPr>
      <w:tblGrid>
        <w:gridCol w:w="124"/>
        <w:gridCol w:w="1126"/>
        <w:gridCol w:w="109"/>
        <w:gridCol w:w="109"/>
        <w:gridCol w:w="109"/>
        <w:gridCol w:w="109"/>
        <w:gridCol w:w="109"/>
        <w:gridCol w:w="931"/>
        <w:gridCol w:w="109"/>
        <w:gridCol w:w="109"/>
        <w:gridCol w:w="109"/>
        <w:gridCol w:w="109"/>
        <w:gridCol w:w="218"/>
        <w:gridCol w:w="218"/>
        <w:gridCol w:w="1055"/>
        <w:gridCol w:w="220"/>
        <w:gridCol w:w="109"/>
        <w:gridCol w:w="109"/>
        <w:gridCol w:w="109"/>
        <w:gridCol w:w="153"/>
        <w:gridCol w:w="153"/>
        <w:gridCol w:w="1249"/>
        <w:gridCol w:w="156"/>
        <w:gridCol w:w="109"/>
        <w:gridCol w:w="109"/>
        <w:gridCol w:w="109"/>
        <w:gridCol w:w="218"/>
        <w:gridCol w:w="218"/>
        <w:gridCol w:w="1055"/>
        <w:gridCol w:w="220"/>
        <w:gridCol w:w="109"/>
        <w:gridCol w:w="109"/>
        <w:gridCol w:w="109"/>
        <w:gridCol w:w="153"/>
        <w:gridCol w:w="153"/>
        <w:gridCol w:w="1249"/>
        <w:gridCol w:w="15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12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NEO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58"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TARGET</w:t>
              <w:br/>
              <w:t>AMOUNT</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UNADJUSTED</w:t>
              <w:br/>
              <w:t>TOTAL RESULT</w:t>
              <w:br/>
              <w:t xml:space="preserve">(AS A % OF TARGET)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UNADJUSTED</w:t>
              <w:br/>
              <w:t>PAYOUT</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TOTAL RESULT</w:t>
              <w:br/>
              <w:t>(AS A % OF TARGET)</w:t>
              <w:br/>
              <w:t xml:space="preserve">AFTER ADJUSTMENT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ACTUAL PAYOUT</w:t>
              <w:br/>
              <w:t>AFTER ADJUSTMENT</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31" w:type="dxa"/>
            <w:tcBorders>
              <w:bottom w:val="single" w:sz="2" w:space="0" w:color="BFBFBF"/>
            </w:tcBorders>
            <w:tcMar>
              <w:bottom w:w="65" w:type="dxa"/>
            </w:tcMar>
            <w:vAlign w:val="center"/>
          </w:tcPr>
          <w:p>
            <w:pPr>
              <w:pStyle w:val="TableContents"/>
              <w:bidi w:val="0"/>
              <w:spacing w:before="0" w:after="283"/>
              <w:jc w:val="right"/>
              <w:rPr/>
            </w:pPr>
            <w:r>
              <w:rPr/>
              <w:t>995,624</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93.5%</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930,908</w:t>
            </w:r>
          </w:p>
        </w:tc>
        <w:tc>
          <w:tcPr>
            <w:tcW w:w="15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93.9%</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934,891</w:t>
            </w:r>
          </w:p>
        </w:tc>
        <w:tc>
          <w:tcPr>
            <w:tcW w:w="1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31" w:type="dxa"/>
            <w:tcBorders>
              <w:bottom w:val="single" w:sz="2" w:space="0" w:color="BFBFBF"/>
            </w:tcBorders>
            <w:tcMar>
              <w:bottom w:w="65" w:type="dxa"/>
            </w:tcMar>
            <w:vAlign w:val="center"/>
          </w:tcPr>
          <w:p>
            <w:pPr>
              <w:pStyle w:val="TableContents"/>
              <w:bidi w:val="0"/>
              <w:spacing w:before="0" w:after="283"/>
              <w:jc w:val="right"/>
              <w:rPr/>
            </w:pPr>
            <w:r>
              <w:rPr/>
              <w:t>589,160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93.5%</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550,865</w:t>
            </w:r>
          </w:p>
        </w:tc>
        <w:tc>
          <w:tcPr>
            <w:tcW w:w="15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93.9%</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553,221</w:t>
            </w:r>
          </w:p>
        </w:tc>
        <w:tc>
          <w:tcPr>
            <w:tcW w:w="1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31" w:type="dxa"/>
            <w:tcBorders>
              <w:bottom w:val="single" w:sz="2" w:space="0" w:color="BFBFBF"/>
            </w:tcBorders>
            <w:tcMar>
              <w:bottom w:w="65" w:type="dxa"/>
            </w:tcMar>
            <w:vAlign w:val="center"/>
          </w:tcPr>
          <w:p>
            <w:pPr>
              <w:pStyle w:val="TableContents"/>
              <w:bidi w:val="0"/>
              <w:spacing w:before="0" w:after="283"/>
              <w:jc w:val="right"/>
              <w:rPr/>
            </w:pPr>
            <w:r>
              <w:rPr/>
              <w:t>458,055</w:t>
            </w:r>
            <w:r>
              <w:rPr>
                <w:sz w:val="12"/>
              </w:rPr>
              <w:t>(1)</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91.7%</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420,036</w:t>
            </w:r>
          </w:p>
        </w:tc>
        <w:tc>
          <w:tcPr>
            <w:tcW w:w="15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92.1%</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421,869</w:t>
            </w:r>
          </w:p>
        </w:tc>
        <w:tc>
          <w:tcPr>
            <w:tcW w:w="1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31" w:type="dxa"/>
            <w:tcBorders>
              <w:bottom w:val="single" w:sz="2" w:space="0" w:color="BFBFBF"/>
            </w:tcBorders>
            <w:tcMar>
              <w:bottom w:w="65" w:type="dxa"/>
            </w:tcMar>
            <w:vAlign w:val="center"/>
          </w:tcPr>
          <w:p>
            <w:pPr>
              <w:pStyle w:val="TableContents"/>
              <w:bidi w:val="0"/>
              <w:spacing w:before="0" w:after="283"/>
              <w:jc w:val="right"/>
              <w:rPr/>
            </w:pPr>
            <w:r>
              <w:rPr/>
              <w:t>341,445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93.5%</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319,251</w:t>
            </w:r>
          </w:p>
        </w:tc>
        <w:tc>
          <w:tcPr>
            <w:tcW w:w="15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93.9%</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320,617</w:t>
            </w:r>
          </w:p>
        </w:tc>
        <w:tc>
          <w:tcPr>
            <w:tcW w:w="1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31" w:type="dxa"/>
            <w:tcBorders>
              <w:bottom w:val="single" w:sz="2" w:space="0" w:color="BFBFBF"/>
            </w:tcBorders>
            <w:tcMar>
              <w:bottom w:w="65" w:type="dxa"/>
            </w:tcMar>
            <w:vAlign w:val="center"/>
          </w:tcPr>
          <w:p>
            <w:pPr>
              <w:pStyle w:val="TableContents"/>
              <w:bidi w:val="0"/>
              <w:spacing w:before="0" w:after="283"/>
              <w:jc w:val="right"/>
              <w:rPr/>
            </w:pPr>
            <w:r>
              <w:rPr/>
              <w:t>278,100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93.5%</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260,024</w:t>
            </w:r>
          </w:p>
        </w:tc>
        <w:tc>
          <w:tcPr>
            <w:tcW w:w="15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93.9%</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261,136</w:t>
            </w:r>
          </w:p>
        </w:tc>
        <w:tc>
          <w:tcPr>
            <w:tcW w:w="1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31" w:type="dxa"/>
            <w:tcBorders>
              <w:bottom w:val="single" w:sz="2" w:space="0" w:color="BFBFBF"/>
            </w:tcBorders>
            <w:tcMar>
              <w:bottom w:w="65" w:type="dxa"/>
            </w:tcMar>
            <w:vAlign w:val="center"/>
          </w:tcPr>
          <w:p>
            <w:pPr>
              <w:pStyle w:val="TableContents"/>
              <w:bidi w:val="0"/>
              <w:spacing w:before="0" w:after="283"/>
              <w:jc w:val="right"/>
              <w:rPr/>
            </w:pPr>
            <w:r>
              <w:rPr/>
              <w:t>320,977</w:t>
            </w:r>
            <w:r>
              <w:rPr>
                <w:sz w:val="12"/>
              </w:rPr>
              <w:t>(2)</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91.7%</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294,336</w:t>
            </w:r>
          </w:p>
        </w:tc>
        <w:tc>
          <w:tcPr>
            <w:tcW w:w="15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65" w:type="dxa"/>
            </w:tcMar>
            <w:vAlign w:val="center"/>
          </w:tcPr>
          <w:p>
            <w:pPr>
              <w:pStyle w:val="TableContents"/>
              <w:bidi w:val="0"/>
              <w:spacing w:before="0" w:after="283"/>
              <w:jc w:val="right"/>
              <w:rPr/>
            </w:pPr>
            <w:r>
              <w:rPr/>
              <w:t>​</w:t>
            </w:r>
          </w:p>
        </w:tc>
        <w:tc>
          <w:tcPr>
            <w:tcW w:w="1055" w:type="dxa"/>
            <w:tcBorders>
              <w:bottom w:val="single" w:sz="2" w:space="0" w:color="BFBFBF"/>
            </w:tcBorders>
            <w:tcMar>
              <w:bottom w:w="65" w:type="dxa"/>
            </w:tcMar>
            <w:vAlign w:val="center"/>
          </w:tcPr>
          <w:p>
            <w:pPr>
              <w:pStyle w:val="TableContents"/>
              <w:bidi w:val="0"/>
              <w:spacing w:before="0" w:after="283"/>
              <w:jc w:val="right"/>
              <w:rPr/>
            </w:pPr>
            <w:r>
              <w:rPr/>
              <w:t>92.1%</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vAlign w:val="center"/>
          </w:tcPr>
          <w:p>
            <w:pPr>
              <w:pStyle w:val="TableContents"/>
              <w:bidi w:val="0"/>
              <w:spacing w:before="0" w:after="283"/>
              <w:jc w:val="left"/>
              <w:rPr/>
            </w:pPr>
            <w:r>
              <w:rPr/>
              <w:t>​</w:t>
            </w:r>
          </w:p>
        </w:tc>
        <w:tc>
          <w:tcPr>
            <w:tcW w:w="153" w:type="dxa"/>
            <w:tcBorders>
              <w:bottom w:val="single" w:sz="2" w:space="0" w:color="BFBFBF"/>
            </w:tcBorders>
            <w:tcMar>
              <w:bottom w:w="65" w:type="dxa"/>
            </w:tcMar>
            <w:vAlign w:val="center"/>
          </w:tcPr>
          <w:p>
            <w:pPr>
              <w:pStyle w:val="TableContents"/>
              <w:bidi w:val="0"/>
              <w:spacing w:before="0" w:after="283"/>
              <w:jc w:val="right"/>
              <w:rPr/>
            </w:pPr>
            <w:r>
              <w:rPr/>
              <w:t>​</w:t>
            </w:r>
          </w:p>
        </w:tc>
        <w:tc>
          <w:tcPr>
            <w:tcW w:w="1249" w:type="dxa"/>
            <w:tcBorders>
              <w:bottom w:val="single" w:sz="2" w:space="0" w:color="BFBFBF"/>
            </w:tcBorders>
            <w:tcMar>
              <w:bottom w:w="65" w:type="dxa"/>
            </w:tcMar>
            <w:vAlign w:val="center"/>
          </w:tcPr>
          <w:p>
            <w:pPr>
              <w:pStyle w:val="TableContents"/>
              <w:bidi w:val="0"/>
              <w:spacing w:before="0" w:after="283"/>
              <w:jc w:val="right"/>
              <w:rPr/>
            </w:pPr>
            <w:r>
              <w:rPr/>
              <w:t>295,620</w:t>
            </w:r>
          </w:p>
        </w:tc>
        <w:tc>
          <w:tcPr>
            <w:tcW w:w="156"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Schmitzer’s target of  $458,055 reflects his pro-rated salary (both before and after the August 2025 amendment to his employment agreement, as described below) for time worked during the 2025 performance year.</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69215"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4"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Sutherland’s 2025 Target Amount is based on his salary both before and after his promotion to President of the E&amp;S Segment on May 5, 2025.</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30">
                <wp:simplePos x="0" y="0"/>
                <wp:positionH relativeFrom="column">
                  <wp:align>left</wp:align>
                </wp:positionH>
                <wp:positionV relativeFrom="line">
                  <wp:posOffset>635</wp:posOffset>
                </wp:positionV>
                <wp:extent cx="254000" cy="350520"/>
                <wp:effectExtent l="0" t="0" r="0" b="0"/>
                <wp:wrapSquare wrapText="right"/>
                <wp:docPr id="125"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Long-Term Incentives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third component of the executive compensation program is long-term incentive equity grants. The long-term incentives create a strong link between payouts and performance, and a strong alignment between the interests of executive officers and those of our shareholders. Long-term equity incentives also promote retention, as, subject to limited exception, executive officers will only receive value with respect to the equity incentives if they remain employed by us over the required term. Additionally, the long-term equity incentives foster an ownership culture among our executive officers by creating a greater personal stake in the value they are intended to achieve.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Long-Term Incentive Target Opportunities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target levels are expressed as dollar amounts, equal to 100% of our NEOs’ base salaries for 2025 (except for Ms. Miller, her 2025 target amount was equal to 75% of her base salary), with the grants of PRSUs and Service-Based RSUs each representing 50% of the total long-term incentive opportunity. The number of shares covered by the awards is determined by dividing the applicable target dollar amount by the closing market price of the Company’s common stock on the second trading day following the release of the Company’s financial results for the fourth quarter of the immediately preceding fiscal year, which is considered the grant date for the awards.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and the Board utilize this grant date for pricing of our annual equity awards awarded in February each year so that the number of shares that are subject to awards would take into account the trading price of our stock after the markets respond, positively or negatively, to our announced financial results.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February 2025, the Committee approved grants of awards to our NEOs under the Company’s 2014 Long-Term Incentive Plan, which is the Company’s employee equity incentive plan (the “2014 LTIP”), at their respective annual grant targets. In affirming and establishing these grant levels, the Committee considered the following: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2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individual performance and expected future contributions of the NEO;</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values of, allocations to, and proportion of total compensation represented by, the long-term incentive opportunities at the companies in our compensation peer groups;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32">
                <wp:simplePos x="0" y="0"/>
                <wp:positionH relativeFrom="column">
                  <wp:align>left</wp:align>
                </wp:positionH>
                <wp:positionV relativeFrom="line">
                  <wp:posOffset>635</wp:posOffset>
                </wp:positionV>
                <wp:extent cx="127000" cy="350520"/>
                <wp:effectExtent l="0" t="0" r="0" b="0"/>
                <wp:wrapSquare wrapText="right"/>
                <wp:docPr id="127"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time in role, skills, and experience;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33">
                <wp:simplePos x="0" y="0"/>
                <wp:positionH relativeFrom="column">
                  <wp:align>left</wp:align>
                </wp:positionH>
                <wp:positionV relativeFrom="line">
                  <wp:posOffset>635</wp:posOffset>
                </wp:positionV>
                <wp:extent cx="127000" cy="350520"/>
                <wp:effectExtent l="0" t="0" r="0" b="0"/>
                <wp:wrapSquare wrapText="right"/>
                <wp:docPr id="128"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retention. </w:t>
      </w:r>
      <w:r>
        <mc:AlternateContent>
          <mc:Choice Requires="wps">
            <w:drawing>
              <wp:anchor behindDoc="0" distT="0" distB="0" distL="254000" distR="0" simplePos="0" locked="0" layoutInCell="1" allowOverlap="1" relativeHeight="134">
                <wp:simplePos x="0" y="0"/>
                <wp:positionH relativeFrom="column">
                  <wp:align>left</wp:align>
                </wp:positionH>
                <wp:positionV relativeFrom="line">
                  <wp:posOffset>635</wp:posOffset>
                </wp:positionV>
                <wp:extent cx="127000" cy="350520"/>
                <wp:effectExtent l="0" t="0" r="0" b="0"/>
                <wp:wrapSquare wrapText="right"/>
                <wp:docPr id="129"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25</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920" w:right="0" w:hanging="0"/>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Equity Vehicles and 2025 Mix: PRSUs and Service-Based RSUs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2025 mix of long-term incentives granted to the NEOs is shown in the following table:</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502"/>
        <w:gridCol w:w="109"/>
        <w:gridCol w:w="109"/>
        <w:gridCol w:w="109"/>
        <w:gridCol w:w="1698"/>
        <w:gridCol w:w="109"/>
        <w:gridCol w:w="109"/>
        <w:gridCol w:w="109"/>
        <w:gridCol w:w="1157"/>
        <w:gridCol w:w="109"/>
        <w:gridCol w:w="109"/>
        <w:gridCol w:w="109"/>
        <w:gridCol w:w="1578"/>
        <w:gridCol w:w="109"/>
        <w:gridCol w:w="109"/>
        <w:gridCol w:w="109"/>
        <w:gridCol w:w="1760"/>
        <w:gridCol w:w="158"/>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502"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EQUITY VEHICLE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98" w:type="dxa"/>
            <w:tcBorders>
              <w:bottom w:val="single" w:sz="12" w:space="0" w:color="3F3F3F"/>
            </w:tcBorders>
            <w:shd w:fill="F2F2F2" w:val="clear"/>
            <w:tcMar>
              <w:bottom w:w="127" w:type="dxa"/>
            </w:tcMar>
            <w:vAlign w:val="center"/>
          </w:tcPr>
          <w:p>
            <w:pPr>
              <w:pStyle w:val="TableContents"/>
              <w:bidi w:val="0"/>
              <w:spacing w:before="0" w:after="0"/>
              <w:jc w:val="center"/>
              <w:rPr/>
            </w:pPr>
            <w:r>
              <w:rPr/>
              <w:t>2025</w:t>
              <w:br/>
              <w:t xml:space="preserve">ALLOCATION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57" w:type="dxa"/>
            <w:tcBorders>
              <w:bottom w:val="single" w:sz="12" w:space="0" w:color="3F3F3F"/>
            </w:tcBorders>
            <w:shd w:fill="F2F2F2" w:val="clear"/>
            <w:tcMar>
              <w:bottom w:w="127" w:type="dxa"/>
            </w:tcMar>
            <w:vAlign w:val="center"/>
          </w:tcPr>
          <w:p>
            <w:pPr>
              <w:pStyle w:val="TableContents"/>
              <w:bidi w:val="0"/>
              <w:spacing w:before="0" w:after="0"/>
              <w:jc w:val="center"/>
              <w:rPr/>
            </w:pPr>
            <w:r>
              <w:rPr/>
              <w:t>VESTING</w:t>
              <w:br/>
              <w:t xml:space="preserve">PERIOD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78" w:type="dxa"/>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VESTING CRITERIA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60" w:type="dxa"/>
            <w:tcBorders>
              <w:bottom w:val="single" w:sz="12" w:space="0" w:color="3F3F3F"/>
            </w:tcBorders>
            <w:shd w:fill="F2F2F2" w:val="clear"/>
            <w:tcMar>
              <w:bottom w:w="127" w:type="dxa"/>
            </w:tcMar>
            <w:vAlign w:val="center"/>
          </w:tcPr>
          <w:p>
            <w:pPr>
              <w:pStyle w:val="TableContents"/>
              <w:bidi w:val="0"/>
              <w:spacing w:before="0" w:after="0"/>
              <w:jc w:val="center"/>
              <w:rPr/>
            </w:pPr>
            <w:r>
              <w:rPr/>
              <w:t>RATIONALE FOR</w:t>
              <w:br/>
              <w:t xml:space="preserve">USE </w:t>
            </w:r>
          </w:p>
        </w:tc>
        <w:tc>
          <w:tcPr>
            <w:tcW w:w="158"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02" w:type="dxa"/>
            <w:tcBorders>
              <w:bottom w:val="single" w:sz="2" w:space="0" w:color="BFBFBF"/>
            </w:tcBorders>
            <w:tcMar>
              <w:bottom w:w="108" w:type="dxa"/>
            </w:tcMar>
            <w:vAlign w:val="center"/>
          </w:tcPr>
          <w:p>
            <w:pPr>
              <w:pStyle w:val="TableContents"/>
              <w:bidi w:val="0"/>
              <w:spacing w:before="0" w:after="283"/>
              <w:jc w:val="left"/>
              <w:rPr/>
            </w:pPr>
            <w:r>
              <w:rPr/>
              <w:t xml:space="preserve">PRSUs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98" w:type="dxa"/>
            <w:tcBorders>
              <w:bottom w:val="single" w:sz="2" w:space="0" w:color="BFBFBF"/>
            </w:tcBorders>
            <w:tcMar>
              <w:bottom w:w="108" w:type="dxa"/>
            </w:tcMar>
            <w:vAlign w:val="center"/>
          </w:tcPr>
          <w:p>
            <w:pPr>
              <w:pStyle w:val="TableContents"/>
              <w:bidi w:val="0"/>
              <w:spacing w:before="0" w:after="0"/>
              <w:jc w:val="center"/>
              <w:rPr/>
            </w:pPr>
            <w:r>
              <w:rPr/>
              <w:t xml:space="preserve">50%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57" w:type="dxa"/>
            <w:tcBorders>
              <w:bottom w:val="single" w:sz="2" w:space="0" w:color="BFBFBF"/>
            </w:tcBorders>
            <w:tcMar>
              <w:bottom w:w="108" w:type="dxa"/>
            </w:tcMar>
            <w:vAlign w:val="center"/>
          </w:tcPr>
          <w:p>
            <w:pPr>
              <w:pStyle w:val="TableContents"/>
              <w:bidi w:val="0"/>
              <w:spacing w:before="0" w:after="0"/>
              <w:jc w:val="left"/>
              <w:rPr/>
            </w:pPr>
            <w:r>
              <w:rPr/>
              <w:t xml:space="preserve">3-year cliff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8" w:type="dxa"/>
            <w:tcBorders>
              <w:bottom w:val="single" w:sz="2" w:space="0" w:color="BFBFBF"/>
            </w:tcBorders>
            <w:tcMar>
              <w:bottom w:w="108" w:type="dxa"/>
            </w:tcMar>
            <w:vAlign w:val="center"/>
          </w:tcPr>
          <w:p>
            <w:pPr>
              <w:pStyle w:val="TableContents"/>
              <w:bidi w:val="0"/>
              <w:spacing w:lineRule="atLeast" w:line="226" w:before="0" w:after="0"/>
              <w:ind w:left="190" w:right="0" w:hanging="0"/>
              <w:jc w:val="left"/>
              <w:rPr/>
            </w:pPr>
            <w:r>
              <w:rPr/>
              <w:t>Adjusted operating return on average adjusted tangible common equity</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120650" cy="350520"/>
                      <wp:effectExtent l="0" t="0" r="0" b="0"/>
                      <wp:wrapSquare wrapText="right"/>
                      <wp:docPr id="130" name="Frame9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 xml:space="preserve">Growth in adjusted tangible common equity per share of common stock </w:t>
            </w:r>
            <w:r>
              <mc:AlternateContent>
                <mc:Choice Requires="wps">
                  <w:drawing>
                    <wp:anchor behindDoc="0" distT="99060" distB="0" distL="0" distR="0" simplePos="0" locked="0" layoutInCell="1" allowOverlap="1" relativeHeight="136">
                      <wp:simplePos x="0" y="0"/>
                      <wp:positionH relativeFrom="column">
                        <wp:align>left</wp:align>
                      </wp:positionH>
                      <wp:positionV relativeFrom="line">
                        <wp:align>top</wp:align>
                      </wp:positionV>
                      <wp:extent cx="120650" cy="350520"/>
                      <wp:effectExtent l="0" t="0" r="0" b="0"/>
                      <wp:wrapSquare wrapText="right"/>
                      <wp:docPr id="131" name="Frame9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60" w:type="dxa"/>
            <w:tcBorders>
              <w:bottom w:val="single" w:sz="2" w:space="0" w:color="BFBFBF"/>
            </w:tcBorders>
            <w:tcMar>
              <w:bottom w:w="108" w:type="dxa"/>
            </w:tcMar>
            <w:vAlign w:val="center"/>
          </w:tcPr>
          <w:p>
            <w:pPr>
              <w:pStyle w:val="TableContents"/>
              <w:bidi w:val="0"/>
              <w:spacing w:lineRule="atLeast" w:line="226" w:before="0" w:after="0"/>
              <w:ind w:left="190" w:right="0" w:hanging="0"/>
              <w:jc w:val="left"/>
              <w:rPr/>
            </w:pPr>
            <w:r>
              <w:rPr/>
              <w:t>Focuses on underwriting results, core profitability and risk management</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120650" cy="350520"/>
                      <wp:effectExtent l="0" t="0" r="0" b="0"/>
                      <wp:wrapSquare wrapText="right"/>
                      <wp:docPr id="132" name="Frame9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Prioritizes increasing shareholder value</w:t>
            </w:r>
            <w:r>
              <mc:AlternateContent>
                <mc:Choice Requires="wps">
                  <w:drawing>
                    <wp:anchor behindDoc="0" distT="99060" distB="0" distL="0" distR="0" simplePos="0" locked="0" layoutInCell="1" allowOverlap="1" relativeHeight="138">
                      <wp:simplePos x="0" y="0"/>
                      <wp:positionH relativeFrom="column">
                        <wp:align>left</wp:align>
                      </wp:positionH>
                      <wp:positionV relativeFrom="line">
                        <wp:align>top</wp:align>
                      </wp:positionV>
                      <wp:extent cx="120650" cy="350520"/>
                      <wp:effectExtent l="0" t="0" r="0" b="0"/>
                      <wp:wrapSquare wrapText="right"/>
                      <wp:docPr id="133" name="Frame9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 xml:space="preserve">Promotes long-term focus and retention </w:t>
            </w:r>
            <w:r>
              <mc:AlternateContent>
                <mc:Choice Requires="wps">
                  <w:drawing>
                    <wp:anchor behindDoc="0" distT="99060" distB="0" distL="0" distR="0" simplePos="0" locked="0" layoutInCell="1" allowOverlap="1" relativeHeight="139">
                      <wp:simplePos x="0" y="0"/>
                      <wp:positionH relativeFrom="column">
                        <wp:align>left</wp:align>
                      </wp:positionH>
                      <wp:positionV relativeFrom="line">
                        <wp:align>top</wp:align>
                      </wp:positionV>
                      <wp:extent cx="120650" cy="350520"/>
                      <wp:effectExtent l="0" t="0" r="0" b="0"/>
                      <wp:wrapSquare wrapText="right"/>
                      <wp:docPr id="134" name="Frame9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02" w:type="dxa"/>
            <w:tcBorders>
              <w:bottom w:val="single" w:sz="2" w:space="0" w:color="BFBFBF"/>
            </w:tcBorders>
            <w:tcMar>
              <w:bottom w:w="108" w:type="dxa"/>
            </w:tcMar>
            <w:vAlign w:val="center"/>
          </w:tcPr>
          <w:p>
            <w:pPr>
              <w:pStyle w:val="TableContents"/>
              <w:bidi w:val="0"/>
              <w:spacing w:before="0" w:after="0"/>
              <w:jc w:val="left"/>
              <w:rPr/>
            </w:pPr>
            <w:r>
              <w:rPr/>
              <w:t xml:space="preserve">Service-Based RSUs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98" w:type="dxa"/>
            <w:tcBorders>
              <w:bottom w:val="single" w:sz="2" w:space="0" w:color="BFBFBF"/>
            </w:tcBorders>
            <w:tcMar>
              <w:bottom w:w="108" w:type="dxa"/>
            </w:tcMar>
            <w:vAlign w:val="center"/>
          </w:tcPr>
          <w:p>
            <w:pPr>
              <w:pStyle w:val="TableContents"/>
              <w:bidi w:val="0"/>
              <w:spacing w:before="0" w:after="0"/>
              <w:jc w:val="center"/>
              <w:rPr/>
            </w:pPr>
            <w:r>
              <w:rPr/>
              <w:t xml:space="preserve">50%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57" w:type="dxa"/>
            <w:tcBorders>
              <w:bottom w:val="single" w:sz="2" w:space="0" w:color="BFBFBF"/>
            </w:tcBorders>
            <w:tcMar>
              <w:bottom w:w="108" w:type="dxa"/>
            </w:tcMar>
            <w:vAlign w:val="center"/>
          </w:tcPr>
          <w:p>
            <w:pPr>
              <w:pStyle w:val="TableContents"/>
              <w:bidi w:val="0"/>
              <w:spacing w:before="0" w:after="283"/>
              <w:jc w:val="left"/>
              <w:rPr/>
            </w:pPr>
            <w:r>
              <w:rPr/>
              <w:t>3 years: 1/3</w:t>
              <w:br/>
              <w:t xml:space="preserve">per year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8" w:type="dxa"/>
            <w:tcBorders>
              <w:bottom w:val="single" w:sz="2" w:space="0" w:color="BFBFBF"/>
            </w:tcBorders>
            <w:tcMar>
              <w:bottom w:w="108" w:type="dxa"/>
            </w:tcMar>
            <w:vAlign w:val="center"/>
          </w:tcPr>
          <w:p>
            <w:pPr>
              <w:pStyle w:val="TableContents"/>
              <w:bidi w:val="0"/>
              <w:spacing w:lineRule="atLeast" w:line="226" w:before="0" w:after="0"/>
              <w:ind w:left="190" w:right="0" w:hanging="0"/>
              <w:jc w:val="left"/>
              <w:rPr/>
            </w:pPr>
            <w:r>
              <w:rPr/>
              <w:t xml:space="preserve">Vests solely based on continued employment through each applicable vesting date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120650" cy="350520"/>
                      <wp:effectExtent l="0" t="0" r="0" b="0"/>
                      <wp:wrapSquare wrapText="right"/>
                      <wp:docPr id="135" name="Frame9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60" w:type="dxa"/>
            <w:tcBorders>
              <w:bottom w:val="single" w:sz="2" w:space="0" w:color="BFBFBF"/>
            </w:tcBorders>
            <w:tcMar>
              <w:bottom w:w="108" w:type="dxa"/>
            </w:tcMar>
            <w:vAlign w:val="center"/>
          </w:tcPr>
          <w:p>
            <w:pPr>
              <w:pStyle w:val="TableContents"/>
              <w:bidi w:val="0"/>
              <w:spacing w:lineRule="atLeast" w:line="226" w:before="0" w:after="0"/>
              <w:ind w:left="190" w:right="0" w:hanging="0"/>
              <w:jc w:val="left"/>
              <w:rPr/>
            </w:pPr>
            <w:r>
              <w:rPr/>
              <w:t>Aligns NEOs’ interests with interests of shareholders</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120650" cy="350520"/>
                      <wp:effectExtent l="0" t="0" r="0" b="0"/>
                      <wp:wrapSquare wrapText="right"/>
                      <wp:docPr id="136" name="Frame9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56" w:after="0"/>
              <w:ind w:left="190" w:right="0" w:hanging="0"/>
              <w:jc w:val="left"/>
              <w:rPr>
                <w:rFonts w:ascii="Arial;Helvetica;sans-serif" w:hAnsi="Arial;Helvetica;sans-serif"/>
              </w:rPr>
            </w:pPr>
            <w:r>
              <w:rPr>
                <w:rFonts w:ascii="Arial Narrow;Arial;Helvetica;sans-serif" w:hAnsi="Arial Narrow;Arial;Helvetica;sans-serif"/>
              </w:rPr>
              <w:t>Promotes retention</w:t>
            </w:r>
            <w:r>
              <w:rPr>
                <w:rFonts w:ascii="Arial;Helvetica;sans-serif" w:hAnsi="Arial;Helvetica;sans-serif"/>
              </w:rPr>
              <w:t xml:space="preserve"> </w:t>
            </w:r>
            <w:r>
              <mc:AlternateContent>
                <mc:Choice Requires="wps">
                  <w:drawing>
                    <wp:anchor behindDoc="0" distT="99060" distB="0" distL="0" distR="0" simplePos="0" locked="0" layoutInCell="1" allowOverlap="1" relativeHeight="142">
                      <wp:simplePos x="0" y="0"/>
                      <wp:positionH relativeFrom="column">
                        <wp:align>left</wp:align>
                      </wp:positionH>
                      <wp:positionV relativeFrom="line">
                        <wp:align>top</wp:align>
                      </wp:positionV>
                      <wp:extent cx="120650" cy="350520"/>
                      <wp:effectExtent l="0" t="0" r="0" b="0"/>
                      <wp:wrapSquare wrapText="right"/>
                      <wp:docPr id="137" name="Frame9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190" w:right="0" w:hanging="0"/>
              <w:jc w:val="left"/>
              <w:rPr/>
            </w:pPr>
            <w:r>
              <w:rPr/>
              <w:t>Provides value even during periods of stock price or market downturn</w:t>
            </w:r>
            <w:r>
              <mc:AlternateContent>
                <mc:Choice Requires="wps">
                  <w:drawing>
                    <wp:anchor behindDoc="0" distT="99060" distB="0" distL="0" distR="0" simplePos="0" locked="0" layoutInCell="1" allowOverlap="1" relativeHeight="143">
                      <wp:simplePos x="0" y="0"/>
                      <wp:positionH relativeFrom="column">
                        <wp:align>left</wp:align>
                      </wp:positionH>
                      <wp:positionV relativeFrom="line">
                        <wp:align>top</wp:align>
                      </wp:positionV>
                      <wp:extent cx="120650" cy="350520"/>
                      <wp:effectExtent l="0" t="0" r="0" b="0"/>
                      <wp:wrapSquare wrapText="right"/>
                      <wp:docPr id="138" name="Frame10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219"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structured the relative weight assigned to each type of award to motivate performance against long-term goals through PRSUs, and to ensure some amount of value delivery and retention through the Service-Based RSUs. These are complementary because they have upside potential but deliver some value even if our stock price does not increase, while also reinforcing an ownership culture and commitment to the Company.</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PRSU Performance Metrics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Based upon a review of our peer group’s long-term compensation practices, and the Company’s own business, the Committee recommended to the Board, and the Board approved, the use of two financial performance metrics, which are evenly weighted. The financial performance metrics are (i) the Company’s adjusted operating return on average adjusted tangible common equity, and (ii) growth in adjusted tangible common equity per share of common stock, both of which are non-GAAP measures. The Committee chose these metrics because it believes that these measures are indicators of the Company’s long-term financial performance. The use of three-year average results promotes a focus on long-term performance.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CALCULATION OF ADJUSTED OPERATING RETURN ON AVERAGE ADJUSTED TANGIBLE COMMON EQUITY</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120" w:after="283"/>
        <w:jc w:val="left"/>
        <w:rPr>
          <w:caps w:val="false"/>
          <w:smallCaps w:val="false"/>
          <w:color w:val="000000"/>
        </w:rPr>
      </w:pPr>
      <w:r>
        <w:rPr>
          <w:caps w:val="false"/>
          <w:smallCaps w:val="false"/>
          <w:color w:val="000000"/>
        </w:rPr>
        <w:t>“</w:t>
      </w:r>
      <w:r>
        <w:rPr>
          <w:rFonts w:ascii="Arial Narrow;Arial;Helvetica;sans-serif" w:hAnsi="Arial Narrow;Arial;Helvetica;sans-serif"/>
          <w:b w:val="false"/>
          <w:i/>
          <w:caps w:val="false"/>
          <w:smallCaps w:val="false"/>
          <w:color w:val="000000"/>
          <w:sz w:val="19"/>
        </w:rPr>
        <w:t>Adjusted operating return on average adjusted tangible common equity”</w:t>
      </w:r>
      <w:r>
        <w:rPr>
          <w:rFonts w:ascii="Arial Narrow;Arial;Helvetica;sans-serif" w:hAnsi="Arial Narrow;Arial;Helvetica;sans-serif"/>
          <w:b w:val="false"/>
          <w:i w:val="false"/>
          <w:caps w:val="false"/>
          <w:smallCaps w:val="false"/>
          <w:color w:val="000000"/>
          <w:sz w:val="19"/>
        </w:rPr>
        <w:t xml:space="preserve"> for the performance period is the three-year average adjusted net operating income divided by the four-year average adjusted tangible common equity. For purposes of this calculation: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50" w:after="283"/>
        <w:ind w:left="1320" w:right="0" w:hanging="0"/>
        <w:jc w:val="left"/>
        <w:rPr>
          <w:caps w:val="false"/>
          <w:smallCaps w:val="false"/>
          <w:color w:val="000000"/>
        </w:rPr>
      </w:pPr>
      <w:r>
        <w:rPr>
          <w:caps w:val="false"/>
          <w:smallCaps w:val="false"/>
          <w:color w:val="000000"/>
        </w:rPr>
        <w:t>“</w:t>
      </w:r>
      <w:r>
        <w:rPr>
          <w:rFonts w:ascii="Arial Narrow;Arial;Helvetica;sans-serif" w:hAnsi="Arial Narrow;Arial;Helvetica;sans-serif"/>
          <w:b w:val="false"/>
          <w:i w:val="false"/>
          <w:caps w:val="false"/>
          <w:smallCaps w:val="false"/>
          <w:color w:val="000000"/>
          <w:sz w:val="19"/>
        </w:rPr>
        <w:t>Adjusted net operating income” is defined as net income (loss) available to common shareholders excluding (i) net realized and unrealized gains (losses) on investments, (ii) the portion of favorable or unfavorable prior year reserve development for which the Company’s subsidiaries ceded the risk under retroactive reinsurance agreements and the related changes in the amortization of deferred gain, and (iii) certain non-operating expenses, such as professional service fees related to a purported class action lawsuit, various strategic initiatives, the filing of registration statements for the offering of securities, and severance costs associated with terminated employees, calculated as of December 31 of each fiscal year during the performance period.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52" w:after="283"/>
        <w:ind w:left="1320" w:right="0" w:hanging="0"/>
        <w:jc w:val="left"/>
        <w:rPr>
          <w:caps w:val="false"/>
          <w:smallCaps w:val="false"/>
          <w:color w:val="000000"/>
        </w:rPr>
      </w:pPr>
      <w:r>
        <w:rPr>
          <w:caps w:val="false"/>
          <w:smallCaps w:val="false"/>
          <w:color w:val="000000"/>
        </w:rPr>
        <w:t>“</w:t>
      </w:r>
      <w:r>
        <w:rPr>
          <w:rFonts w:ascii="Arial Narrow;Arial;Helvetica;sans-serif" w:hAnsi="Arial Narrow;Arial;Helvetica;sans-serif"/>
          <w:b w:val="false"/>
          <w:i w:val="false"/>
          <w:caps w:val="false"/>
          <w:smallCaps w:val="false"/>
          <w:color w:val="000000"/>
          <w:sz w:val="19"/>
        </w:rPr>
        <w:t>Adjusted tangible common equity” is defined as shareholders’ equity less goodwill and intangible assets, net of amortization, accumulated other comprehensive income, and realized and unrealized gains (losses) on investments, and plus deferred gains under retroactive reinsurance agreements entered into by the Company’s subsidiaries, calculated as of the December 31st immediately preceding the performance period and December 31 of each fiscal year during the performance period.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CALCULATION OF GROWTH IN ADJUSTED TANGIBLE COMMON EQUITY PER SHARE OF COMMON STOCK</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120" w:after="283"/>
        <w:jc w:val="left"/>
        <w:rPr>
          <w:caps w:val="false"/>
          <w:smallCaps w:val="false"/>
          <w:color w:val="000000"/>
        </w:rPr>
      </w:pPr>
      <w:r>
        <w:rPr>
          <w:caps w:val="false"/>
          <w:smallCaps w:val="false"/>
          <w:color w:val="000000"/>
        </w:rPr>
        <w:t>“</w:t>
      </w:r>
      <w:r>
        <w:rPr>
          <w:rFonts w:ascii="Arial Narrow;Arial;Helvetica;sans-serif" w:hAnsi="Arial Narrow;Arial;Helvetica;sans-serif"/>
          <w:b w:val="false"/>
          <w:i/>
          <w:caps w:val="false"/>
          <w:smallCaps w:val="false"/>
          <w:color w:val="000000"/>
          <w:sz w:val="19"/>
        </w:rPr>
        <w:t>Growth in adjusted tangible common equity per share of common stock”</w:t>
      </w:r>
      <w:r>
        <w:rPr>
          <w:rFonts w:ascii="Arial Narrow;Arial;Helvetica;sans-serif" w:hAnsi="Arial Narrow;Arial;Helvetica;sans-serif"/>
          <w:b w:val="false"/>
          <w:i w:val="false"/>
          <w:caps w:val="false"/>
          <w:smallCaps w:val="false"/>
          <w:color w:val="000000"/>
          <w:sz w:val="19"/>
        </w:rPr>
        <w:t xml:space="preserve"> for the performance period is calculated as a percentage equal to the greater of  (i) ((A-B)/B)/4, and (ii) 0%, where: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i w:val="false"/>
          <w:caps w:val="false"/>
          <w:smallCaps w:val="false"/>
          <w:color w:val="000000"/>
          <w:sz w:val="19"/>
        </w:rPr>
        <w:t>A</w:t>
      </w:r>
      <w:r>
        <w:rPr>
          <w:rFonts w:ascii="Arial Narrow;Arial;Helvetica;sans-serif" w:hAnsi="Arial Narrow;Arial;Helvetica;sans-serif"/>
          <w:b w:val="false"/>
          <w:i w:val="false"/>
          <w:caps w:val="false"/>
          <w:smallCaps w:val="false"/>
          <w:color w:val="000000"/>
          <w:sz w:val="19"/>
        </w:rPr>
        <w:t xml:space="preserve"> = adjusted tangible common equity per share of common stock as of the last day of the performance period; and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i w:val="false"/>
          <w:caps w:val="false"/>
          <w:smallCaps w:val="false"/>
          <w:color w:val="000000"/>
          <w:sz w:val="19"/>
        </w:rPr>
        <w:t>B</w:t>
      </w:r>
      <w:r>
        <w:rPr>
          <w:rFonts w:ascii="Arial Narrow;Arial;Helvetica;sans-serif" w:hAnsi="Arial Narrow;Arial;Helvetica;sans-serif"/>
          <w:b w:val="false"/>
          <w:i w:val="false"/>
          <w:caps w:val="false"/>
          <w:smallCaps w:val="false"/>
          <w:color w:val="000000"/>
          <w:sz w:val="19"/>
        </w:rPr>
        <w:t xml:space="preserve"> = adjusted tangible common equity per share of common stock as of the December 31</w:t>
      </w:r>
      <w:r>
        <w:rPr>
          <w:rFonts w:ascii="Arial Narrow;Arial;Helvetica;sans-serif" w:hAnsi="Arial Narrow;Arial;Helvetica;sans-serif"/>
          <w:b w:val="false"/>
          <w:i w:val="false"/>
          <w:caps w:val="false"/>
          <w:smallCaps w:val="false"/>
          <w:color w:val="000000"/>
          <w:sz w:val="14"/>
        </w:rPr>
        <w:t>st</w:t>
      </w:r>
      <w:r>
        <w:rPr>
          <w:rFonts w:ascii="Arial Narrow;Arial;Helvetica;sans-serif" w:hAnsi="Arial Narrow;Arial;Helvetica;sans-serif"/>
          <w:b w:val="false"/>
          <w:i w:val="false"/>
          <w:caps w:val="false"/>
          <w:smallCaps w:val="false"/>
          <w:color w:val="000000"/>
          <w:sz w:val="19"/>
        </w:rPr>
        <w:t xml:space="preserve"> immediately preceding the performance period.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52" w:after="283"/>
        <w:ind w:left="1320" w:right="0" w:hanging="0"/>
        <w:jc w:val="left"/>
        <w:rPr>
          <w:caps w:val="false"/>
          <w:smallCaps w:val="false"/>
          <w:color w:val="000000"/>
        </w:rPr>
      </w:pPr>
      <w:r>
        <w:rPr>
          <w:caps w:val="false"/>
          <w:smallCaps w:val="false"/>
          <w:color w:val="000000"/>
        </w:rPr>
        <w:t>“</w:t>
      </w:r>
      <w:r>
        <w:rPr>
          <w:rFonts w:ascii="Arial Narrow;Arial;Helvetica;sans-serif" w:hAnsi="Arial Narrow;Arial;Helvetica;sans-serif"/>
          <w:b w:val="false"/>
          <w:i/>
          <w:caps w:val="false"/>
          <w:smallCaps w:val="false"/>
          <w:color w:val="000000"/>
          <w:sz w:val="19"/>
        </w:rPr>
        <w:t>Adjusted tangible common equity per share of common stock”</w:t>
      </w:r>
      <w:r>
        <w:rPr>
          <w:rFonts w:ascii="Arial Narrow;Arial;Helvetica;sans-serif" w:hAnsi="Arial Narrow;Arial;Helvetica;sans-serif"/>
          <w:b w:val="false"/>
          <w:i w:val="false"/>
          <w:caps w:val="false"/>
          <w:smallCaps w:val="false"/>
          <w:color w:val="000000"/>
          <w:sz w:val="19"/>
        </w:rPr>
        <w:t xml:space="preserve"> is calculated as (i) adjusted tangible common equity, divided by (ii) the number of shares of common stock outstanding.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26</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920" w:right="0" w:hanging="0"/>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PRSU Threshold, Target and Maximum Performance Levels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defines payout levels representing the number of PRSUs to be earned by executive officers based on the level of actual performance relative to the target. The Committee believes that it has set the performance goals at a rigorous and challenging level so as to require significant effort and achievement by our executive officers, and that such goal has been established in light of our internal forecast.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number of PRSUs that will be eligible to be earned and become vested for participants will be based upon both continued employment (subject to certain exceptions described under “Potential Payments upon Termination or Change in Control — Equity Awards” below) and the achievement of the performance metrics during the performance period, with payout for achievement of threshold, target and maximum performance levels for NEOs set at 50%, 100% and 200% of the target number of PRSUs, respectively. Performance falling between these levels will be determined by linear interpolation.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has discretion to adjust final results in the event of unusual or nonrecurring events. Ultimately, the Committee will approve the performance achievement percentages and the determination of the number of PRSUs earned based on the outcome of the formula.</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2025 Grants of PRSUs and Service-Based RSUs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sets forth the value of the PRSU and Service-Based RSU grants to our NEOs in 2025, and the number of shares of common stock subject to such award, with the PRSU amounts reflected at target performance:</w:t>
      </w:r>
      <w:r>
        <w:rPr>
          <w:rFonts w:ascii="Arial Narrow;Arial;Helvetica;sans-serif" w:hAnsi="Arial Narrow;Arial;Helvetica;sans-serif"/>
          <w:b w:val="false"/>
          <w:i w:val="false"/>
          <w:caps w:val="false"/>
          <w:smallCaps w:val="false"/>
          <w:color w:val="000000"/>
          <w:spacing w:val="4"/>
          <w:sz w:val="19"/>
        </w:rPr>
        <w:t xml:space="preserve"> </w:t>
      </w:r>
    </w:p>
    <w:tbl>
      <w:tblPr>
        <w:tblW w:w="11247" w:type="dxa"/>
        <w:jc w:val="left"/>
        <w:tblInd w:w="920" w:type="dxa"/>
        <w:tblLayout w:type="fixed"/>
        <w:tblCellMar>
          <w:top w:w="0" w:type="dxa"/>
          <w:left w:w="0" w:type="dxa"/>
          <w:bottom w:w="28" w:type="dxa"/>
          <w:right w:w="0" w:type="dxa"/>
        </w:tblCellMar>
      </w:tblPr>
      <w:tblGrid>
        <w:gridCol w:w="124"/>
        <w:gridCol w:w="1126"/>
        <w:gridCol w:w="109"/>
        <w:gridCol w:w="109"/>
        <w:gridCol w:w="109"/>
        <w:gridCol w:w="109"/>
        <w:gridCol w:w="109"/>
        <w:gridCol w:w="886"/>
        <w:gridCol w:w="109"/>
        <w:gridCol w:w="109"/>
        <w:gridCol w:w="109"/>
        <w:gridCol w:w="109"/>
        <w:gridCol w:w="249"/>
        <w:gridCol w:w="249"/>
        <w:gridCol w:w="1067"/>
        <w:gridCol w:w="251"/>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886"/>
        <w:gridCol w:w="10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12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NEO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2024</w:t>
              <w:br/>
              <w:t>BASE SALARY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1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2025 TARGET</w:t>
              <w:br/>
              <w:t>LONG-TERM</w:t>
              <w:br/>
              <w:t>INCENTIVE</w:t>
              <w:br/>
              <w:t>OPPORTUNITY</w:t>
              <w:br/>
              <w:t>(AS A % OF BASE</w:t>
              <w:br/>
              <w:t>SALARY)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PRSUs AT</w:t>
              <w:br/>
              <w:t>TARGET</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PRSUs AT</w:t>
              <w:br/>
              <w:t>TARGET</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SERVICE-</w:t>
              <w:br/>
              <w:t>BASED</w:t>
              <w:br/>
              <w:t>RSUs</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SERVICE-</w:t>
              <w:br/>
              <w:t>BASED</w:t>
              <w:br/>
              <w:t>RSUs</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966,625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tcMar>
              <w:bottom w:w="65" w:type="dxa"/>
            </w:tcMar>
            <w:vAlign w:val="center"/>
          </w:tcPr>
          <w:p>
            <w:pPr>
              <w:pStyle w:val="TableContents"/>
              <w:bidi w:val="0"/>
              <w:spacing w:before="0" w:after="283"/>
              <w:jc w:val="right"/>
              <w:rPr/>
            </w:pPr>
            <w:r>
              <w:rPr/>
              <w:t>​</w:t>
            </w:r>
          </w:p>
        </w:tc>
        <w:tc>
          <w:tcPr>
            <w:tcW w:w="106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2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483,313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131,334</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483,313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131,334</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572,000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tcMar>
              <w:bottom w:w="65" w:type="dxa"/>
            </w:tcMar>
            <w:vAlign w:val="center"/>
          </w:tcPr>
          <w:p>
            <w:pPr>
              <w:pStyle w:val="TableContents"/>
              <w:bidi w:val="0"/>
              <w:spacing w:before="0" w:after="283"/>
              <w:jc w:val="right"/>
              <w:rPr/>
            </w:pPr>
            <w:r>
              <w:rPr/>
              <w:t>​</w:t>
            </w:r>
          </w:p>
        </w:tc>
        <w:tc>
          <w:tcPr>
            <w:tcW w:w="106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2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286,000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77,717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286,000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77,717</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669,955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tcMar>
              <w:bottom w:w="65" w:type="dxa"/>
            </w:tcMar>
            <w:vAlign w:val="center"/>
          </w:tcPr>
          <w:p>
            <w:pPr>
              <w:pStyle w:val="TableContents"/>
              <w:bidi w:val="0"/>
              <w:spacing w:before="0" w:after="283"/>
              <w:jc w:val="right"/>
              <w:rPr/>
            </w:pPr>
            <w:r>
              <w:rPr/>
              <w:t>​</w:t>
            </w:r>
          </w:p>
        </w:tc>
        <w:tc>
          <w:tcPr>
            <w:tcW w:w="106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2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334,977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91,026</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334,977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91,026</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442,000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tcMar>
              <w:bottom w:w="65" w:type="dxa"/>
            </w:tcMar>
            <w:vAlign w:val="center"/>
          </w:tcPr>
          <w:p>
            <w:pPr>
              <w:pStyle w:val="TableContents"/>
              <w:bidi w:val="0"/>
              <w:spacing w:before="0" w:after="283"/>
              <w:jc w:val="right"/>
              <w:rPr/>
            </w:pPr>
            <w:r>
              <w:rPr/>
              <w:t>​</w:t>
            </w:r>
          </w:p>
        </w:tc>
        <w:tc>
          <w:tcPr>
            <w:tcW w:w="106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2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221,000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60,054</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221,000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60,054</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360,000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tcMar>
              <w:bottom w:w="65" w:type="dxa"/>
            </w:tcMar>
            <w:vAlign w:val="center"/>
          </w:tcPr>
          <w:p>
            <w:pPr>
              <w:pStyle w:val="TableContents"/>
              <w:bidi w:val="0"/>
              <w:spacing w:before="0" w:after="283"/>
              <w:jc w:val="right"/>
              <w:rPr/>
            </w:pPr>
            <w:r>
              <w:rPr/>
              <w:t>​</w:t>
            </w:r>
          </w:p>
        </w:tc>
        <w:tc>
          <w:tcPr>
            <w:tcW w:w="1067" w:type="dxa"/>
            <w:tcBorders>
              <w:bottom w:val="single" w:sz="2" w:space="0" w:color="BFBFBF"/>
            </w:tcBorders>
            <w:tcMar>
              <w:bottom w:w="65" w:type="dxa"/>
            </w:tcMar>
            <w:vAlign w:val="center"/>
          </w:tcPr>
          <w:p>
            <w:pPr>
              <w:pStyle w:val="TableContents"/>
              <w:bidi w:val="0"/>
              <w:spacing w:before="0" w:after="283"/>
              <w:jc w:val="right"/>
              <w:rPr/>
            </w:pPr>
            <w:r>
              <w:rPr/>
              <w:t>75</w:t>
            </w:r>
          </w:p>
        </w:tc>
        <w:tc>
          <w:tcPr>
            <w:tcW w:w="2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135,000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36,684</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135,000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36,684</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126" w:type="dxa"/>
            <w:tcBorders>
              <w:bottom w:val="single" w:sz="2" w:space="0" w:color="BFBFBF"/>
            </w:tcBorders>
            <w:tcMar>
              <w:bottom w:w="65" w:type="dxa"/>
            </w:tcMar>
            <w:vAlign w:val="center"/>
          </w:tcPr>
          <w:p>
            <w:pPr>
              <w:pStyle w:val="TableContents"/>
              <w:bidi w:val="0"/>
              <w:spacing w:before="0" w:after="283"/>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n/a</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vAlign w:val="center"/>
          </w:tcPr>
          <w:p>
            <w:pPr>
              <w:pStyle w:val="TableContents"/>
              <w:bidi w:val="0"/>
              <w:spacing w:before="0" w:after="283"/>
              <w:jc w:val="left"/>
              <w:rPr/>
            </w:pPr>
            <w:r>
              <w:rPr/>
              <w:t>​</w:t>
            </w:r>
          </w:p>
        </w:tc>
        <w:tc>
          <w:tcPr>
            <w:tcW w:w="249" w:type="dxa"/>
            <w:tcBorders>
              <w:bottom w:val="single" w:sz="2" w:space="0" w:color="BFBFBF"/>
            </w:tcBorders>
            <w:tcMar>
              <w:bottom w:w="65" w:type="dxa"/>
            </w:tcMar>
            <w:vAlign w:val="center"/>
          </w:tcPr>
          <w:p>
            <w:pPr>
              <w:pStyle w:val="TableContents"/>
              <w:bidi w:val="0"/>
              <w:spacing w:before="0" w:after="283"/>
              <w:jc w:val="right"/>
              <w:rPr/>
            </w:pPr>
            <w:r>
              <w:rPr/>
              <w:t>​</w:t>
            </w:r>
          </w:p>
        </w:tc>
        <w:tc>
          <w:tcPr>
            <w:tcW w:w="1067" w:type="dxa"/>
            <w:tcBorders>
              <w:bottom w:val="single" w:sz="2" w:space="0" w:color="BFBFBF"/>
            </w:tcBorders>
            <w:tcMar>
              <w:bottom w:w="65" w:type="dxa"/>
            </w:tcMar>
            <w:vAlign w:val="center"/>
          </w:tcPr>
          <w:p>
            <w:pPr>
              <w:pStyle w:val="TableContents"/>
              <w:bidi w:val="0"/>
              <w:spacing w:before="0" w:after="283"/>
              <w:jc w:val="right"/>
              <w:rPr/>
            </w:pPr>
            <w:r>
              <w:rPr/>
              <w:t>n/a</w:t>
            </w:r>
          </w:p>
        </w:tc>
        <w:tc>
          <w:tcPr>
            <w:tcW w:w="2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250,000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886" w:type="dxa"/>
            <w:tcBorders>
              <w:bottom w:val="single" w:sz="2" w:space="0" w:color="BFBFBF"/>
            </w:tcBorders>
            <w:tcMar>
              <w:bottom w:w="65" w:type="dxa"/>
            </w:tcMar>
            <w:vAlign w:val="center"/>
          </w:tcPr>
          <w:p>
            <w:pPr>
              <w:pStyle w:val="TableContents"/>
              <w:bidi w:val="0"/>
              <w:spacing w:before="0" w:after="283"/>
              <w:jc w:val="right"/>
              <w:rPr/>
            </w:pPr>
            <w:r>
              <w:rPr/>
              <w:t>42,955</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67"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Sutherland was issued an off-cycle Service-Based RSU award on August 6, 2025, for his promotion.</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06045" distB="0" distL="254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39"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5pt;mso-wrap-distance-bottom:0pt;margin-top:8.35pt;mso-position-vertical:top;mso-position-vertical-relative:text;margin-left:20pt;mso-position-horizontal:left;mso-position-horizontal-relative:text">
                <v:textbox>
                  <w:txbxContent>
                    <w:p>
                      <w:pPr>
                        <w:pStyle w:val="TextBody"/>
                        <w:bidi w:val="0"/>
                        <w:spacing w:lineRule="atLeast" w:line="226" w:before="0" w:after="283"/>
                        <w:jc w:val="left"/>
                        <w:rPr/>
                      </w:pPr>
                      <w:r>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2023-2025 PRSUs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performance period for the PRSUs granted in 2023 ended as of December 31, 2025 (the “2023-2025 PRSUs”), and the Committee certified performance for such PRSUs in March 2026 against the targets set at the beginning of the three-year performance period. The performance metrics for the 2023-2025 PRSUs included (i) the Company’s adjusted operating return on average adjusted tangible common equity, and (ii) growth in adjusted tangible common equity per share of common stock. The table below shows the weighting, goal targets, and the actual level of achievement on each of these goals.</w:t>
      </w:r>
      <w:r>
        <w:rPr>
          <w:rFonts w:ascii="Arial Narrow;Arial;Helvetica;sans-serif" w:hAnsi="Arial Narrow;Arial;Helvetica;sans-serif"/>
          <w:b w:val="false"/>
          <w:i w:val="false"/>
          <w:caps w:val="false"/>
          <w:smallCaps w:val="false"/>
          <w:color w:val="000000"/>
          <w:spacing w:val="4"/>
          <w:sz w:val="19"/>
        </w:rPr>
        <w:t xml:space="preserve"> </w:t>
      </w:r>
    </w:p>
    <w:tbl>
      <w:tblPr>
        <w:tblW w:w="14095" w:type="dxa"/>
        <w:jc w:val="left"/>
        <w:tblInd w:w="920" w:type="dxa"/>
        <w:tblLayout w:type="fixed"/>
        <w:tblCellMar>
          <w:top w:w="0" w:type="dxa"/>
          <w:left w:w="0" w:type="dxa"/>
          <w:bottom w:w="28" w:type="dxa"/>
          <w:right w:w="0" w:type="dxa"/>
        </w:tblCellMar>
      </w:tblPr>
      <w:tblGrid>
        <w:gridCol w:w="124"/>
        <w:gridCol w:w="1921"/>
        <w:gridCol w:w="109"/>
        <w:gridCol w:w="109"/>
        <w:gridCol w:w="109"/>
        <w:gridCol w:w="172"/>
        <w:gridCol w:w="172"/>
        <w:gridCol w:w="548"/>
        <w:gridCol w:w="174"/>
        <w:gridCol w:w="109"/>
        <w:gridCol w:w="109"/>
        <w:gridCol w:w="109"/>
        <w:gridCol w:w="234"/>
        <w:gridCol w:w="234"/>
        <w:gridCol w:w="872"/>
        <w:gridCol w:w="236"/>
        <w:gridCol w:w="109"/>
        <w:gridCol w:w="109"/>
        <w:gridCol w:w="109"/>
        <w:gridCol w:w="138"/>
        <w:gridCol w:w="138"/>
        <w:gridCol w:w="666"/>
        <w:gridCol w:w="139"/>
        <w:gridCol w:w="109"/>
        <w:gridCol w:w="109"/>
        <w:gridCol w:w="109"/>
        <w:gridCol w:w="172"/>
        <w:gridCol w:w="172"/>
        <w:gridCol w:w="833"/>
        <w:gridCol w:w="174"/>
        <w:gridCol w:w="109"/>
        <w:gridCol w:w="109"/>
        <w:gridCol w:w="109"/>
        <w:gridCol w:w="165"/>
        <w:gridCol w:w="165"/>
        <w:gridCol w:w="615"/>
        <w:gridCol w:w="166"/>
        <w:gridCol w:w="109"/>
        <w:gridCol w:w="109"/>
        <w:gridCol w:w="109"/>
        <w:gridCol w:w="218"/>
        <w:gridCol w:w="218"/>
        <w:gridCol w:w="1055"/>
        <w:gridCol w:w="220"/>
        <w:gridCol w:w="109"/>
        <w:gridCol w:w="109"/>
        <w:gridCol w:w="109"/>
        <w:gridCol w:w="218"/>
        <w:gridCol w:w="218"/>
        <w:gridCol w:w="1055"/>
        <w:gridCol w:w="220"/>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tcBorders>
              <w:bottom w:val="single" w:sz="12" w:space="0" w:color="3F3F3F"/>
            </w:tcBorders>
            <w:shd w:fill="F2F2F2" w:val="clear"/>
            <w:tcMar>
              <w:bottom w:w="127" w:type="dxa"/>
            </w:tcMar>
            <w:vAlign w:val="center"/>
          </w:tcPr>
          <w:p>
            <w:pPr>
              <w:pStyle w:val="TableContents"/>
              <w:bidi w:val="0"/>
              <w:spacing w:before="0" w:after="283"/>
              <w:jc w:val="left"/>
              <w:rPr/>
            </w:pPr>
            <w:r>
              <w:rPr/>
              <w:t xml:space="preserve">2023-2025 PRSU </w:t>
              <w:br/>
              <w:t xml:space="preserve">PERFORMANCE METRICS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6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WEIGHT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7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THRESHOLD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8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TARGET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5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MAXIMUM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ACTUAL</w:t>
              <w:br/>
              <w:t xml:space="preserve">RESULT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ACHIEVED</w:t>
              <w:br/>
              <w:t>PAYOUT</w:t>
              <w:br/>
              <w:t xml:space="preserve">PERCENTAGE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7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WEIGHTED</w:t>
              <w:br/>
              <w:t>ACHIEVED</w:t>
              <w:br/>
              <w:t>PAYOUT</w:t>
              <w:br/>
              <w:t xml:space="preserve">PERCENTAGE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21" w:type="dxa"/>
            <w:tcBorders>
              <w:bottom w:val="single" w:sz="2" w:space="0" w:color="BFBFBF"/>
            </w:tcBorders>
            <w:tcMar>
              <w:bottom w:w="53" w:type="dxa"/>
            </w:tcMar>
            <w:vAlign w:val="center"/>
          </w:tcPr>
          <w:p>
            <w:pPr>
              <w:pStyle w:val="TableContents"/>
              <w:bidi w:val="0"/>
              <w:spacing w:before="0" w:after="283"/>
              <w:jc w:val="left"/>
              <w:rPr/>
            </w:pPr>
            <w:r>
              <w:rPr/>
              <w:t xml:space="preserve">Adjusted operating return on </w:t>
              <w:br/>
              <w:t xml:space="preserve">average adjusted tangible </w:t>
              <w:br/>
              <w:t xml:space="preserve">common equity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548" w:type="dxa"/>
            <w:tcBorders>
              <w:bottom w:val="single" w:sz="2" w:space="0" w:color="BFBFBF"/>
            </w:tcBorders>
            <w:tcMar>
              <w:bottom w:w="53" w:type="dxa"/>
            </w:tcMar>
            <w:vAlign w:val="center"/>
          </w:tcPr>
          <w:p>
            <w:pPr>
              <w:pStyle w:val="TableContents"/>
              <w:bidi w:val="0"/>
              <w:spacing w:before="0" w:after="283"/>
              <w:jc w:val="right"/>
              <w:rPr/>
            </w:pPr>
            <w:r>
              <w:rPr/>
              <w:t>50%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3" w:type="dxa"/>
            </w:tcMar>
            <w:vAlign w:val="center"/>
          </w:tcPr>
          <w:p>
            <w:pPr>
              <w:pStyle w:val="TableContents"/>
              <w:bidi w:val="0"/>
              <w:spacing w:before="0" w:after="283"/>
              <w:jc w:val="right"/>
              <w:rPr/>
            </w:pPr>
            <w:r>
              <w:rPr/>
              <w:t>​</w:t>
            </w:r>
          </w:p>
        </w:tc>
        <w:tc>
          <w:tcPr>
            <w:tcW w:w="872" w:type="dxa"/>
            <w:tcBorders>
              <w:bottom w:val="single" w:sz="2" w:space="0" w:color="BFBFBF"/>
            </w:tcBorders>
            <w:tcMar>
              <w:bottom w:w="53" w:type="dxa"/>
            </w:tcMar>
            <w:vAlign w:val="center"/>
          </w:tcPr>
          <w:p>
            <w:pPr>
              <w:pStyle w:val="TableContents"/>
              <w:bidi w:val="0"/>
              <w:spacing w:before="0" w:after="283"/>
              <w:jc w:val="right"/>
              <w:rPr/>
            </w:pPr>
            <w:r>
              <w:rPr/>
              <w:t>6.5%</w:t>
            </w:r>
          </w:p>
        </w:tc>
        <w:tc>
          <w:tcPr>
            <w:tcW w:w="2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 w:type="dxa"/>
            <w:tcBorders>
              <w:bottom w:val="single" w:sz="2" w:space="0" w:color="BFBFBF"/>
            </w:tcBorders>
            <w:vAlign w:val="center"/>
          </w:tcPr>
          <w:p>
            <w:pPr>
              <w:pStyle w:val="TableContents"/>
              <w:bidi w:val="0"/>
              <w:spacing w:before="0" w:after="283"/>
              <w:jc w:val="left"/>
              <w:rPr/>
            </w:pPr>
            <w:r>
              <w:rPr/>
              <w:t>​</w:t>
            </w:r>
          </w:p>
        </w:tc>
        <w:tc>
          <w:tcPr>
            <w:tcW w:w="138" w:type="dxa"/>
            <w:tcBorders>
              <w:bottom w:val="single" w:sz="2" w:space="0" w:color="BFBFBF"/>
            </w:tcBorders>
            <w:tcMar>
              <w:bottom w:w="53" w:type="dxa"/>
            </w:tcMar>
            <w:vAlign w:val="center"/>
          </w:tcPr>
          <w:p>
            <w:pPr>
              <w:pStyle w:val="TableContents"/>
              <w:bidi w:val="0"/>
              <w:spacing w:before="0" w:after="283"/>
              <w:jc w:val="right"/>
              <w:rPr/>
            </w:pPr>
            <w:r>
              <w:rPr/>
              <w:t>​</w:t>
            </w:r>
          </w:p>
        </w:tc>
        <w:tc>
          <w:tcPr>
            <w:tcW w:w="666" w:type="dxa"/>
            <w:tcBorders>
              <w:bottom w:val="single" w:sz="2" w:space="0" w:color="BFBFBF"/>
            </w:tcBorders>
            <w:tcMar>
              <w:bottom w:w="53" w:type="dxa"/>
            </w:tcMar>
            <w:vAlign w:val="center"/>
          </w:tcPr>
          <w:p>
            <w:pPr>
              <w:pStyle w:val="TableContents"/>
              <w:bidi w:val="0"/>
              <w:spacing w:before="0" w:after="283"/>
              <w:jc w:val="right"/>
              <w:rPr/>
            </w:pPr>
            <w:r>
              <w:rPr/>
              <w:t>12.9%</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833" w:type="dxa"/>
            <w:tcBorders>
              <w:bottom w:val="single" w:sz="2" w:space="0" w:color="BFBFBF"/>
            </w:tcBorders>
            <w:tcMar>
              <w:bottom w:w="53" w:type="dxa"/>
            </w:tcMar>
            <w:vAlign w:val="center"/>
          </w:tcPr>
          <w:p>
            <w:pPr>
              <w:pStyle w:val="TableContents"/>
              <w:bidi w:val="0"/>
              <w:spacing w:before="0" w:after="283"/>
              <w:jc w:val="right"/>
              <w:rPr/>
            </w:pPr>
            <w:r>
              <w:rPr/>
              <w:t>19.4%</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 w:type="dxa"/>
            <w:tcBorders>
              <w:bottom w:val="single" w:sz="2" w:space="0" w:color="BFBFBF"/>
            </w:tcBorders>
            <w:vAlign w:val="center"/>
          </w:tcPr>
          <w:p>
            <w:pPr>
              <w:pStyle w:val="TableContents"/>
              <w:bidi w:val="0"/>
              <w:spacing w:before="0" w:after="283"/>
              <w:jc w:val="left"/>
              <w:rPr/>
            </w:pPr>
            <w:r>
              <w:rPr/>
              <w:t>​</w:t>
            </w:r>
          </w:p>
        </w:tc>
        <w:tc>
          <w:tcPr>
            <w:tcW w:w="165" w:type="dxa"/>
            <w:tcBorders>
              <w:bottom w:val="single" w:sz="2" w:space="0" w:color="BFBFBF"/>
            </w:tcBorders>
            <w:tcMar>
              <w:bottom w:w="53" w:type="dxa"/>
            </w:tcMar>
            <w:vAlign w:val="center"/>
          </w:tcPr>
          <w:p>
            <w:pPr>
              <w:pStyle w:val="TableContents"/>
              <w:bidi w:val="0"/>
              <w:spacing w:before="0" w:after="283"/>
              <w:jc w:val="right"/>
              <w:rPr/>
            </w:pPr>
            <w:r>
              <w:rPr/>
              <w:t>​</w:t>
            </w:r>
          </w:p>
        </w:tc>
        <w:tc>
          <w:tcPr>
            <w:tcW w:w="615" w:type="dxa"/>
            <w:tcBorders>
              <w:bottom w:val="single" w:sz="2" w:space="0" w:color="BFBFBF"/>
            </w:tcBorders>
            <w:tcMar>
              <w:bottom w:w="53" w:type="dxa"/>
            </w:tcMar>
            <w:vAlign w:val="center"/>
          </w:tcPr>
          <w:p>
            <w:pPr>
              <w:pStyle w:val="TableContents"/>
              <w:bidi w:val="0"/>
              <w:spacing w:before="0" w:after="283"/>
              <w:jc w:val="right"/>
              <w:rPr/>
            </w:pPr>
            <w:r>
              <w:rPr/>
              <w:t>8.9%</w:t>
            </w:r>
          </w:p>
        </w:tc>
        <w:tc>
          <w:tcPr>
            <w:tcW w:w="1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53" w:type="dxa"/>
            </w:tcMar>
            <w:vAlign w:val="center"/>
          </w:tcPr>
          <w:p>
            <w:pPr>
              <w:pStyle w:val="TableContents"/>
              <w:bidi w:val="0"/>
              <w:spacing w:before="0" w:after="283"/>
              <w:jc w:val="right"/>
              <w:rPr/>
            </w:pPr>
            <w:r>
              <w:rPr/>
              <w:t>​</w:t>
            </w:r>
          </w:p>
        </w:tc>
        <w:tc>
          <w:tcPr>
            <w:tcW w:w="1055" w:type="dxa"/>
            <w:tcBorders>
              <w:bottom w:val="single" w:sz="2" w:space="0" w:color="BFBFBF"/>
            </w:tcBorders>
            <w:tcMar>
              <w:bottom w:w="53" w:type="dxa"/>
            </w:tcMar>
            <w:vAlign w:val="center"/>
          </w:tcPr>
          <w:p>
            <w:pPr>
              <w:pStyle w:val="TableContents"/>
              <w:bidi w:val="0"/>
              <w:spacing w:before="0" w:after="283"/>
              <w:jc w:val="right"/>
              <w:rPr/>
            </w:pPr>
            <w:r>
              <w:rPr/>
              <w:t>68.7%</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53" w:type="dxa"/>
            </w:tcMar>
            <w:vAlign w:val="center"/>
          </w:tcPr>
          <w:p>
            <w:pPr>
              <w:pStyle w:val="TableContents"/>
              <w:bidi w:val="0"/>
              <w:spacing w:before="0" w:after="283"/>
              <w:jc w:val="right"/>
              <w:rPr/>
            </w:pPr>
            <w:r>
              <w:rPr/>
              <w:t>​</w:t>
            </w:r>
          </w:p>
        </w:tc>
        <w:tc>
          <w:tcPr>
            <w:tcW w:w="1055" w:type="dxa"/>
            <w:tcBorders>
              <w:bottom w:val="single" w:sz="2" w:space="0" w:color="BFBFBF"/>
            </w:tcBorders>
            <w:tcMar>
              <w:bottom w:w="53" w:type="dxa"/>
            </w:tcMar>
            <w:vAlign w:val="center"/>
          </w:tcPr>
          <w:p>
            <w:pPr>
              <w:pStyle w:val="TableContents"/>
              <w:bidi w:val="0"/>
              <w:spacing w:before="0" w:after="283"/>
              <w:jc w:val="right"/>
              <w:rPr/>
            </w:pPr>
            <w:r>
              <w:rPr/>
              <w:t>34.3%</w:t>
            </w:r>
          </w:p>
        </w:tc>
        <w:tc>
          <w:tcPr>
            <w:tcW w:w="220"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21" w:type="dxa"/>
            <w:tcBorders>
              <w:bottom w:val="single" w:sz="2" w:space="0" w:color="BFBFBF"/>
            </w:tcBorders>
            <w:tcMar>
              <w:bottom w:w="53" w:type="dxa"/>
            </w:tcMar>
            <w:vAlign w:val="center"/>
          </w:tcPr>
          <w:p>
            <w:pPr>
              <w:pStyle w:val="TableContents"/>
              <w:bidi w:val="0"/>
              <w:spacing w:before="0" w:after="283"/>
              <w:jc w:val="left"/>
              <w:rPr/>
            </w:pPr>
            <w:r>
              <w:rPr/>
              <w:t xml:space="preserve">Growth in adjusted tangible </w:t>
              <w:br/>
              <w:t xml:space="preserve">common equity per share of </w:t>
              <w:br/>
              <w:t xml:space="preserve">common stock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548" w:type="dxa"/>
            <w:tcBorders>
              <w:bottom w:val="single" w:sz="2" w:space="0" w:color="BFBFBF"/>
            </w:tcBorders>
            <w:tcMar>
              <w:bottom w:w="53" w:type="dxa"/>
            </w:tcMar>
            <w:vAlign w:val="center"/>
          </w:tcPr>
          <w:p>
            <w:pPr>
              <w:pStyle w:val="TableContents"/>
              <w:bidi w:val="0"/>
              <w:spacing w:before="0" w:after="283"/>
              <w:jc w:val="right"/>
              <w:rPr/>
            </w:pPr>
            <w:r>
              <w:rPr/>
              <w:t>50%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3" w:type="dxa"/>
            </w:tcMar>
            <w:vAlign w:val="center"/>
          </w:tcPr>
          <w:p>
            <w:pPr>
              <w:pStyle w:val="TableContents"/>
              <w:bidi w:val="0"/>
              <w:spacing w:before="0" w:after="283"/>
              <w:jc w:val="right"/>
              <w:rPr/>
            </w:pPr>
            <w:r>
              <w:rPr/>
              <w:t>​</w:t>
            </w:r>
          </w:p>
        </w:tc>
        <w:tc>
          <w:tcPr>
            <w:tcW w:w="872" w:type="dxa"/>
            <w:tcBorders>
              <w:bottom w:val="single" w:sz="2" w:space="0" w:color="BFBFBF"/>
            </w:tcBorders>
            <w:tcMar>
              <w:bottom w:w="53" w:type="dxa"/>
            </w:tcMar>
            <w:vAlign w:val="center"/>
          </w:tcPr>
          <w:p>
            <w:pPr>
              <w:pStyle w:val="TableContents"/>
              <w:bidi w:val="0"/>
              <w:spacing w:before="0" w:after="283"/>
              <w:jc w:val="right"/>
              <w:rPr/>
            </w:pPr>
            <w:r>
              <w:rPr/>
              <w:t>4.1%</w:t>
            </w:r>
          </w:p>
        </w:tc>
        <w:tc>
          <w:tcPr>
            <w:tcW w:w="2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 w:type="dxa"/>
            <w:tcBorders>
              <w:bottom w:val="single" w:sz="2" w:space="0" w:color="BFBFBF"/>
            </w:tcBorders>
            <w:vAlign w:val="center"/>
          </w:tcPr>
          <w:p>
            <w:pPr>
              <w:pStyle w:val="TableContents"/>
              <w:bidi w:val="0"/>
              <w:spacing w:before="0" w:after="283"/>
              <w:jc w:val="left"/>
              <w:rPr/>
            </w:pPr>
            <w:r>
              <w:rPr/>
              <w:t>​</w:t>
            </w:r>
          </w:p>
        </w:tc>
        <w:tc>
          <w:tcPr>
            <w:tcW w:w="138" w:type="dxa"/>
            <w:tcBorders>
              <w:bottom w:val="single" w:sz="2" w:space="0" w:color="BFBFBF"/>
            </w:tcBorders>
            <w:tcMar>
              <w:bottom w:w="53" w:type="dxa"/>
            </w:tcMar>
            <w:vAlign w:val="center"/>
          </w:tcPr>
          <w:p>
            <w:pPr>
              <w:pStyle w:val="TableContents"/>
              <w:bidi w:val="0"/>
              <w:spacing w:before="0" w:after="283"/>
              <w:jc w:val="right"/>
              <w:rPr/>
            </w:pPr>
            <w:r>
              <w:rPr/>
              <w:t>​</w:t>
            </w:r>
          </w:p>
        </w:tc>
        <w:tc>
          <w:tcPr>
            <w:tcW w:w="666" w:type="dxa"/>
            <w:tcBorders>
              <w:bottom w:val="single" w:sz="2" w:space="0" w:color="BFBFBF"/>
            </w:tcBorders>
            <w:tcMar>
              <w:bottom w:w="53" w:type="dxa"/>
            </w:tcMar>
            <w:vAlign w:val="center"/>
          </w:tcPr>
          <w:p>
            <w:pPr>
              <w:pStyle w:val="TableContents"/>
              <w:bidi w:val="0"/>
              <w:spacing w:before="0" w:after="283"/>
              <w:jc w:val="right"/>
              <w:rPr/>
            </w:pPr>
            <w:r>
              <w:rPr/>
              <w:t>8.2%</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833" w:type="dxa"/>
            <w:tcBorders>
              <w:bottom w:val="single" w:sz="2" w:space="0" w:color="BFBFBF"/>
            </w:tcBorders>
            <w:tcMar>
              <w:bottom w:w="53" w:type="dxa"/>
            </w:tcMar>
            <w:vAlign w:val="center"/>
          </w:tcPr>
          <w:p>
            <w:pPr>
              <w:pStyle w:val="TableContents"/>
              <w:bidi w:val="0"/>
              <w:spacing w:before="0" w:after="283"/>
              <w:jc w:val="right"/>
              <w:rPr/>
            </w:pPr>
            <w:r>
              <w:rPr/>
              <w:t>12.3%</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 w:type="dxa"/>
            <w:tcBorders>
              <w:bottom w:val="single" w:sz="2" w:space="0" w:color="BFBFBF"/>
            </w:tcBorders>
            <w:vAlign w:val="center"/>
          </w:tcPr>
          <w:p>
            <w:pPr>
              <w:pStyle w:val="TableContents"/>
              <w:bidi w:val="0"/>
              <w:spacing w:before="0" w:after="283"/>
              <w:jc w:val="left"/>
              <w:rPr/>
            </w:pPr>
            <w:r>
              <w:rPr/>
              <w:t>​</w:t>
            </w:r>
          </w:p>
        </w:tc>
        <w:tc>
          <w:tcPr>
            <w:tcW w:w="165" w:type="dxa"/>
            <w:tcBorders>
              <w:bottom w:val="single" w:sz="2" w:space="0" w:color="BFBFBF"/>
            </w:tcBorders>
            <w:tcMar>
              <w:bottom w:w="53" w:type="dxa"/>
            </w:tcMar>
            <w:vAlign w:val="center"/>
          </w:tcPr>
          <w:p>
            <w:pPr>
              <w:pStyle w:val="TableContents"/>
              <w:bidi w:val="0"/>
              <w:spacing w:before="0" w:after="283"/>
              <w:jc w:val="right"/>
              <w:rPr/>
            </w:pPr>
            <w:r>
              <w:rPr/>
              <w:t>​</w:t>
            </w:r>
          </w:p>
        </w:tc>
        <w:tc>
          <w:tcPr>
            <w:tcW w:w="615" w:type="dxa"/>
            <w:tcBorders>
              <w:bottom w:val="single" w:sz="2" w:space="0" w:color="BFBFBF"/>
            </w:tcBorders>
            <w:tcMar>
              <w:bottom w:w="53" w:type="dxa"/>
            </w:tcMar>
            <w:vAlign w:val="center"/>
          </w:tcPr>
          <w:p>
            <w:pPr>
              <w:pStyle w:val="TableContents"/>
              <w:bidi w:val="0"/>
              <w:spacing w:before="0" w:after="283"/>
              <w:jc w:val="right"/>
              <w:rPr/>
            </w:pPr>
            <w:r>
              <w:rPr/>
              <w:t>6.4%</w:t>
            </w:r>
          </w:p>
        </w:tc>
        <w:tc>
          <w:tcPr>
            <w:tcW w:w="1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53" w:type="dxa"/>
            </w:tcMar>
            <w:vAlign w:val="center"/>
          </w:tcPr>
          <w:p>
            <w:pPr>
              <w:pStyle w:val="TableContents"/>
              <w:bidi w:val="0"/>
              <w:spacing w:before="0" w:after="283"/>
              <w:jc w:val="right"/>
              <w:rPr/>
            </w:pPr>
            <w:r>
              <w:rPr/>
              <w:t>​</w:t>
            </w:r>
          </w:p>
        </w:tc>
        <w:tc>
          <w:tcPr>
            <w:tcW w:w="1055" w:type="dxa"/>
            <w:tcBorders>
              <w:bottom w:val="single" w:sz="2" w:space="0" w:color="BFBFBF"/>
            </w:tcBorders>
            <w:tcMar>
              <w:bottom w:w="53" w:type="dxa"/>
            </w:tcMar>
            <w:vAlign w:val="center"/>
          </w:tcPr>
          <w:p>
            <w:pPr>
              <w:pStyle w:val="TableContents"/>
              <w:bidi w:val="0"/>
              <w:spacing w:before="0" w:after="283"/>
              <w:jc w:val="right"/>
              <w:rPr/>
            </w:pPr>
            <w:r>
              <w:rPr/>
              <w:t>77.4%</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53" w:type="dxa"/>
            </w:tcMar>
            <w:vAlign w:val="center"/>
          </w:tcPr>
          <w:p>
            <w:pPr>
              <w:pStyle w:val="TableContents"/>
              <w:bidi w:val="0"/>
              <w:spacing w:before="0" w:after="283"/>
              <w:jc w:val="right"/>
              <w:rPr/>
            </w:pPr>
            <w:r>
              <w:rPr/>
              <w:t>​</w:t>
            </w:r>
          </w:p>
        </w:tc>
        <w:tc>
          <w:tcPr>
            <w:tcW w:w="1055" w:type="dxa"/>
            <w:tcBorders>
              <w:bottom w:val="single" w:sz="2" w:space="0" w:color="BFBFBF"/>
            </w:tcBorders>
            <w:tcMar>
              <w:bottom w:w="53" w:type="dxa"/>
            </w:tcMar>
            <w:vAlign w:val="center"/>
          </w:tcPr>
          <w:p>
            <w:pPr>
              <w:pStyle w:val="TableContents"/>
              <w:bidi w:val="0"/>
              <w:spacing w:before="0" w:after="283"/>
              <w:jc w:val="right"/>
              <w:rPr/>
            </w:pPr>
            <w:r>
              <w:rPr/>
              <w:t>38.7%</w:t>
            </w:r>
          </w:p>
        </w:tc>
        <w:tc>
          <w:tcPr>
            <w:tcW w:w="220"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21" w:type="dxa"/>
            <w:tcBorders>
              <w:bottom w:val="single" w:sz="2" w:space="0" w:color="BFBFBF"/>
            </w:tcBorders>
            <w:tcMar>
              <w:bottom w:w="53" w:type="dxa"/>
            </w:tcMar>
            <w:vAlign w:val="center"/>
          </w:tcPr>
          <w:p>
            <w:pPr>
              <w:pStyle w:val="TableContents"/>
              <w:bidi w:val="0"/>
              <w:spacing w:before="0" w:after="283"/>
              <w:jc w:val="left"/>
              <w:rPr/>
            </w:pPr>
            <w:r>
              <w:rPr/>
              <w:t xml:space="preserve">Total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548"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vAlign w:val="center"/>
          </w:tcPr>
          <w:p>
            <w:pPr>
              <w:pStyle w:val="TableContents"/>
              <w:bidi w:val="0"/>
              <w:spacing w:before="0" w:after="283"/>
              <w:jc w:val="left"/>
              <w:rPr/>
            </w:pPr>
            <w:r>
              <w:rPr/>
              <w:t>​</w:t>
            </w:r>
          </w:p>
        </w:tc>
        <w:tc>
          <w:tcPr>
            <w:tcW w:w="234" w:type="dxa"/>
            <w:tcBorders>
              <w:bottom w:val="single" w:sz="2" w:space="0" w:color="BFBFBF"/>
            </w:tcBorders>
            <w:tcMar>
              <w:bottom w:w="53" w:type="dxa"/>
            </w:tcMar>
            <w:vAlign w:val="center"/>
          </w:tcPr>
          <w:p>
            <w:pPr>
              <w:pStyle w:val="TableContents"/>
              <w:bidi w:val="0"/>
              <w:spacing w:before="0" w:after="283"/>
              <w:jc w:val="right"/>
              <w:rPr/>
            </w:pPr>
            <w:r>
              <w:rPr/>
              <w:t>​</w:t>
            </w:r>
          </w:p>
        </w:tc>
        <w:tc>
          <w:tcPr>
            <w:tcW w:w="872" w:type="dxa"/>
            <w:tcBorders>
              <w:bottom w:val="single" w:sz="2" w:space="0" w:color="BFBFBF"/>
            </w:tcBorders>
            <w:tcMar>
              <w:bottom w:w="53" w:type="dxa"/>
            </w:tcMar>
            <w:vAlign w:val="center"/>
          </w:tcPr>
          <w:p>
            <w:pPr>
              <w:pStyle w:val="TableContents"/>
              <w:bidi w:val="0"/>
              <w:spacing w:before="0" w:after="283"/>
              <w:jc w:val="right"/>
              <w:rPr/>
            </w:pPr>
            <w:r>
              <w:rPr/>
              <w:t>​</w:t>
            </w:r>
          </w:p>
        </w:tc>
        <w:tc>
          <w:tcPr>
            <w:tcW w:w="23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8" w:type="dxa"/>
            <w:tcBorders>
              <w:bottom w:val="single" w:sz="2" w:space="0" w:color="BFBFBF"/>
            </w:tcBorders>
            <w:vAlign w:val="center"/>
          </w:tcPr>
          <w:p>
            <w:pPr>
              <w:pStyle w:val="TableContents"/>
              <w:bidi w:val="0"/>
              <w:spacing w:before="0" w:after="283"/>
              <w:jc w:val="left"/>
              <w:rPr/>
            </w:pPr>
            <w:r>
              <w:rPr/>
              <w:t>​</w:t>
            </w:r>
          </w:p>
        </w:tc>
        <w:tc>
          <w:tcPr>
            <w:tcW w:w="138" w:type="dxa"/>
            <w:tcBorders>
              <w:bottom w:val="single" w:sz="2" w:space="0" w:color="BFBFBF"/>
            </w:tcBorders>
            <w:tcMar>
              <w:bottom w:w="53" w:type="dxa"/>
            </w:tcMar>
            <w:vAlign w:val="center"/>
          </w:tcPr>
          <w:p>
            <w:pPr>
              <w:pStyle w:val="TableContents"/>
              <w:bidi w:val="0"/>
              <w:spacing w:before="0" w:after="283"/>
              <w:jc w:val="right"/>
              <w:rPr/>
            </w:pPr>
            <w:r>
              <w:rPr/>
              <w:t>​</w:t>
            </w:r>
          </w:p>
        </w:tc>
        <w:tc>
          <w:tcPr>
            <w:tcW w:w="666" w:type="dxa"/>
            <w:tcBorders>
              <w:bottom w:val="single" w:sz="2" w:space="0" w:color="BFBFBF"/>
            </w:tcBorders>
            <w:tcMar>
              <w:bottom w:w="53" w:type="dxa"/>
            </w:tcMar>
            <w:vAlign w:val="center"/>
          </w:tcPr>
          <w:p>
            <w:pPr>
              <w:pStyle w:val="TableContents"/>
              <w:bidi w:val="0"/>
              <w:spacing w:before="0" w:after="283"/>
              <w:jc w:val="right"/>
              <w:rPr/>
            </w:pPr>
            <w:r>
              <w:rPr/>
              <w:t>​</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83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5" w:type="dxa"/>
            <w:tcBorders>
              <w:bottom w:val="single" w:sz="2" w:space="0" w:color="BFBFBF"/>
            </w:tcBorders>
            <w:vAlign w:val="center"/>
          </w:tcPr>
          <w:p>
            <w:pPr>
              <w:pStyle w:val="TableContents"/>
              <w:bidi w:val="0"/>
              <w:spacing w:before="0" w:after="283"/>
              <w:jc w:val="left"/>
              <w:rPr/>
            </w:pPr>
            <w:r>
              <w:rPr/>
              <w:t>​</w:t>
            </w:r>
          </w:p>
        </w:tc>
        <w:tc>
          <w:tcPr>
            <w:tcW w:w="165" w:type="dxa"/>
            <w:tcBorders>
              <w:bottom w:val="single" w:sz="2" w:space="0" w:color="BFBFBF"/>
            </w:tcBorders>
            <w:tcMar>
              <w:bottom w:w="53" w:type="dxa"/>
            </w:tcMar>
            <w:vAlign w:val="center"/>
          </w:tcPr>
          <w:p>
            <w:pPr>
              <w:pStyle w:val="TableContents"/>
              <w:bidi w:val="0"/>
              <w:spacing w:before="0" w:after="283"/>
              <w:jc w:val="right"/>
              <w:rPr/>
            </w:pPr>
            <w:r>
              <w:rPr/>
              <w:t>​</w:t>
            </w:r>
          </w:p>
        </w:tc>
        <w:tc>
          <w:tcPr>
            <w:tcW w:w="615" w:type="dxa"/>
            <w:tcBorders>
              <w:bottom w:val="single" w:sz="2" w:space="0" w:color="BFBFBF"/>
            </w:tcBorders>
            <w:tcMar>
              <w:bottom w:w="53" w:type="dxa"/>
            </w:tcMar>
            <w:vAlign w:val="center"/>
          </w:tcPr>
          <w:p>
            <w:pPr>
              <w:pStyle w:val="TableContents"/>
              <w:bidi w:val="0"/>
              <w:spacing w:before="0" w:after="283"/>
              <w:jc w:val="righ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53" w:type="dxa"/>
            </w:tcMar>
            <w:vAlign w:val="center"/>
          </w:tcPr>
          <w:p>
            <w:pPr>
              <w:pStyle w:val="TableContents"/>
              <w:bidi w:val="0"/>
              <w:spacing w:before="0" w:after="283"/>
              <w:jc w:val="right"/>
              <w:rPr/>
            </w:pPr>
            <w:r>
              <w:rPr/>
              <w:t>​</w:t>
            </w:r>
          </w:p>
        </w:tc>
        <w:tc>
          <w:tcPr>
            <w:tcW w:w="1055" w:type="dxa"/>
            <w:tcBorders>
              <w:bottom w:val="single" w:sz="2" w:space="0" w:color="BFBFBF"/>
            </w:tcBorders>
            <w:tcMar>
              <w:bottom w:w="53" w:type="dxa"/>
            </w:tcMar>
            <w:vAlign w:val="center"/>
          </w:tcPr>
          <w:p>
            <w:pPr>
              <w:pStyle w:val="TableContents"/>
              <w:bidi w:val="0"/>
              <w:spacing w:before="0" w:after="283"/>
              <w:jc w:val="right"/>
              <w:rPr/>
            </w:pPr>
            <w:r>
              <w:rPr/>
              <w:t>​</w:t>
            </w:r>
          </w:p>
        </w:tc>
        <w:tc>
          <w:tcPr>
            <w:tcW w:w="22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vAlign w:val="center"/>
          </w:tcPr>
          <w:p>
            <w:pPr>
              <w:pStyle w:val="TableContents"/>
              <w:bidi w:val="0"/>
              <w:spacing w:before="0" w:after="283"/>
              <w:jc w:val="left"/>
              <w:rPr/>
            </w:pPr>
            <w:r>
              <w:rPr/>
              <w:t>​</w:t>
            </w:r>
          </w:p>
        </w:tc>
        <w:tc>
          <w:tcPr>
            <w:tcW w:w="218" w:type="dxa"/>
            <w:tcBorders>
              <w:bottom w:val="single" w:sz="2" w:space="0" w:color="BFBFBF"/>
            </w:tcBorders>
            <w:tcMar>
              <w:bottom w:w="53" w:type="dxa"/>
            </w:tcMar>
            <w:vAlign w:val="center"/>
          </w:tcPr>
          <w:p>
            <w:pPr>
              <w:pStyle w:val="TableContents"/>
              <w:bidi w:val="0"/>
              <w:spacing w:before="0" w:after="283"/>
              <w:jc w:val="right"/>
              <w:rPr/>
            </w:pPr>
            <w:r>
              <w:rPr/>
              <w:t>​</w:t>
            </w:r>
          </w:p>
        </w:tc>
        <w:tc>
          <w:tcPr>
            <w:tcW w:w="1055" w:type="dxa"/>
            <w:tcBorders>
              <w:bottom w:val="single" w:sz="2" w:space="0" w:color="BFBFBF"/>
            </w:tcBorders>
            <w:tcMar>
              <w:bottom w:w="53" w:type="dxa"/>
            </w:tcMar>
            <w:vAlign w:val="center"/>
          </w:tcPr>
          <w:p>
            <w:pPr>
              <w:pStyle w:val="TableContents"/>
              <w:bidi w:val="0"/>
              <w:spacing w:before="0" w:after="283"/>
              <w:jc w:val="right"/>
              <w:rPr/>
            </w:pPr>
            <w:r>
              <w:rPr/>
              <w:t>73%</w:t>
            </w:r>
          </w:p>
        </w:tc>
        <w:tc>
          <w:tcPr>
            <w:tcW w:w="220"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27</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lists the number of 2023-2025 PRSUs earned by the NEOs for the 2023-2025 performance period:</w:t>
      </w:r>
      <w:r>
        <w:rPr>
          <w:rFonts w:ascii="Arial Narrow;Arial;Helvetica;sans-serif" w:hAnsi="Arial Narrow;Arial;Helvetica;sans-serif"/>
          <w:b w:val="false"/>
          <w:i w:val="false"/>
          <w:caps w:val="false"/>
          <w:smallCaps w:val="false"/>
          <w:color w:val="000000"/>
          <w:spacing w:val="4"/>
          <w:sz w:val="19"/>
        </w:rPr>
        <w:t xml:space="preserve"> </w:t>
      </w:r>
    </w:p>
    <w:tbl>
      <w:tblPr>
        <w:tblW w:w="8084" w:type="dxa"/>
        <w:jc w:val="left"/>
        <w:tblInd w:w="920" w:type="dxa"/>
        <w:tblLayout w:type="fixed"/>
        <w:tblCellMar>
          <w:top w:w="0" w:type="dxa"/>
          <w:left w:w="0" w:type="dxa"/>
          <w:bottom w:w="28" w:type="dxa"/>
          <w:right w:w="0" w:type="dxa"/>
        </w:tblCellMar>
      </w:tblPr>
      <w:tblGrid>
        <w:gridCol w:w="124"/>
        <w:gridCol w:w="2176"/>
        <w:gridCol w:w="109"/>
        <w:gridCol w:w="109"/>
        <w:gridCol w:w="109"/>
        <w:gridCol w:w="125"/>
        <w:gridCol w:w="125"/>
        <w:gridCol w:w="1019"/>
        <w:gridCol w:w="125"/>
        <w:gridCol w:w="109"/>
        <w:gridCol w:w="109"/>
        <w:gridCol w:w="109"/>
        <w:gridCol w:w="139"/>
        <w:gridCol w:w="139"/>
        <w:gridCol w:w="978"/>
        <w:gridCol w:w="139"/>
        <w:gridCol w:w="109"/>
        <w:gridCol w:w="109"/>
        <w:gridCol w:w="109"/>
        <w:gridCol w:w="301"/>
        <w:gridCol w:w="301"/>
        <w:gridCol w:w="956"/>
        <w:gridCol w:w="302"/>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17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NEO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94"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2023 PRSUS</w:t>
              <w:br/>
              <w:t>TARGET</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95"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2023 PRSUS</w:t>
              <w:br/>
              <w:t>VESTED</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0"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VESTED PRSUS</w:t>
              <w:br/>
              <w:t>AS A</w:t>
              <w:br/>
              <w:t>PERCENTAGE</w:t>
              <w:br/>
              <w:t>OF TARGET</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18,626</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tcMar>
              <w:bottom w:w="65" w:type="dxa"/>
            </w:tcMar>
            <w:vAlign w:val="center"/>
          </w:tcPr>
          <w:p>
            <w:pPr>
              <w:pStyle w:val="TableContents"/>
              <w:bidi w:val="0"/>
              <w:spacing w:before="0" w:after="283"/>
              <w:jc w:val="right"/>
              <w:rPr/>
            </w:pPr>
            <w:r>
              <w:rPr/>
              <w:t>​</w:t>
            </w:r>
          </w:p>
        </w:tc>
        <w:tc>
          <w:tcPr>
            <w:tcW w:w="978" w:type="dxa"/>
            <w:tcBorders>
              <w:bottom w:val="single" w:sz="2" w:space="0" w:color="BFBFBF"/>
            </w:tcBorders>
            <w:tcMar>
              <w:bottom w:w="65" w:type="dxa"/>
            </w:tcMar>
            <w:vAlign w:val="center"/>
          </w:tcPr>
          <w:p>
            <w:pPr>
              <w:pStyle w:val="TableContents"/>
              <w:bidi w:val="0"/>
              <w:spacing w:before="0" w:after="283"/>
              <w:jc w:val="right"/>
              <w:rPr/>
            </w:pPr>
            <w:r>
              <w:rPr/>
              <w:t>13,597</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tcMar>
              <w:bottom w:w="65" w:type="dxa"/>
            </w:tcMar>
            <w:vAlign w:val="center"/>
          </w:tcPr>
          <w:p>
            <w:pPr>
              <w:pStyle w:val="TableContents"/>
              <w:bidi w:val="0"/>
              <w:spacing w:before="0" w:after="283"/>
              <w:jc w:val="right"/>
              <w:rPr/>
            </w:pPr>
            <w:r>
              <w:rPr/>
              <w:t>​</w:t>
            </w:r>
          </w:p>
        </w:tc>
        <w:tc>
          <w:tcPr>
            <w:tcW w:w="956" w:type="dxa"/>
            <w:tcBorders>
              <w:bottom w:val="single" w:sz="2" w:space="0" w:color="BFBFBF"/>
            </w:tcBorders>
            <w:tcMar>
              <w:bottom w:w="65" w:type="dxa"/>
            </w:tcMar>
            <w:vAlign w:val="center"/>
          </w:tcPr>
          <w:p>
            <w:pPr>
              <w:pStyle w:val="TableContents"/>
              <w:bidi w:val="0"/>
              <w:spacing w:before="0" w:after="283"/>
              <w:jc w:val="right"/>
              <w:rPr/>
            </w:pPr>
            <w:r>
              <w:rPr/>
              <w:t>73%</w:t>
            </w:r>
          </w:p>
        </w:tc>
        <w:tc>
          <w:tcPr>
            <w:tcW w:w="302"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11,075</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tcMar>
              <w:bottom w:w="65" w:type="dxa"/>
            </w:tcMar>
            <w:vAlign w:val="center"/>
          </w:tcPr>
          <w:p>
            <w:pPr>
              <w:pStyle w:val="TableContents"/>
              <w:bidi w:val="0"/>
              <w:spacing w:before="0" w:after="283"/>
              <w:jc w:val="right"/>
              <w:rPr/>
            </w:pPr>
            <w:r>
              <w:rPr/>
              <w:t>​</w:t>
            </w:r>
          </w:p>
        </w:tc>
        <w:tc>
          <w:tcPr>
            <w:tcW w:w="978" w:type="dxa"/>
            <w:tcBorders>
              <w:bottom w:val="single" w:sz="2" w:space="0" w:color="BFBFBF"/>
            </w:tcBorders>
            <w:tcMar>
              <w:bottom w:w="65" w:type="dxa"/>
            </w:tcMar>
            <w:vAlign w:val="center"/>
          </w:tcPr>
          <w:p>
            <w:pPr>
              <w:pStyle w:val="TableContents"/>
              <w:bidi w:val="0"/>
              <w:spacing w:before="0" w:after="283"/>
              <w:jc w:val="right"/>
              <w:rPr/>
            </w:pPr>
            <w:r>
              <w:rPr/>
              <w:t>8,085</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tcMar>
              <w:bottom w:w="65" w:type="dxa"/>
            </w:tcMar>
            <w:vAlign w:val="center"/>
          </w:tcPr>
          <w:p>
            <w:pPr>
              <w:pStyle w:val="TableContents"/>
              <w:bidi w:val="0"/>
              <w:spacing w:before="0" w:after="283"/>
              <w:jc w:val="right"/>
              <w:rPr/>
            </w:pPr>
            <w:r>
              <w:rPr/>
              <w:t>​</w:t>
            </w:r>
          </w:p>
        </w:tc>
        <w:tc>
          <w:tcPr>
            <w:tcW w:w="956" w:type="dxa"/>
            <w:tcBorders>
              <w:bottom w:val="single" w:sz="2" w:space="0" w:color="BFBFBF"/>
            </w:tcBorders>
            <w:tcMar>
              <w:bottom w:w="65" w:type="dxa"/>
            </w:tcMar>
            <w:vAlign w:val="center"/>
          </w:tcPr>
          <w:p>
            <w:pPr>
              <w:pStyle w:val="TableContents"/>
              <w:bidi w:val="0"/>
              <w:spacing w:before="0" w:after="283"/>
              <w:jc w:val="right"/>
              <w:rPr/>
            </w:pPr>
            <w:r>
              <w:rPr/>
              <w:t>73%</w:t>
            </w:r>
          </w:p>
        </w:tc>
        <w:tc>
          <w:tcPr>
            <w:tcW w:w="302"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12,181*</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tcMar>
              <w:bottom w:w="65" w:type="dxa"/>
            </w:tcMar>
            <w:vAlign w:val="center"/>
          </w:tcPr>
          <w:p>
            <w:pPr>
              <w:pStyle w:val="TableContents"/>
              <w:bidi w:val="0"/>
              <w:spacing w:before="0" w:after="283"/>
              <w:jc w:val="right"/>
              <w:rPr/>
            </w:pPr>
            <w:r>
              <w:rPr/>
              <w:t>​</w:t>
            </w:r>
          </w:p>
        </w:tc>
        <w:tc>
          <w:tcPr>
            <w:tcW w:w="978" w:type="dxa"/>
            <w:tcBorders>
              <w:bottom w:val="single" w:sz="2" w:space="0" w:color="BFBFBF"/>
            </w:tcBorders>
            <w:tcMar>
              <w:bottom w:w="65" w:type="dxa"/>
            </w:tcMar>
            <w:vAlign w:val="center"/>
          </w:tcPr>
          <w:p>
            <w:pPr>
              <w:pStyle w:val="TableContents"/>
              <w:bidi w:val="0"/>
              <w:spacing w:before="0" w:after="283"/>
              <w:jc w:val="right"/>
              <w:rPr/>
            </w:pPr>
            <w:r>
              <w:rPr/>
              <w:t>8,892</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tcMar>
              <w:bottom w:w="65" w:type="dxa"/>
            </w:tcMar>
            <w:vAlign w:val="center"/>
          </w:tcPr>
          <w:p>
            <w:pPr>
              <w:pStyle w:val="TableContents"/>
              <w:bidi w:val="0"/>
              <w:spacing w:before="0" w:after="283"/>
              <w:jc w:val="right"/>
              <w:rPr/>
            </w:pPr>
            <w:r>
              <w:rPr/>
              <w:t>​</w:t>
            </w:r>
          </w:p>
        </w:tc>
        <w:tc>
          <w:tcPr>
            <w:tcW w:w="956" w:type="dxa"/>
            <w:tcBorders>
              <w:bottom w:val="single" w:sz="2" w:space="0" w:color="BFBFBF"/>
            </w:tcBorders>
            <w:tcMar>
              <w:bottom w:w="65" w:type="dxa"/>
            </w:tcMar>
            <w:vAlign w:val="center"/>
          </w:tcPr>
          <w:p>
            <w:pPr>
              <w:pStyle w:val="TableContents"/>
              <w:bidi w:val="0"/>
              <w:spacing w:before="0" w:after="283"/>
              <w:jc w:val="right"/>
              <w:rPr/>
            </w:pPr>
            <w:r>
              <w:rPr/>
              <w:t>73%</w:t>
            </w:r>
          </w:p>
        </w:tc>
        <w:tc>
          <w:tcPr>
            <w:tcW w:w="302"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8,558</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tcMar>
              <w:bottom w:w="65" w:type="dxa"/>
            </w:tcMar>
            <w:vAlign w:val="center"/>
          </w:tcPr>
          <w:p>
            <w:pPr>
              <w:pStyle w:val="TableContents"/>
              <w:bidi w:val="0"/>
              <w:spacing w:before="0" w:after="283"/>
              <w:jc w:val="right"/>
              <w:rPr/>
            </w:pPr>
            <w:r>
              <w:rPr/>
              <w:t>​</w:t>
            </w:r>
          </w:p>
        </w:tc>
        <w:tc>
          <w:tcPr>
            <w:tcW w:w="978" w:type="dxa"/>
            <w:tcBorders>
              <w:bottom w:val="single" w:sz="2" w:space="0" w:color="BFBFBF"/>
            </w:tcBorders>
            <w:tcMar>
              <w:bottom w:w="65" w:type="dxa"/>
            </w:tcMar>
            <w:vAlign w:val="center"/>
          </w:tcPr>
          <w:p>
            <w:pPr>
              <w:pStyle w:val="TableContents"/>
              <w:bidi w:val="0"/>
              <w:spacing w:before="0" w:after="283"/>
              <w:jc w:val="right"/>
              <w:rPr/>
            </w:pPr>
            <w:r>
              <w:rPr/>
              <w:t>6,247</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tcMar>
              <w:bottom w:w="65" w:type="dxa"/>
            </w:tcMar>
            <w:vAlign w:val="center"/>
          </w:tcPr>
          <w:p>
            <w:pPr>
              <w:pStyle w:val="TableContents"/>
              <w:bidi w:val="0"/>
              <w:spacing w:before="0" w:after="283"/>
              <w:jc w:val="right"/>
              <w:rPr/>
            </w:pPr>
            <w:r>
              <w:rPr/>
              <w:t>​</w:t>
            </w:r>
          </w:p>
        </w:tc>
        <w:tc>
          <w:tcPr>
            <w:tcW w:w="956" w:type="dxa"/>
            <w:tcBorders>
              <w:bottom w:val="single" w:sz="2" w:space="0" w:color="BFBFBF"/>
            </w:tcBorders>
            <w:tcMar>
              <w:bottom w:w="65" w:type="dxa"/>
            </w:tcMar>
            <w:vAlign w:val="center"/>
          </w:tcPr>
          <w:p>
            <w:pPr>
              <w:pStyle w:val="TableContents"/>
              <w:bidi w:val="0"/>
              <w:spacing w:before="0" w:after="283"/>
              <w:jc w:val="right"/>
              <w:rPr/>
            </w:pPr>
            <w:r>
              <w:rPr/>
              <w:t>73%</w:t>
            </w:r>
          </w:p>
        </w:tc>
        <w:tc>
          <w:tcPr>
            <w:tcW w:w="302"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vAlign w:val="center"/>
          </w:tcPr>
          <w:p>
            <w:pPr>
              <w:pStyle w:val="TableContents"/>
              <w:bidi w:val="0"/>
              <w:spacing w:before="0" w:after="283"/>
              <w:jc w:val="left"/>
              <w:rPr/>
            </w:pPr>
            <w:r>
              <w:rPr/>
              <w:t>​</w:t>
            </w:r>
          </w:p>
        </w:tc>
        <w:tc>
          <w:tcPr>
            <w:tcW w:w="125" w:type="dxa"/>
            <w:tcBorders>
              <w:bottom w:val="single" w:sz="2" w:space="0" w:color="BFBFBF"/>
            </w:tcBorders>
            <w:tcMar>
              <w:bottom w:w="65" w:type="dxa"/>
            </w:tcMar>
            <w:vAlign w:val="center"/>
          </w:tcPr>
          <w:p>
            <w:pPr>
              <w:pStyle w:val="TableContents"/>
              <w:bidi w:val="0"/>
              <w:spacing w:before="0" w:after="283"/>
              <w:jc w:val="right"/>
              <w:rPr/>
            </w:pPr>
            <w:r>
              <w:rPr/>
              <w:t>​</w:t>
            </w:r>
          </w:p>
        </w:tc>
        <w:tc>
          <w:tcPr>
            <w:tcW w:w="1019" w:type="dxa"/>
            <w:tcBorders>
              <w:bottom w:val="single" w:sz="2" w:space="0" w:color="BFBFBF"/>
            </w:tcBorders>
            <w:tcMar>
              <w:bottom w:w="65" w:type="dxa"/>
            </w:tcMar>
            <w:vAlign w:val="center"/>
          </w:tcPr>
          <w:p>
            <w:pPr>
              <w:pStyle w:val="TableContents"/>
              <w:bidi w:val="0"/>
              <w:spacing w:before="0" w:after="283"/>
              <w:jc w:val="right"/>
              <w:rPr/>
            </w:pPr>
            <w:r>
              <w:rPr/>
              <w:t>4,277</w:t>
            </w:r>
          </w:p>
        </w:tc>
        <w:tc>
          <w:tcPr>
            <w:tcW w:w="12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vAlign w:val="center"/>
          </w:tcPr>
          <w:p>
            <w:pPr>
              <w:pStyle w:val="TableContents"/>
              <w:bidi w:val="0"/>
              <w:spacing w:before="0" w:after="283"/>
              <w:jc w:val="left"/>
              <w:rPr/>
            </w:pPr>
            <w:r>
              <w:rPr/>
              <w:t>​</w:t>
            </w:r>
          </w:p>
        </w:tc>
        <w:tc>
          <w:tcPr>
            <w:tcW w:w="139" w:type="dxa"/>
            <w:tcBorders>
              <w:bottom w:val="single" w:sz="2" w:space="0" w:color="BFBFBF"/>
            </w:tcBorders>
            <w:tcMar>
              <w:bottom w:w="65" w:type="dxa"/>
            </w:tcMar>
            <w:vAlign w:val="center"/>
          </w:tcPr>
          <w:p>
            <w:pPr>
              <w:pStyle w:val="TableContents"/>
              <w:bidi w:val="0"/>
              <w:spacing w:before="0" w:after="283"/>
              <w:jc w:val="right"/>
              <w:rPr/>
            </w:pPr>
            <w:r>
              <w:rPr/>
              <w:t>​</w:t>
            </w:r>
          </w:p>
        </w:tc>
        <w:tc>
          <w:tcPr>
            <w:tcW w:w="978" w:type="dxa"/>
            <w:tcBorders>
              <w:bottom w:val="single" w:sz="2" w:space="0" w:color="BFBFBF"/>
            </w:tcBorders>
            <w:tcMar>
              <w:bottom w:w="65" w:type="dxa"/>
            </w:tcMar>
            <w:vAlign w:val="center"/>
          </w:tcPr>
          <w:p>
            <w:pPr>
              <w:pStyle w:val="TableContents"/>
              <w:bidi w:val="0"/>
              <w:spacing w:before="0" w:after="283"/>
              <w:jc w:val="right"/>
              <w:rPr/>
            </w:pPr>
            <w:r>
              <w:rPr/>
              <w:t>3,122</w:t>
            </w:r>
          </w:p>
        </w:tc>
        <w:tc>
          <w:tcPr>
            <w:tcW w:w="13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vAlign w:val="center"/>
          </w:tcPr>
          <w:p>
            <w:pPr>
              <w:pStyle w:val="TableContents"/>
              <w:bidi w:val="0"/>
              <w:spacing w:before="0" w:after="283"/>
              <w:jc w:val="left"/>
              <w:rPr/>
            </w:pPr>
            <w:r>
              <w:rPr/>
              <w:t>​</w:t>
            </w:r>
          </w:p>
        </w:tc>
        <w:tc>
          <w:tcPr>
            <w:tcW w:w="301" w:type="dxa"/>
            <w:tcBorders>
              <w:bottom w:val="single" w:sz="2" w:space="0" w:color="BFBFBF"/>
            </w:tcBorders>
            <w:tcMar>
              <w:bottom w:w="65" w:type="dxa"/>
            </w:tcMar>
            <w:vAlign w:val="center"/>
          </w:tcPr>
          <w:p>
            <w:pPr>
              <w:pStyle w:val="TableContents"/>
              <w:bidi w:val="0"/>
              <w:spacing w:before="0" w:after="283"/>
              <w:jc w:val="right"/>
              <w:rPr/>
            </w:pPr>
            <w:r>
              <w:rPr/>
              <w:t>​</w:t>
            </w:r>
          </w:p>
        </w:tc>
        <w:tc>
          <w:tcPr>
            <w:tcW w:w="956" w:type="dxa"/>
            <w:tcBorders>
              <w:bottom w:val="single" w:sz="2" w:space="0" w:color="BFBFBF"/>
            </w:tcBorders>
            <w:tcMar>
              <w:bottom w:w="65" w:type="dxa"/>
            </w:tcMar>
            <w:vAlign w:val="center"/>
          </w:tcPr>
          <w:p>
            <w:pPr>
              <w:pStyle w:val="TableContents"/>
              <w:bidi w:val="0"/>
              <w:spacing w:before="0" w:after="283"/>
              <w:jc w:val="right"/>
              <w:rPr/>
            </w:pPr>
            <w:r>
              <w:rPr/>
              <w:t>73%</w:t>
            </w:r>
          </w:p>
        </w:tc>
        <w:tc>
          <w:tcPr>
            <w:tcW w:w="302"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target number of PRSUs shown above for Mr. Schmitzer is the pro-rated target amount based on the time he worked in the performance period.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69215" distB="0" distL="254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0"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2026 Compensation Updates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Committee continuously evaluates our executive compensation program and seeks to ensure it is aligned with current market practices and peer compensation structures as appropriate. In assessing our CEO’s compensation, the Committee considered various factors including that (i) our CEO’s target short-term incentive and long-term incentive opportunities were significantly below market, (ii) less of his pay as a percent of total compensation was incentive based when compared to CEOs of companies in our peer group, (iii) there had been no increase in his target short-term incentive or long-term incentive opportunities since he was named the CEO in 2020, and (iv) his target opportunities were the same as some of our other NEOs. The Committee believed that increases to our CEO’s target short-term incentive and long-term incentive opportunities were appropriate to align his pay with market and shareholders’ interests. The Committee, with the assistance of its independent compensation consultant, recommended and the Board approved increases to our CEO’s target short-term incentive opportunity from 100% of his base salary for 2025 to 150% of his base salary for 2026 and his target long-term incentive opportunity from 100% of his base salary for 2025 to 200% of his base salary for 2026. The Committee considered the results of the most recent say-on-pay vote as part of its overall review of executive compensation and shareholder feedback. In determining adjustments to our CEO’s target short-term incentive opportunity, the Committee took those considerations into account together with the Company’s performance, competitive market practices and the Committee’s compensation philosophy. As a result of the increases in target opportunities, our CEO’s compensation that is variable, at-risk increased from 66.7% to 77.8% and is now aligned with the median compensation of our peer group.</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addition, the Committee recommended and the Board approved an increase to Ms. Miller’s target long-term incentive opportunity from 75% of her base salary for 2025 to 100% of her base salary for 2026 to better reflect the responsibilities of her role as well as the context of her position on the Company’s senior management team. No changes were made to other NEOs’ 2026 target opportunities.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Cash Incentive Awards to Mr. Sutherland</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Prior to his promotion to President of our E&amp;S Segment, Mr. Sutherland was granted cash incentive awards under the 2014 LTIP in the amount of (i) $156,000 on March 1, 2024 (the “2024 Cash Award”) and (ii) $160,680 on March 5, 2025 (the “2025 Cash Award”) as a component of his compensation to incentivize performance and support the retention of his service. The awards vest in equal installments on each of the first three anniversaries of the grant date, subject to his continued employment with the Company through each applicable vesting date. The first and second tranches of the 2024 Cash Award were paid on March 3, 2025 and March 2, 2026. The first tranche of the 2025 Cash Award was paid on March 5, 2026.</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2024 One-Time Retention Awards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 previously disclosed, in 2024 the members of the Company’s senior leadership team, excluding our CEO, received a cash retention award that was paid out in two equal installments as more fully described below. This one-time program concluded in 2025 and, importantly, accomplished the critical objective of maintaining a cohesive, engaged senior leadership team. The Committee does not generally intend to provide one-time grants except in a judicious and limited manner as warranted by unique circumstances. The Committee views any such grants to executive officers as a special and exceptional non-recurring event to meet the Company’s needs for a specific purpose or during a specific time period. The Committee believes that the events of 2024 constituted one of these unique circumstances for the Company as we undertook the strategic review process, which at the time of grant, had continued for an extended period.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While the Company was going through the strategic review process during 2024, it would have been extremely difficult to attract senior personnel in the event of a departure of any executive due to the process’s ongoing nature. Maintaining a cohesive and engaged senior leadership team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28</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throughout the strategic review process, specifically over the twelve-month period, was critical to the ongoing operation of our business and our successful completion of the strategic review process.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2024, the Committee, with assistance from Mr. D’Orazio and our independent compensation consultant, determined that a cash retention award for the members of the senior leadership team would provide a necessary retention incentive to help ensure that key executives remained with the Company and engaged in the additional work required to be done for the duration of the strategic review process which was anticipated, at the time the awards were made, to potentially last twelve months from its commencement in November 2023. The awards were in an amount equal to the target amount of a senior leadership team member’s annual short-term incentive target. The awards vested in two equal installments on or immediately prior to December 31, 2024 and June 30, 2025, subject to continued employment of the executive through such date with certain exceptions, including an employee’s involuntary termination of employment without cause, by reason of death or disability, and in the event of a “change in control”, with such term as defined in the 2014 LTIP. There would not have been a payout if the executive resigned from their employment for good reason, and a sale of a segment of the Company by itself would not trigger payment, unless the executive was terminated without cause by the Company in connection with such transaction.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reflects the amounts of the retention awards granted to our NEOs on July 25, 2024. Mr. D’Orazio did not receive a retention award, and Mr. Sutherland was not eligible to receive a retention award since he was not a member of the senior leadership team when the retention awards were granted. The retention awards granted to our NEOs were paid in full as of December 31, 2025, with 50% paid in 2024 and the remaining 50% paid in June 2025.</w:t>
      </w:r>
      <w:r>
        <w:rPr>
          <w:rFonts w:ascii="Arial Narrow;Arial;Helvetica;sans-serif" w:hAnsi="Arial Narrow;Arial;Helvetica;sans-serif"/>
          <w:b w:val="false"/>
          <w:i w:val="false"/>
          <w:caps w:val="false"/>
          <w:smallCaps w:val="false"/>
          <w:color w:val="000000"/>
          <w:spacing w:val="4"/>
          <w:sz w:val="19"/>
        </w:rPr>
        <w:t xml:space="preserve"> </w:t>
      </w:r>
    </w:p>
    <w:tbl>
      <w:tblPr>
        <w:tblW w:w="5977" w:type="dxa"/>
        <w:jc w:val="left"/>
        <w:tblInd w:w="920" w:type="dxa"/>
        <w:tblLayout w:type="fixed"/>
        <w:tblCellMar>
          <w:top w:w="0" w:type="dxa"/>
          <w:left w:w="0" w:type="dxa"/>
          <w:bottom w:w="28" w:type="dxa"/>
          <w:right w:w="0" w:type="dxa"/>
        </w:tblCellMar>
      </w:tblPr>
      <w:tblGrid>
        <w:gridCol w:w="124"/>
        <w:gridCol w:w="2176"/>
        <w:gridCol w:w="109"/>
        <w:gridCol w:w="109"/>
        <w:gridCol w:w="109"/>
        <w:gridCol w:w="3196"/>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17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NEO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3196" w:type="dxa"/>
            <w:tcBorders>
              <w:bottom w:val="single" w:sz="12" w:space="0" w:color="3F3F3F"/>
            </w:tcBorders>
            <w:shd w:fill="F2F2F2" w:val="clear"/>
            <w:tcMar>
              <w:bottom w:w="127" w:type="dxa"/>
            </w:tcMar>
            <w:vAlign w:val="center"/>
          </w:tcPr>
          <w:p>
            <w:pPr>
              <w:pStyle w:val="TableContents"/>
              <w:bidi w:val="0"/>
              <w:spacing w:lineRule="atLeast" w:line="191" w:before="0" w:after="0"/>
              <w:jc w:val="center"/>
              <w:rPr/>
            </w:pPr>
            <w:r>
              <w:rPr/>
              <w:t>CASH RETENTION AWARD</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196" w:type="dxa"/>
            <w:tcBorders>
              <w:bottom w:val="single" w:sz="2" w:space="0" w:color="BFBFBF"/>
            </w:tcBorders>
            <w:tcMar>
              <w:bottom w:w="65" w:type="dxa"/>
            </w:tcMar>
            <w:vAlign w:val="center"/>
          </w:tcPr>
          <w:p>
            <w:pPr>
              <w:pStyle w:val="TableContents"/>
              <w:bidi w:val="0"/>
              <w:spacing w:before="0" w:after="0"/>
              <w:jc w:val="center"/>
              <w:rPr/>
            </w:pPr>
            <w:r>
              <w:rPr/>
              <w:t xml:space="preserve">n/a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196" w:type="dxa"/>
            <w:tcBorders>
              <w:bottom w:val="single" w:sz="2" w:space="0" w:color="BFBFBF"/>
            </w:tcBorders>
            <w:tcMar>
              <w:bottom w:w="65" w:type="dxa"/>
            </w:tcMar>
            <w:vAlign w:val="center"/>
          </w:tcPr>
          <w:p>
            <w:pPr>
              <w:pStyle w:val="TableContents"/>
              <w:bidi w:val="0"/>
              <w:spacing w:before="0" w:after="0"/>
              <w:jc w:val="center"/>
              <w:rPr/>
            </w:pPr>
            <w:r>
              <w:rPr/>
              <w:t xml:space="preserve">572,000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196" w:type="dxa"/>
            <w:tcBorders>
              <w:bottom w:val="single" w:sz="2" w:space="0" w:color="BFBFBF"/>
            </w:tcBorders>
            <w:tcMar>
              <w:bottom w:w="65" w:type="dxa"/>
            </w:tcMar>
            <w:vAlign w:val="center"/>
          </w:tcPr>
          <w:p>
            <w:pPr>
              <w:pStyle w:val="TableContents"/>
              <w:bidi w:val="0"/>
              <w:spacing w:before="0" w:after="0"/>
              <w:jc w:val="center"/>
              <w:rPr/>
            </w:pPr>
            <w:r>
              <w:rPr/>
              <w:t xml:space="preserve">669,955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196" w:type="dxa"/>
            <w:tcBorders>
              <w:bottom w:val="single" w:sz="2" w:space="0" w:color="BFBFBF"/>
            </w:tcBorders>
            <w:tcMar>
              <w:bottom w:w="65" w:type="dxa"/>
            </w:tcMar>
            <w:vAlign w:val="center"/>
          </w:tcPr>
          <w:p>
            <w:pPr>
              <w:pStyle w:val="TableContents"/>
              <w:bidi w:val="0"/>
              <w:spacing w:before="0" w:after="0"/>
              <w:jc w:val="center"/>
              <w:rPr/>
            </w:pPr>
            <w:r>
              <w:rPr/>
              <w:t xml:space="preserve">331,500 </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196" w:type="dxa"/>
            <w:tcBorders>
              <w:bottom w:val="single" w:sz="2" w:space="0" w:color="BFBFBF"/>
            </w:tcBorders>
            <w:tcMar>
              <w:bottom w:w="65" w:type="dxa"/>
            </w:tcMar>
            <w:vAlign w:val="center"/>
          </w:tcPr>
          <w:p>
            <w:pPr>
              <w:pStyle w:val="TableContents"/>
              <w:bidi w:val="0"/>
              <w:spacing w:before="0" w:after="0"/>
              <w:jc w:val="center"/>
              <w:rPr/>
            </w:pPr>
            <w:r>
              <w:rPr/>
              <w:t>270,000</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235" w:after="0"/>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POST-EMPLOYMENT COMPENSATION AND OTHER BENEFITS</w:t>
      </w:r>
      <w:r>
        <w:rPr>
          <w:rFonts w:ascii="Arial Narrow;Arial;Helvetica;sans-serif" w:hAnsi="Arial Narrow;Arial;Helvetica;sans-serif"/>
          <w:b/>
          <w:i w:val="false"/>
          <w:caps w:val="false"/>
          <w:smallCaps w:val="false"/>
          <w:color w:val="000000"/>
          <w:spacing w:val="4"/>
          <w:sz w:val="20"/>
        </w:rPr>
        <w:t xml:space="preserve"> </w:t>
      </w:r>
      <w:r>
        <mc:AlternateContent>
          <mc:Choice Requires="wps">
            <w:drawing>
              <wp:anchor behindDoc="0" distT="149225" distB="0" distL="0" distR="0" simplePos="0" locked="0" layoutInCell="1" allowOverlap="1" relativeHeight="146">
                <wp:simplePos x="0" y="0"/>
                <wp:positionH relativeFrom="column">
                  <wp:align>left</wp:align>
                </wp:positionH>
                <wp:positionV relativeFrom="line">
                  <wp:align>top</wp:align>
                </wp:positionV>
                <wp:extent cx="254000" cy="304800"/>
                <wp:effectExtent l="0" t="0" r="0" b="0"/>
                <wp:wrapSquare wrapText="right"/>
                <wp:docPr id="141" name="Frame10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color w:val="002C73"/>
                                <w:sz w:val="20"/>
                              </w:rPr>
                            </w:pPr>
                            <w:r>
                              <w:rPr>
                                <w:b/>
                                <w:caps/>
                                <w:color w:val="002C73"/>
                                <w:sz w:val="20"/>
                              </w:rPr>
                              <w:t>V.</w:t>
                            </w:r>
                            <w:r>
                              <w:rPr>
                                <w:b/>
                                <w:color w:val="002C73"/>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1.75pt;mso-wrap-distance-bottom:0pt;margin-top:11.75pt;mso-position-vertical:top;mso-position-vertical-relative:text;margin-left:0pt;mso-position-horizontal:left;mso-position-horizontal-relative:text">
                <v:textbox>
                  <w:txbxContent>
                    <w:p>
                      <w:pPr>
                        <w:pStyle w:val="TextBody"/>
                        <w:bidi w:val="0"/>
                        <w:spacing w:lineRule="atLeast" w:line="240" w:before="0" w:after="283"/>
                        <w:jc w:val="left"/>
                        <w:rPr>
                          <w:b/>
                          <w:color w:val="002C73"/>
                          <w:sz w:val="20"/>
                        </w:rPr>
                      </w:pPr>
                      <w:r>
                        <w:rPr>
                          <w:b/>
                          <w:caps/>
                          <w:color w:val="002C73"/>
                          <w:sz w:val="20"/>
                        </w:rPr>
                        <w:t>V.</w:t>
                      </w:r>
                      <w:r>
                        <w:rPr>
                          <w:b/>
                          <w:color w:val="002C73"/>
                          <w:sz w:val="20"/>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Qualified Retirement Plans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offer a tax-qualified 401(k) defined contribution plan covering all of our employees, including our NEOs. Eligible employees may make voluntary pre-tax and post-tax contributions to the 401(k) plan and are eligible for matching company contributions in an amount equal to 100% of the first 6% of the employee’s eligible compensation. The 401(k) plan also permits discretionary company contributions. All contributions to the 401(k) plan are subject to certain limitations under the Internal Revenue Code.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do not provide a pension plan for any of our employees and no NEOs participated in a nonqualified deferred compensation plan during 2025.</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Termination Provisions in NEO Employment Agreements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Each of our continuing NEOs is party to an employment agreement with us that provides for certain benefits if his or her employment is terminated under certain circumstances. This arrangement provides the continuing NEOs with a core level of assurance that their actions on behalf of the Company and its shareholders can proceed without the potential distraction of short-term issues that may affect the Company (e.g., a strategic transaction involving the Company) and helps ensure that our continuing NEOs continue to act in the best interests of the Company. In addition, the agreements contain measures that protect the Company past the date of the NEO’s termination, such as non-competition and customer and employee non-solicitation restrictive covenants and confidentiality and non-disclosure obligations (the “Restrictive Covenants”), and the requirement that NEOs execute a general release in favor of the Company in order to receive benefits. We do not provide excise tax “gross-ups” to any of our executive officers related to change in control payments. Continuing NEOs may also receive benefits with respect to unpaid amounts under the STI Plan and unvested equity awards under our 2014 LTIP. The key terms of the separation arrangements are described below in “Potential Payments Upon Termination or Change in Control.”</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Retirement of Mr. Schmitzer</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August 2025, we amended Mr. Schmitzer’s employment agreement in anticipation of his retirement. Mr. Schmitzer stepped down as Chief Executive Officer of the Company’s E&amp;S Segment, effective July 31, 2025, but remained with the Company to facilitate the transition of his duties to the new President of the Company’s E&amp;S Segment until his retirement on October 15, 2025. The amendment provided for Mr. Schmitzer to receive a salary of  $300,000 on a per annum basis from the time of the amendment until his retirement.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29</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Schmitzer did not receive any severance payment in connection with his retirement. The vesting of his next-to-vest tranches of Service-Based RSUs were accelerated upon retirement, and the remaining Service-Based RSUs were forfeited. His outstanding PRSUs were pro-rated based on the number of days he worked during the respective performance periods and will vest based on actual performance results after the end of the respective performance periods.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Health and Welfare and Other Benefits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NEOs are provided welfare benefits that are generally the same as our other employees, such as Company-paid life insurance, medical, dental and vision plan coverage and long and short-term disability insurance. In addition to the above benefits, Ms. Doran and Mr. Hoffmann are entitled to receive benefits based upon their required work for the Company in Bermuda. These benefits consist of:</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126"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tax equalization gross-up payments or other Bermuda tax payments (collectively, “Tax Equalization Payments”) to which Mr. Hoffmann or Ms. Doran may be subject with respect to payments or benefits that such NEO receives under his or her employment agreement; and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8001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payment of U.S. tax preparation expenses for Mr. Hoffmann.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3pt;mso-wrap-distance-bottom:0pt;margin-top:0.3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make these tax benefits available to the specified NEOs employed by the Company based upon the unique challenges of performing work in the Bermuda market, including the additional tax expenses. We believe that providing these benefits is common practice for other Bermuda based companies (which the Company was prior to its redomicile to Delaware on November 7, 2025) and is consistent with our goal to attract and retain talented executive officers. The actual benefits received by the specified NEOs in connection with performing work in Bermuda is identified in the Summary Compensation Table.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2" w:after="0"/>
        <w:ind w:left="13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ADDITIONAL COMPENSATION POLICIES AND PRACTICES</w:t>
      </w:r>
      <w:r>
        <w:rPr>
          <w:rFonts w:ascii="Arial Narrow;Arial;Helvetica;sans-serif" w:hAnsi="Arial Narrow;Arial;Helvetica;sans-serif"/>
          <w:b/>
          <w:i w:val="false"/>
          <w:caps w:val="false"/>
          <w:smallCaps w:val="false"/>
          <w:color w:val="000000"/>
          <w:spacing w:val="4"/>
          <w:sz w:val="20"/>
        </w:rPr>
        <w:t xml:space="preserve"> </w:t>
      </w:r>
      <w:r>
        <mc:AlternateContent>
          <mc:Choice Requires="wps">
            <w:drawing>
              <wp:anchor behindDoc="0" distT="77470" distB="0" distL="0" distR="0" simplePos="0" locked="0" layoutInCell="1" allowOverlap="1" relativeHeight="149">
                <wp:simplePos x="0" y="0"/>
                <wp:positionH relativeFrom="column">
                  <wp:align>left</wp:align>
                </wp:positionH>
                <wp:positionV relativeFrom="line">
                  <wp:align>top</wp:align>
                </wp:positionV>
                <wp:extent cx="254000" cy="304800"/>
                <wp:effectExtent l="0" t="0" r="0" b="0"/>
                <wp:wrapSquare wrapText="right"/>
                <wp:docPr id="144" name="Frame10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color w:val="002C73"/>
                                <w:sz w:val="20"/>
                              </w:rPr>
                            </w:pPr>
                            <w:r>
                              <w:rPr>
                                <w:b/>
                                <w:caps/>
                                <w:color w:val="002C73"/>
                                <w:sz w:val="20"/>
                              </w:rPr>
                              <w:t>VI.</w:t>
                            </w:r>
                            <w:r>
                              <w:rPr>
                                <w:b/>
                                <w:color w:val="002C73"/>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40" w:before="0" w:after="283"/>
                        <w:jc w:val="left"/>
                        <w:rPr>
                          <w:b/>
                          <w:color w:val="002C73"/>
                          <w:sz w:val="20"/>
                        </w:rPr>
                      </w:pPr>
                      <w:r>
                        <w:rPr>
                          <w:b/>
                          <w:caps/>
                          <w:color w:val="002C73"/>
                          <w:sz w:val="20"/>
                        </w:rPr>
                        <w:t>VI.</w:t>
                      </w:r>
                      <w:r>
                        <w:rPr>
                          <w:b/>
                          <w:color w:val="002C73"/>
                          <w:sz w:val="20"/>
                        </w:rPr>
                        <w:t xml:space="preserve"> </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Clawback Policy</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October 2023, the Board, at the recommendation of the Committee, adopted an executive officer incentive compensation recovery policy in compliance with the requirements of the Dodd-Frank Act, final SEC rules and applicable Nasdaq listing standards, which covers our current and former executive officers, including all of our NEOs. If the Company is required to prepare an accounting restatement because of either (i)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(ii) an error that is not material to previously issued financial statements, but would result in a material misstatement if the error were corrected in the current period or left uncorrected in the current period, then all incentive compensation paid or credited to each current or former executive officer for the restated period (up to three years) will be recalculated based on the restated results. To the extent the recalculated incentive compensation is less than the incentive compensation actually paid or credited to such executive officer for that period, the excess amount must be returned to the Company or forfeited. In the event of an executive officer’s failure to repay any erroneously awarded compensation due under the clawback policy, the Company would enforce the clawback policy and pursue other remedies to the fullest extent permitted by applicable law, unless certain conditions are met and the Committee determines that recovery would be impracticable. The STI Plan and 2014 LTIP (and the award agreements under our 2014 LTIP) incorporate the provisions of any clawback policies maintained by the Company from time to time.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Executive Stock Ownership Guidelines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believe that the Company and our shareholders are best served when executive officers manage the business with a long-term perspective. In July 2022, the Board, at the recommendation of the Committee, adopted stock ownership guidelines (the “Guidelines”) to more closely align the financial interests of the Company’s directors and executive and other senior officers with those of the Company’s shareholders. Pursuant to the Guidelines, within five years of becoming subject to the Guidelines, (i) our Chief Executive Officer is required to beneficially own shares of common stock with a fair market value equivalent to five times his annual base salary, (ii) other executive officers and designated members of the senior management team of the Company are required to beneficially own shares of common stock with a fair market value equivalent to three times their annual base salary, and (iii) our non-employee directors are required to beneficially own shares of common stock with a fair market value equivalent to three times their annual cash retainer. The Committee reviews compliance with the Guidelines on an annual basis.</w:t>
      </w:r>
      <w:r>
        <w:rPr>
          <w:rFonts w:ascii="Arial Narrow;Arial;Helvetica;sans-serif" w:hAnsi="Arial Narrow;Arial;Helvetica;sans-serif"/>
          <w:b w:val="false"/>
          <w:i w:val="false"/>
          <w:caps w:val="false"/>
          <w:smallCaps w:val="false"/>
          <w:color w:val="000000"/>
          <w:spacing w:val="4"/>
          <w:sz w:val="19"/>
        </w:rPr>
        <w:t xml:space="preserve"> </w:t>
      </w:r>
    </w:p>
    <w:tbl>
      <w:tblPr>
        <w:tblW w:w="6964" w:type="dxa"/>
        <w:jc w:val="left"/>
        <w:tblInd w:w="920" w:type="dxa"/>
        <w:tblLayout w:type="fixed"/>
        <w:tblCellMar>
          <w:top w:w="0" w:type="dxa"/>
          <w:left w:w="0" w:type="dxa"/>
          <w:bottom w:w="28" w:type="dxa"/>
          <w:right w:w="0" w:type="dxa"/>
        </w:tblCellMar>
      </w:tblPr>
      <w:tblGrid>
        <w:gridCol w:w="124"/>
        <w:gridCol w:w="2536"/>
        <w:gridCol w:w="109"/>
        <w:gridCol w:w="109"/>
        <w:gridCol w:w="109"/>
        <w:gridCol w:w="616"/>
        <w:gridCol w:w="616"/>
        <w:gridCol w:w="1966"/>
        <w:gridCol w:w="625"/>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53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POSITION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3823" w:type="dxa"/>
            <w:gridSpan w:val="4"/>
            <w:tcBorders>
              <w:bottom w:val="single" w:sz="12" w:space="0" w:color="3F3F3F"/>
            </w:tcBorders>
            <w:shd w:fill="F2F2F2" w:val="clear"/>
            <w:tcMar>
              <w:bottom w:w="127" w:type="dxa"/>
            </w:tcMar>
            <w:vAlign w:val="center"/>
          </w:tcPr>
          <w:p>
            <w:pPr>
              <w:pStyle w:val="TableContents"/>
              <w:bidi w:val="0"/>
              <w:spacing w:lineRule="atLeast" w:line="191" w:before="0" w:after="0"/>
              <w:jc w:val="center"/>
              <w:rPr/>
            </w:pPr>
            <w:r>
              <w:rPr/>
              <w:t>MULTIPLE OF BASE SALARY OR</w:t>
              <w:br/>
              <w:t xml:space="preserve">CASH RETAINER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536" w:type="dxa"/>
            <w:tcBorders>
              <w:bottom w:val="single" w:sz="2" w:space="0" w:color="BFBFBF"/>
            </w:tcBorders>
            <w:tcMar>
              <w:bottom w:w="65" w:type="dxa"/>
            </w:tcMar>
            <w:vAlign w:val="center"/>
          </w:tcPr>
          <w:p>
            <w:pPr>
              <w:pStyle w:val="TableContents"/>
              <w:bidi w:val="0"/>
              <w:spacing w:before="0" w:after="283"/>
              <w:jc w:val="left"/>
              <w:rPr/>
            </w:pPr>
            <w:r>
              <w:rPr/>
              <w:t xml:space="preserve">Chief Executive Officer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16" w:type="dxa"/>
            <w:tcBorders>
              <w:bottom w:val="single" w:sz="2" w:space="0" w:color="BFBFBF"/>
            </w:tcBorders>
            <w:vAlign w:val="center"/>
          </w:tcPr>
          <w:p>
            <w:pPr>
              <w:pStyle w:val="TableContents"/>
              <w:bidi w:val="0"/>
              <w:spacing w:before="0" w:after="283"/>
              <w:jc w:val="left"/>
              <w:rPr/>
            </w:pPr>
            <w:r>
              <w:rPr/>
              <w:t>​</w:t>
            </w:r>
          </w:p>
        </w:tc>
        <w:tc>
          <w:tcPr>
            <w:tcW w:w="616" w:type="dxa"/>
            <w:tcBorders>
              <w:bottom w:val="single" w:sz="2" w:space="0" w:color="BFBFBF"/>
            </w:tcBorders>
            <w:tcMar>
              <w:bottom w:w="65" w:type="dxa"/>
            </w:tcMar>
            <w:vAlign w:val="center"/>
          </w:tcPr>
          <w:p>
            <w:pPr>
              <w:pStyle w:val="TableContents"/>
              <w:bidi w:val="0"/>
              <w:spacing w:before="0" w:after="283"/>
              <w:jc w:val="right"/>
              <w:rPr/>
            </w:pPr>
            <w:r>
              <w:rPr/>
              <w:t>​</w:t>
            </w:r>
          </w:p>
        </w:tc>
        <w:tc>
          <w:tcPr>
            <w:tcW w:w="1966" w:type="dxa"/>
            <w:tcBorders>
              <w:bottom w:val="single" w:sz="2" w:space="0" w:color="BFBFBF"/>
            </w:tcBorders>
            <w:tcMar>
              <w:bottom w:w="65" w:type="dxa"/>
            </w:tcMar>
            <w:vAlign w:val="center"/>
          </w:tcPr>
          <w:p>
            <w:pPr>
              <w:pStyle w:val="TableContents"/>
              <w:bidi w:val="0"/>
              <w:spacing w:before="0" w:after="283"/>
              <w:jc w:val="right"/>
              <w:rPr/>
            </w:pPr>
            <w:r>
              <w:rPr/>
              <w:t>5x</w:t>
            </w:r>
          </w:p>
        </w:tc>
        <w:tc>
          <w:tcPr>
            <w:tcW w:w="625"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536" w:type="dxa"/>
            <w:tcBorders>
              <w:bottom w:val="single" w:sz="2" w:space="0" w:color="BFBFBF"/>
            </w:tcBorders>
            <w:tcMar>
              <w:bottom w:w="65" w:type="dxa"/>
            </w:tcMar>
            <w:vAlign w:val="center"/>
          </w:tcPr>
          <w:p>
            <w:pPr>
              <w:pStyle w:val="TableContents"/>
              <w:bidi w:val="0"/>
              <w:spacing w:before="0" w:after="283"/>
              <w:jc w:val="left"/>
              <w:rPr/>
            </w:pPr>
            <w:r>
              <w:rPr/>
              <w:t xml:space="preserve">Other Executive Officers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16" w:type="dxa"/>
            <w:tcBorders>
              <w:bottom w:val="single" w:sz="2" w:space="0" w:color="BFBFBF"/>
            </w:tcBorders>
            <w:vAlign w:val="center"/>
          </w:tcPr>
          <w:p>
            <w:pPr>
              <w:pStyle w:val="TableContents"/>
              <w:bidi w:val="0"/>
              <w:spacing w:before="0" w:after="283"/>
              <w:jc w:val="left"/>
              <w:rPr/>
            </w:pPr>
            <w:r>
              <w:rPr/>
              <w:t>​</w:t>
            </w:r>
          </w:p>
        </w:tc>
        <w:tc>
          <w:tcPr>
            <w:tcW w:w="616" w:type="dxa"/>
            <w:tcBorders>
              <w:bottom w:val="single" w:sz="2" w:space="0" w:color="BFBFBF"/>
            </w:tcBorders>
            <w:tcMar>
              <w:bottom w:w="65" w:type="dxa"/>
            </w:tcMar>
            <w:vAlign w:val="center"/>
          </w:tcPr>
          <w:p>
            <w:pPr>
              <w:pStyle w:val="TableContents"/>
              <w:bidi w:val="0"/>
              <w:spacing w:before="0" w:after="283"/>
              <w:jc w:val="right"/>
              <w:rPr/>
            </w:pPr>
            <w:r>
              <w:rPr/>
              <w:t>​</w:t>
            </w:r>
          </w:p>
        </w:tc>
        <w:tc>
          <w:tcPr>
            <w:tcW w:w="1966" w:type="dxa"/>
            <w:tcBorders>
              <w:bottom w:val="single" w:sz="2" w:space="0" w:color="BFBFBF"/>
            </w:tcBorders>
            <w:tcMar>
              <w:bottom w:w="65" w:type="dxa"/>
            </w:tcMar>
            <w:vAlign w:val="center"/>
          </w:tcPr>
          <w:p>
            <w:pPr>
              <w:pStyle w:val="TableContents"/>
              <w:bidi w:val="0"/>
              <w:spacing w:before="0" w:after="283"/>
              <w:jc w:val="right"/>
              <w:rPr/>
            </w:pPr>
            <w:r>
              <w:rPr/>
              <w:t>3x</w:t>
            </w:r>
          </w:p>
        </w:tc>
        <w:tc>
          <w:tcPr>
            <w:tcW w:w="625"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536" w:type="dxa"/>
            <w:tcBorders>
              <w:bottom w:val="single" w:sz="2" w:space="0" w:color="BFBFBF"/>
            </w:tcBorders>
            <w:tcMar>
              <w:bottom w:w="65" w:type="dxa"/>
            </w:tcMar>
            <w:vAlign w:val="center"/>
          </w:tcPr>
          <w:p>
            <w:pPr>
              <w:pStyle w:val="TableContents"/>
              <w:bidi w:val="0"/>
              <w:spacing w:before="0" w:after="283"/>
              <w:jc w:val="left"/>
              <w:rPr/>
            </w:pPr>
            <w:r>
              <w:rPr/>
              <w:t xml:space="preserve">Non-employee Directors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616" w:type="dxa"/>
            <w:tcBorders>
              <w:bottom w:val="single" w:sz="2" w:space="0" w:color="BFBFBF"/>
            </w:tcBorders>
            <w:vAlign w:val="center"/>
          </w:tcPr>
          <w:p>
            <w:pPr>
              <w:pStyle w:val="TableContents"/>
              <w:bidi w:val="0"/>
              <w:spacing w:before="0" w:after="283"/>
              <w:jc w:val="left"/>
              <w:rPr/>
            </w:pPr>
            <w:r>
              <w:rPr/>
              <w:t>​</w:t>
            </w:r>
          </w:p>
        </w:tc>
        <w:tc>
          <w:tcPr>
            <w:tcW w:w="616" w:type="dxa"/>
            <w:tcBorders>
              <w:bottom w:val="single" w:sz="2" w:space="0" w:color="BFBFBF"/>
            </w:tcBorders>
            <w:tcMar>
              <w:bottom w:w="65" w:type="dxa"/>
            </w:tcMar>
            <w:vAlign w:val="center"/>
          </w:tcPr>
          <w:p>
            <w:pPr>
              <w:pStyle w:val="TableContents"/>
              <w:bidi w:val="0"/>
              <w:spacing w:before="0" w:after="283"/>
              <w:jc w:val="right"/>
              <w:rPr/>
            </w:pPr>
            <w:r>
              <w:rPr/>
              <w:t>​</w:t>
            </w:r>
          </w:p>
        </w:tc>
        <w:tc>
          <w:tcPr>
            <w:tcW w:w="1966" w:type="dxa"/>
            <w:tcBorders>
              <w:bottom w:val="single" w:sz="2" w:space="0" w:color="BFBFBF"/>
            </w:tcBorders>
            <w:tcMar>
              <w:bottom w:w="65" w:type="dxa"/>
            </w:tcMar>
            <w:vAlign w:val="center"/>
          </w:tcPr>
          <w:p>
            <w:pPr>
              <w:pStyle w:val="TableContents"/>
              <w:bidi w:val="0"/>
              <w:spacing w:before="0" w:after="283"/>
              <w:jc w:val="right"/>
              <w:rPr/>
            </w:pPr>
            <w:r>
              <w:rPr/>
              <w:t>3x</w:t>
            </w:r>
          </w:p>
        </w:tc>
        <w:tc>
          <w:tcPr>
            <w:tcW w:w="625"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30" w:before="109"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Pursuant to the Guidelines, (a) shares subject to eligible unvested Service-Based RSUs are valued at the greater of  (i) the Market Price or (ii) the closing price on the Nasdaq Stock Market on the grant date, and (b) shares received upon the vesting of Service-Based RSUs are valued at the greatest of  (i) the Market Price, (ii) the closing price on the Nasdaq Stock Market on the grant date, or (iii) the closing price on the Nasdaq Stock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30</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Market on the date of vesting. The value of shares subject to unvested PRSUs are not applied to determining whether the required value of shares of common stock is owned by any executive officer.</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purposes of the Guidelines, the fair market value of the shares of common stock is established using the greater of  (i) the average closing price of the shares of common stock on the Nasdaq Stock Market for the 30 trading day period immediately prior to the applicable determination date (the “Market Price”) or (ii) the price paid at the time of purchase, or, if the shares were not purchased (for example, if the shares were acquired on exercise of an equity award), the closing price of the shares of common stock on the Nasdaq Stock Market on the date of acquisition.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Pursuant to the Guidelines, covered persons are required to retain 100% of the net-after-tax shares received for one year following the vesting or settlement of an equity award regardless of whether the Guidelines have been met, and additionally, until a covered participant comes into compliance with the applicable ownership level, such person must retain 75% of the net-after-tax shares received upon vesting or settlement of an equity award.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Insider Trading Policy and Anti-Hedging and Anti-Pledging Policy</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Board has adopted an insider trading policy governing the purchase, sale and other dispositions of the Company’s securities. The policy applies to all personnel, including directors, officers, employees and other covered persons. The Board believes that the insider trading policy is reasonably designed to promote compliance with insider trading laws, rules and regulations and listing standards applicable to the Company. A copy of our insider trading policy is filed as an exhibit to our Annual Report on Form 10-K for the fiscal year ended December 31, 2025.</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insider trading policy also prohibits our directors, officers and employees from engaging in any pledging, hedging or monetization transactions or similar arrangements with respect to our securities. Such parties are also prohibited from engaging in any short sales, utilizing a margin account with respect to buying or selling our securities, or trading in exchange-traded options or other derivative securities.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Compensation Risk Management</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do not believe that our compensation policies and practices encourage excessive or unnecessary risk-taking, or are reasonably likely to have a material adverse effect on the Company. We believe that the combination of fixed base salaries, non-equity short-term incentive awards and awards of PRSUs and Service-Based RSUs represent an appropriate balance of fixed and variable compensation opportunities, and that the combination of short-term and long-term incentive awards provides an incentive for executives to maintain a long-term perspective in conducting business, rather than seeking short-term gain. This is particularly the case as the long-term incentive awards, awarded in the form of PRSUs and Service-Based RSUs, vest (i) in the case of PRSUs, based on financial performance metrics measured over a three-year performance period, and (ii) in the case of Service-Based RSUs, in annual installments over a three-year period. The use of a maximum payout for awards under the STI Plan and PRSUs also mitigates the risk employees may take because there are no opportunities for excessive awards. Further, the goals utilized in our STI Plan are primarily based upon companywide measures derived from our annual budget, with the performance metrics reviewed and approved by our Board following prior approval by the Committee. The fact that the performance objectives in the STI Plan and PRSUs are largely companywide reduces the likelihood that an employee could take actions to significantly influence performance in an attempt to increase the payout. We believe these practices are unlikely to create incentives for employees or executives to take excessive or unnecessary risks.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2025, we conducted an assessment of our executive compensation programs and practices. We concluded that the level of risk associated with the Company’s executive compensation programs is not reasonably likely to have a material adverse effect on the Company. The results of the risk assessment for 2025 executive compensation programs were reviewed by Aon and our enterprise management team. Our senior management will continue to monitor the effect of our compensation policies and practices on our employees and will make reports to our Committee if any concerns should arise.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Tax Considerations; Section 162(m)</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Section 162(m) of the Internal Revenue Code generally disallows a tax deduction for any publicly held corporation for individual compensation of more than $1.0 million to certain executive officers in any taxable year. The Committee may provide compensation to executive officers that may not be tax deductible if it believes that providing that compensation is in the best interests of our Company and its shareholders.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Accounting Considerations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Compensation for share-based awards granted under the Company’s equity incentive plans is recognized in accordance with FASB ASC 718. For Service-Based RSUs, compensation is measured at the grant date and recognized on a straight-line basis over the service or vesting period, which is generally three years for awards under the 2014 LTIP and one year for awards under the 2014 Non-Employee Director Incentive Plan. Compensation for PRSUs depends upon the achievement of certain performance metrics during the performance period, generally three years, with payout for achievement of threshold, target and maximum performance levels set at 50%, 100%, and 200% of the target number of PRSUs, respectively. PRSUs are initially measured on the grant date at the 100% target performance level and the related compensation recognized over the performance period is periodically adjusted as necessary to reflect the projected achievement level. Compensation for cash awards granted under the 2014 LTIP are recognized on a straight-line basis over the service or vesting period, which is generally three years. Forfeitures of awards are recognized as they occur.</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31</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920" w:right="0" w:hanging="0"/>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Policies on Timing of Equity Grants</w:t>
      </w:r>
      <w:r>
        <w:rPr>
          <w:rFonts w:ascii="Arial Narrow;Arial;Helvetica;sans-serif" w:hAnsi="Arial Narrow;Arial;Helvetica;sans-serif"/>
          <w:b w:val="false"/>
          <w:i/>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generally do not grant stock options or other equity awards during periods in which there is material nonpublic information about our Company, including (1) outside a “trading window” established in connection with the public release of quarterly results information or (2) at any time during the four business days prior to or the one business day following the filing of our periodic reports or the filing or furnishing of a Form 8-K that discloses material nonpublic information. The Committee does not take material nonpublic information into account when determining the timing and terms of equity awards. Annual equity awards to all officers, including the NEOs, and directors are typically awarded by the Committee at a prescheduled meeting in February of each fiscal year with a grant date for such awards occurring on the second trading day following the Company’s release of earnings. Equity awards may occasionally be awarded on an off-cycle basis, including to new hires, promoted employees or new directors, with a grant date for such awards occurring on the second trading day following the Company’s release of earnings. The Company has not timed the disclosure of material nonpublic information to affect the value of executive compensation.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COMPENSATION AND HUMAN CAPITAL COMMITTEE REPORT</w:t>
      </w:r>
      <w:r>
        <w:rPr>
          <w:rFonts w:ascii="Arial Narrow;Arial;Helvetica;sans-serif" w:hAnsi="Arial Narrow;Arial;Helvetica;sans-serif"/>
          <w:b/>
          <w:i w:val="false"/>
          <w:caps w:val="false"/>
          <w:smallCaps w:val="false"/>
          <w:color w:val="000000"/>
          <w:spacing w:val="4"/>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information contained in this Compensation and Human Capital Committee report shall not be deemed to be “soliciting material,” “filed” with the SEC, subject to Regulations 14A or 14C of the Exchange Act, or subject to the liabilities of Section 18 of the Exchange Act. No portion of this Compensation and Human Capital Committee report shall be deemed to be incorporated by reference into any filing under the Securities Act, or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filed under either the Securities Act or the Exchange Act.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The Compensation and Human Capital Committee (the “Committee”) has reviewed and discussed the CD&amp;A required by Item 402(b) of Regulation S-K with the management of the Company. Based on this review and these discussions, the Committee has recommended to the Board of Directors that the CD&amp;A be included in our Form 10-K/A and in the definitive proxy statement for our 2026 annual meeting of shareholders. </w:t>
      </w:r>
    </w:p>
    <w:p>
      <w:pPr>
        <w:pStyle w:val="TextBody"/>
        <w:bidi w:val="0"/>
        <w:spacing w:lineRule="atLeast" w:line="220" w:before="120" w:after="283"/>
        <w:jc w:val="right"/>
        <w:rPr>
          <w:rFonts w:ascii="Arial Narrow;Arial;Helvetica;sans-serif" w:hAnsi="Arial Narrow;Arial;Helvetica;sans-serif"/>
          <w:b/>
          <w:i w:val="false"/>
          <w:caps w:val="false"/>
          <w:smallCaps w:val="false"/>
          <w:color w:val="000000"/>
          <w:sz w:val="19"/>
        </w:rPr>
      </w:pPr>
      <w:r>
        <w:rPr>
          <w:rFonts w:ascii="Arial Narrow;Arial;Helvetica;sans-serif" w:hAnsi="Arial Narrow;Arial;Helvetica;sans-serif"/>
          <w:b/>
          <w:i w:val="false"/>
          <w:caps w:val="false"/>
          <w:smallCaps w:val="false"/>
          <w:color w:val="000000"/>
          <w:sz w:val="19"/>
        </w:rPr>
        <w:t>Compensation and Human Capital Committee​</w:t>
      </w:r>
    </w:p>
    <w:p>
      <w:pPr>
        <w:pStyle w:val="TextBody"/>
        <w:bidi w:val="0"/>
        <w:spacing w:lineRule="atLeast" w:line="220" w:before="120" w:after="283"/>
        <w:jc w:val="righ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Peter B. Migliorato (Chair)</w:t>
        <w:br/>
        <w:t>Joel D. Cavaness</w:t>
        <w:br/>
        <w:t>Christine LaSala​</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32</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SCT"/>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Summary Compensation Table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provides information regarding the compensation of our named executive officers:</w:t>
      </w:r>
      <w:r>
        <w:rPr>
          <w:rFonts w:ascii="Arial Narrow;Arial;Helvetica;sans-serif" w:hAnsi="Arial Narrow;Arial;Helvetica;sans-serif"/>
          <w:b w:val="false"/>
          <w:i w:val="false"/>
          <w:caps w:val="false"/>
          <w:smallCaps w:val="false"/>
          <w:color w:val="000000"/>
          <w:spacing w:val="4"/>
          <w:sz w:val="19"/>
        </w:rPr>
        <w:t xml:space="preserve"> </w:t>
      </w:r>
    </w:p>
    <w:tbl>
      <w:tblPr>
        <w:tblW w:w="11880" w:type="dxa"/>
        <w:jc w:val="left"/>
        <w:tblInd w:w="920" w:type="dxa"/>
        <w:tblLayout w:type="fixed"/>
        <w:tblCellMar>
          <w:top w:w="0" w:type="dxa"/>
          <w:left w:w="0" w:type="dxa"/>
          <w:bottom w:w="28" w:type="dxa"/>
          <w:right w:w="0" w:type="dxa"/>
        </w:tblCellMar>
      </w:tblPr>
      <w:tblGrid>
        <w:gridCol w:w="124"/>
        <w:gridCol w:w="996"/>
        <w:gridCol w:w="109"/>
        <w:gridCol w:w="109"/>
        <w:gridCol w:w="109"/>
        <w:gridCol w:w="109"/>
        <w:gridCol w:w="109"/>
        <w:gridCol w:w="526"/>
        <w:gridCol w:w="109"/>
        <w:gridCol w:w="109"/>
        <w:gridCol w:w="109"/>
        <w:gridCol w:w="109"/>
        <w:gridCol w:w="109"/>
        <w:gridCol w:w="109"/>
        <w:gridCol w:w="781"/>
        <w:gridCol w:w="109"/>
        <w:gridCol w:w="109"/>
        <w:gridCol w:w="109"/>
        <w:gridCol w:w="109"/>
        <w:gridCol w:w="109"/>
        <w:gridCol w:w="109"/>
        <w:gridCol w:w="781"/>
        <w:gridCol w:w="109"/>
        <w:gridCol w:w="109"/>
        <w:gridCol w:w="109"/>
        <w:gridCol w:w="109"/>
        <w:gridCol w:w="109"/>
        <w:gridCol w:w="109"/>
        <w:gridCol w:w="781"/>
        <w:gridCol w:w="109"/>
        <w:gridCol w:w="109"/>
        <w:gridCol w:w="109"/>
        <w:gridCol w:w="109"/>
        <w:gridCol w:w="141"/>
        <w:gridCol w:w="141"/>
        <w:gridCol w:w="1015"/>
        <w:gridCol w:w="144"/>
        <w:gridCol w:w="109"/>
        <w:gridCol w:w="109"/>
        <w:gridCol w:w="109"/>
        <w:gridCol w:w="156"/>
        <w:gridCol w:w="156"/>
        <w:gridCol w:w="971"/>
        <w:gridCol w:w="158"/>
        <w:gridCol w:w="109"/>
        <w:gridCol w:w="109"/>
        <w:gridCol w:w="109"/>
        <w:gridCol w:w="109"/>
        <w:gridCol w:w="109"/>
        <w:gridCol w:w="931"/>
        <w:gridCol w:w="10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996"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sz w:val="17"/>
              </w:rPr>
            </w:pPr>
            <w:r>
              <w:rPr>
                <w:sz w:val="17"/>
              </w:rPr>
              <w:t xml:space="preserve">NAME AND PRINCIPAL POSITION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853" w:type="dxa"/>
            <w:gridSpan w:val="4"/>
            <w:tcBorders>
              <w:bottom w:val="single" w:sz="12" w:space="0" w:color="3F3F3F"/>
            </w:tcBorders>
            <w:shd w:fill="F2F2F2" w:val="clear"/>
            <w:tcMar>
              <w:bottom w:w="127" w:type="dxa"/>
            </w:tcMar>
            <w:vAlign w:val="center"/>
          </w:tcPr>
          <w:p>
            <w:pPr>
              <w:pStyle w:val="TableContents"/>
              <w:bidi w:val="0"/>
              <w:spacing w:lineRule="atLeast" w:line="191" w:before="0" w:after="0"/>
              <w:jc w:val="center"/>
              <w:rPr>
                <w:sz w:val="17"/>
              </w:rPr>
            </w:pPr>
            <w:r>
              <w:rPr>
                <w:sz w:val="17"/>
              </w:rPr>
              <w:t xml:space="preserve">YEAR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08" w:type="dxa"/>
            <w:gridSpan w:val="4"/>
            <w:tcBorders>
              <w:bottom w:val="single" w:sz="12" w:space="0" w:color="3F3F3F"/>
            </w:tcBorders>
            <w:shd w:fill="F2F2F2" w:val="clear"/>
            <w:tcMar>
              <w:bottom w:w="127" w:type="dxa"/>
            </w:tcMar>
            <w:vAlign w:val="center"/>
          </w:tcPr>
          <w:p>
            <w:pPr>
              <w:pStyle w:val="TableContents"/>
              <w:bidi w:val="0"/>
              <w:spacing w:lineRule="atLeast" w:line="191" w:before="0" w:after="0"/>
              <w:jc w:val="center"/>
              <w:rPr>
                <w:sz w:val="17"/>
              </w:rPr>
            </w:pPr>
            <w:r>
              <w:rPr>
                <w:sz w:val="17"/>
              </w:rPr>
              <w:t>SALARY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08"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sz w:val="17"/>
              </w:rPr>
            </w:pPr>
            <w:r>
              <w:rPr>
                <w:sz w:val="17"/>
              </w:rPr>
              <w:t>BONUS</w:t>
            </w:r>
            <w:r>
              <w:rPr>
                <w:sz w:val="11"/>
              </w:rPr>
              <w:t>(1)</w:t>
            </w:r>
            <w:r>
              <w:rPr>
                <w:sz w:val="17"/>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08"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sz w:val="17"/>
              </w:rPr>
            </w:pPr>
            <w:r>
              <w:rPr>
                <w:sz w:val="17"/>
              </w:rPr>
              <w:t>STOCK</w:t>
              <w:br/>
              <w:t>AWARDS</w:t>
            </w:r>
            <w:r>
              <w:rPr>
                <w:sz w:val="11"/>
              </w:rPr>
              <w:t>(2)</w:t>
            </w:r>
            <w:r>
              <w:rPr>
                <w:sz w:val="17"/>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41"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sz w:val="17"/>
              </w:rPr>
            </w:pPr>
            <w:r>
              <w:rPr>
                <w:sz w:val="17"/>
              </w:rPr>
              <w:t>NON-EQUITY</w:t>
              <w:br/>
              <w:t>INCENTIVE PLAN</w:t>
              <w:br/>
              <w:t>COMPENSATION</w:t>
            </w:r>
            <w:r>
              <w:rPr>
                <w:sz w:val="11"/>
              </w:rPr>
              <w:t>(3)</w:t>
            </w:r>
            <w:r>
              <w:rPr>
                <w:sz w:val="17"/>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41"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sz w:val="17"/>
              </w:rPr>
            </w:pPr>
            <w:r>
              <w:rPr>
                <w:sz w:val="17"/>
              </w:rPr>
              <w:t>ALL OTHER</w:t>
              <w:br/>
              <w:t>COMPENSATION</w:t>
            </w:r>
            <w:r>
              <w:rPr>
                <w:sz w:val="11"/>
              </w:rPr>
              <w:t>(4)</w:t>
            </w:r>
            <w:r>
              <w:rPr>
                <w:sz w:val="17"/>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58" w:type="dxa"/>
            <w:gridSpan w:val="4"/>
            <w:tcBorders>
              <w:bottom w:val="single" w:sz="12" w:space="0" w:color="3F3F3F"/>
            </w:tcBorders>
            <w:shd w:fill="F2F2F2" w:val="clear"/>
            <w:tcMar>
              <w:bottom w:w="127" w:type="dxa"/>
            </w:tcMar>
            <w:vAlign w:val="center"/>
          </w:tcPr>
          <w:p>
            <w:pPr>
              <w:pStyle w:val="TableContents"/>
              <w:bidi w:val="0"/>
              <w:spacing w:lineRule="atLeast" w:line="191" w:before="0" w:after="0"/>
              <w:jc w:val="center"/>
              <w:rPr>
                <w:sz w:val="17"/>
              </w:rPr>
            </w:pPr>
            <w:r>
              <w:rPr>
                <w:sz w:val="17"/>
              </w:rPr>
              <w:t>TOTAL</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996" w:type="dxa"/>
            <w:vMerge w:val="restart"/>
            <w:tcBorders>
              <w:bottom w:val="single" w:sz="2" w:space="0" w:color="BFBFBF"/>
            </w:tcBorders>
            <w:tcMar>
              <w:bottom w:w="65" w:type="dxa"/>
            </w:tcMar>
            <w:vAlign w:val="center"/>
          </w:tcPr>
          <w:p>
            <w:pPr>
              <w:pStyle w:val="TableContents"/>
              <w:bidi w:val="0"/>
              <w:spacing w:before="0" w:after="0"/>
              <w:ind w:left="190" w:right="0" w:hanging="190"/>
              <w:jc w:val="left"/>
              <w:rPr>
                <w:sz w:val="19"/>
              </w:rPr>
            </w:pPr>
            <w:r>
              <w:rPr>
                <w:color w:val="002C73"/>
                <w:sz w:val="19"/>
              </w:rPr>
              <w:t>Frank N. D’Orazio,</w:t>
            </w:r>
            <w:r>
              <w:rPr>
                <w:sz w:val="19"/>
              </w:rPr>
              <w:t xml:space="preserve"> </w:t>
              <w:br/>
              <w:t xml:space="preserve">Chief Executive Officer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526" w:type="dxa"/>
            <w:tcBorders/>
            <w:tcMar>
              <w:bottom w:w="0" w:type="dxa"/>
            </w:tcMar>
            <w:vAlign w:val="center"/>
          </w:tcPr>
          <w:p>
            <w:pPr>
              <w:pStyle w:val="TableContents"/>
              <w:bidi w:val="0"/>
              <w:spacing w:lineRule="atLeast" w:line="226" w:before="0" w:after="0"/>
              <w:jc w:val="right"/>
              <w:rPr>
                <w:sz w:val="19"/>
              </w:rPr>
            </w:pPr>
            <w:r>
              <w:rPr>
                <w:sz w:val="19"/>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990,791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966,618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26" w:before="0" w:after="0"/>
              <w:jc w:val="right"/>
              <w:rPr/>
            </w:pPr>
            <w:r>
              <w:rPr/>
              <w:t>​</w:t>
            </w:r>
          </w:p>
        </w:tc>
        <w:tc>
          <w:tcPr>
            <w:tcW w:w="1015" w:type="dxa"/>
            <w:tcBorders/>
            <w:tcMar>
              <w:bottom w:w="0" w:type="dxa"/>
            </w:tcMar>
            <w:vAlign w:val="center"/>
          </w:tcPr>
          <w:p>
            <w:pPr>
              <w:pStyle w:val="TableContents"/>
              <w:bidi w:val="0"/>
              <w:spacing w:lineRule="atLeast" w:line="226" w:before="0" w:after="0"/>
              <w:jc w:val="right"/>
              <w:rPr>
                <w:sz w:val="19"/>
              </w:rPr>
            </w:pPr>
            <w:r>
              <w:rPr>
                <w:sz w:val="19"/>
              </w:rPr>
              <w:t>934,891</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lineRule="atLeast" w:line="226" w:before="0" w:after="0"/>
              <w:jc w:val="right"/>
              <w:rPr/>
            </w:pPr>
            <w:r>
              <w:rPr/>
              <w:t>​</w:t>
            </w:r>
          </w:p>
        </w:tc>
        <w:tc>
          <w:tcPr>
            <w:tcW w:w="971" w:type="dxa"/>
            <w:tcBorders/>
            <w:tcMar>
              <w:bottom w:w="0" w:type="dxa"/>
            </w:tcMar>
            <w:vAlign w:val="center"/>
          </w:tcPr>
          <w:p>
            <w:pPr>
              <w:pStyle w:val="TableContents"/>
              <w:bidi w:val="0"/>
              <w:spacing w:lineRule="atLeast" w:line="226" w:before="0" w:after="0"/>
              <w:jc w:val="right"/>
              <w:rPr>
                <w:sz w:val="19"/>
              </w:rPr>
            </w:pPr>
            <w:r>
              <w:rPr>
                <w:sz w:val="19"/>
              </w:rPr>
              <w:t>37,988</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931" w:type="dxa"/>
            <w:tcBorders/>
            <w:tcMar>
              <w:bottom w:w="0" w:type="dxa"/>
            </w:tcMar>
            <w:vAlign w:val="center"/>
          </w:tcPr>
          <w:p>
            <w:pPr>
              <w:pStyle w:val="TableContents"/>
              <w:bidi w:val="0"/>
              <w:spacing w:lineRule="atLeast" w:line="226" w:before="0" w:after="0"/>
              <w:jc w:val="right"/>
              <w:rPr>
                <w:sz w:val="19"/>
              </w:rPr>
            </w:pPr>
            <w:r>
              <w:rPr>
                <w:sz w:val="19"/>
              </w:rPr>
              <w:t>2,930,288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26" w:type="dxa"/>
            <w:tcBorders/>
            <w:tcMar>
              <w:bottom w:w="0" w:type="dxa"/>
            </w:tcMar>
            <w:vAlign w:val="center"/>
          </w:tcPr>
          <w:p>
            <w:pPr>
              <w:pStyle w:val="TableContents"/>
              <w:bidi w:val="0"/>
              <w:spacing w:before="0" w:after="0"/>
              <w:jc w:val="right"/>
              <w:rPr>
                <w:sz w:val="19"/>
              </w:rPr>
            </w:pPr>
            <w:r>
              <w:rPr>
                <w:sz w:val="19"/>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966,625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966,613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0"/>
              <w:jc w:val="right"/>
              <w:rPr/>
            </w:pPr>
            <w:r>
              <w:rPr/>
              <w:t>​</w:t>
            </w:r>
          </w:p>
        </w:tc>
        <w:tc>
          <w:tcPr>
            <w:tcW w:w="1015" w:type="dxa"/>
            <w:tcBorders/>
            <w:tcMar>
              <w:bottom w:w="0" w:type="dxa"/>
            </w:tcMar>
            <w:vAlign w:val="center"/>
          </w:tcPr>
          <w:p>
            <w:pPr>
              <w:pStyle w:val="TableContents"/>
              <w:bidi w:val="0"/>
              <w:spacing w:before="0" w:after="0"/>
              <w:jc w:val="right"/>
              <w:rPr>
                <w:sz w:val="19"/>
              </w:rPr>
            </w:pPr>
            <w:r>
              <w:rPr>
                <w:sz w:val="19"/>
              </w:rPr>
              <w:t>745,268</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0"/>
              <w:jc w:val="right"/>
              <w:rPr/>
            </w:pPr>
            <w:r>
              <w:rPr/>
              <w:t>​</w:t>
            </w:r>
          </w:p>
        </w:tc>
        <w:tc>
          <w:tcPr>
            <w:tcW w:w="971" w:type="dxa"/>
            <w:tcBorders/>
            <w:tcMar>
              <w:bottom w:w="0" w:type="dxa"/>
            </w:tcMar>
            <w:vAlign w:val="center"/>
          </w:tcPr>
          <w:p>
            <w:pPr>
              <w:pStyle w:val="TableContents"/>
              <w:bidi w:val="0"/>
              <w:spacing w:before="0" w:after="0"/>
              <w:jc w:val="right"/>
              <w:rPr>
                <w:sz w:val="19"/>
              </w:rPr>
            </w:pPr>
            <w:r>
              <w:rPr>
                <w:sz w:val="19"/>
              </w:rPr>
              <w:t>30,747</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931" w:type="dxa"/>
            <w:tcBorders/>
            <w:tcMar>
              <w:bottom w:w="0" w:type="dxa"/>
            </w:tcMar>
            <w:vAlign w:val="center"/>
          </w:tcPr>
          <w:p>
            <w:pPr>
              <w:pStyle w:val="TableContents"/>
              <w:bidi w:val="0"/>
              <w:spacing w:before="0" w:after="0"/>
              <w:jc w:val="right"/>
              <w:rPr>
                <w:sz w:val="19"/>
              </w:rPr>
            </w:pPr>
            <w:r>
              <w:rPr>
                <w:sz w:val="19"/>
              </w:rPr>
              <w:t>2,709,253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526" w:type="dxa"/>
            <w:tcBorders>
              <w:bottom w:val="single" w:sz="2" w:space="0" w:color="BFBFBF"/>
            </w:tcBorders>
            <w:tcMar>
              <w:bottom w:w="65" w:type="dxa"/>
            </w:tcMar>
            <w:vAlign w:val="center"/>
          </w:tcPr>
          <w:p>
            <w:pPr>
              <w:pStyle w:val="TableContents"/>
              <w:bidi w:val="0"/>
              <w:spacing w:before="0" w:after="0"/>
              <w:jc w:val="right"/>
              <w:rPr>
                <w:sz w:val="19"/>
              </w:rPr>
            </w:pPr>
            <w:r>
              <w:rPr>
                <w:sz w:val="19"/>
              </w:rPr>
              <w:t>2023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959,318</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924,967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65" w:type="dxa"/>
            </w:tcMar>
            <w:vAlign w:val="center"/>
          </w:tcPr>
          <w:p>
            <w:pPr>
              <w:pStyle w:val="TableContents"/>
              <w:bidi w:val="0"/>
              <w:spacing w:before="0" w:after="0"/>
              <w:jc w:val="right"/>
              <w:rPr/>
            </w:pPr>
            <w:r>
              <w:rPr/>
              <w:t>​</w:t>
            </w:r>
          </w:p>
        </w:tc>
        <w:tc>
          <w:tcPr>
            <w:tcW w:w="1015" w:type="dxa"/>
            <w:tcBorders>
              <w:bottom w:val="single" w:sz="2" w:space="0" w:color="BFBFBF"/>
            </w:tcBorders>
            <w:tcMar>
              <w:bottom w:w="65" w:type="dxa"/>
            </w:tcMar>
            <w:vAlign w:val="center"/>
          </w:tcPr>
          <w:p>
            <w:pPr>
              <w:pStyle w:val="TableContents"/>
              <w:bidi w:val="0"/>
              <w:spacing w:before="0" w:after="0"/>
              <w:jc w:val="right"/>
              <w:rPr>
                <w:sz w:val="19"/>
              </w:rPr>
            </w:pPr>
            <w:r>
              <w:rPr>
                <w:sz w:val="19"/>
              </w:rPr>
              <w:t>773,300</w:t>
            </w:r>
          </w:p>
        </w:tc>
        <w:tc>
          <w:tcPr>
            <w:tcW w:w="14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tcMar>
              <w:bottom w:w="65" w:type="dxa"/>
            </w:tcMar>
            <w:vAlign w:val="center"/>
          </w:tcPr>
          <w:p>
            <w:pPr>
              <w:pStyle w:val="TableContents"/>
              <w:bidi w:val="0"/>
              <w:spacing w:before="0" w:after="0"/>
              <w:jc w:val="right"/>
              <w:rPr/>
            </w:pPr>
            <w:r>
              <w:rPr/>
              <w:t>​</w:t>
            </w:r>
          </w:p>
        </w:tc>
        <w:tc>
          <w:tcPr>
            <w:tcW w:w="971" w:type="dxa"/>
            <w:tcBorders>
              <w:bottom w:val="single" w:sz="2" w:space="0" w:color="BFBFBF"/>
            </w:tcBorders>
            <w:tcMar>
              <w:bottom w:w="65" w:type="dxa"/>
            </w:tcMar>
            <w:vAlign w:val="center"/>
          </w:tcPr>
          <w:p>
            <w:pPr>
              <w:pStyle w:val="TableContents"/>
              <w:bidi w:val="0"/>
              <w:spacing w:before="0" w:after="0"/>
              <w:jc w:val="right"/>
              <w:rPr>
                <w:sz w:val="19"/>
              </w:rPr>
            </w:pPr>
            <w:r>
              <w:rPr>
                <w:sz w:val="19"/>
              </w:rPr>
              <w:t>63,106</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931" w:type="dxa"/>
            <w:tcBorders>
              <w:bottom w:val="single" w:sz="2" w:space="0" w:color="BFBFBF"/>
            </w:tcBorders>
            <w:tcMar>
              <w:bottom w:w="65" w:type="dxa"/>
            </w:tcMar>
            <w:vAlign w:val="center"/>
          </w:tcPr>
          <w:p>
            <w:pPr>
              <w:pStyle w:val="TableContents"/>
              <w:bidi w:val="0"/>
              <w:spacing w:before="0" w:after="0"/>
              <w:jc w:val="right"/>
              <w:rPr>
                <w:sz w:val="19"/>
              </w:rPr>
            </w:pPr>
            <w:r>
              <w:rPr>
                <w:sz w:val="19"/>
              </w:rPr>
              <w:t>2,720,691</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996" w:type="dxa"/>
            <w:vMerge w:val="restart"/>
            <w:tcBorders>
              <w:bottom w:val="single" w:sz="2" w:space="0" w:color="BFBFBF"/>
            </w:tcBorders>
            <w:tcMar>
              <w:bottom w:w="65" w:type="dxa"/>
            </w:tcMar>
            <w:vAlign w:val="center"/>
          </w:tcPr>
          <w:p>
            <w:pPr>
              <w:pStyle w:val="TableContents"/>
              <w:bidi w:val="0"/>
              <w:spacing w:before="0" w:after="0"/>
              <w:ind w:left="190" w:right="0" w:hanging="190"/>
              <w:jc w:val="left"/>
              <w:rPr>
                <w:sz w:val="19"/>
              </w:rPr>
            </w:pPr>
            <w:r>
              <w:rPr>
                <w:color w:val="002C73"/>
                <w:sz w:val="19"/>
              </w:rPr>
              <w:t>Sarah C. Doran,</w:t>
            </w:r>
            <w:r>
              <w:rPr>
                <w:sz w:val="19"/>
              </w:rPr>
              <w:t xml:space="preserve"> </w:t>
              <w:br/>
              <w:t xml:space="preserve">Chief Financial Officer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526" w:type="dxa"/>
            <w:tcBorders/>
            <w:tcMar>
              <w:bottom w:w="0" w:type="dxa"/>
            </w:tcMar>
            <w:vAlign w:val="center"/>
          </w:tcPr>
          <w:p>
            <w:pPr>
              <w:pStyle w:val="TableContents"/>
              <w:bidi w:val="0"/>
              <w:spacing w:lineRule="atLeast" w:line="226" w:before="0" w:after="0"/>
              <w:jc w:val="right"/>
              <w:rPr>
                <w:sz w:val="19"/>
              </w:rPr>
            </w:pPr>
            <w:r>
              <w:rPr>
                <w:sz w:val="19"/>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586,300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286,000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571,997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26" w:before="0" w:after="0"/>
              <w:jc w:val="right"/>
              <w:rPr/>
            </w:pPr>
            <w:r>
              <w:rPr/>
              <w:t>​</w:t>
            </w:r>
          </w:p>
        </w:tc>
        <w:tc>
          <w:tcPr>
            <w:tcW w:w="1015" w:type="dxa"/>
            <w:tcBorders/>
            <w:tcMar>
              <w:bottom w:w="0" w:type="dxa"/>
            </w:tcMar>
            <w:vAlign w:val="center"/>
          </w:tcPr>
          <w:p>
            <w:pPr>
              <w:pStyle w:val="TableContents"/>
              <w:bidi w:val="0"/>
              <w:spacing w:lineRule="atLeast" w:line="226" w:before="0" w:after="0"/>
              <w:jc w:val="right"/>
              <w:rPr>
                <w:sz w:val="19"/>
              </w:rPr>
            </w:pPr>
            <w:r>
              <w:rPr>
                <w:sz w:val="19"/>
              </w:rPr>
              <w:t>553,221</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lineRule="atLeast" w:line="226" w:before="0" w:after="0"/>
              <w:jc w:val="right"/>
              <w:rPr/>
            </w:pPr>
            <w:r>
              <w:rPr/>
              <w:t>​</w:t>
            </w:r>
          </w:p>
        </w:tc>
        <w:tc>
          <w:tcPr>
            <w:tcW w:w="971" w:type="dxa"/>
            <w:tcBorders/>
            <w:tcMar>
              <w:bottom w:w="0" w:type="dxa"/>
            </w:tcMar>
            <w:vAlign w:val="center"/>
          </w:tcPr>
          <w:p>
            <w:pPr>
              <w:pStyle w:val="TableContents"/>
              <w:bidi w:val="0"/>
              <w:spacing w:lineRule="atLeast" w:line="226" w:before="0" w:after="0"/>
              <w:jc w:val="right"/>
              <w:rPr>
                <w:sz w:val="19"/>
              </w:rPr>
            </w:pPr>
            <w:r>
              <w:rPr>
                <w:sz w:val="19"/>
              </w:rPr>
              <w:t>29,773</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931" w:type="dxa"/>
            <w:tcBorders/>
            <w:tcMar>
              <w:bottom w:w="0" w:type="dxa"/>
            </w:tcMar>
            <w:vAlign w:val="center"/>
          </w:tcPr>
          <w:p>
            <w:pPr>
              <w:pStyle w:val="TableContents"/>
              <w:bidi w:val="0"/>
              <w:spacing w:lineRule="atLeast" w:line="226" w:before="0" w:after="0"/>
              <w:jc w:val="right"/>
              <w:rPr>
                <w:sz w:val="19"/>
              </w:rPr>
            </w:pPr>
            <w:r>
              <w:rPr>
                <w:sz w:val="19"/>
              </w:rPr>
              <w:t>2,027,291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26" w:type="dxa"/>
            <w:tcBorders/>
            <w:tcMar>
              <w:bottom w:w="0" w:type="dxa"/>
            </w:tcMar>
            <w:vAlign w:val="center"/>
          </w:tcPr>
          <w:p>
            <w:pPr>
              <w:pStyle w:val="TableContents"/>
              <w:bidi w:val="0"/>
              <w:spacing w:before="0" w:after="0"/>
              <w:jc w:val="right"/>
              <w:rPr>
                <w:sz w:val="19"/>
              </w:rPr>
            </w:pPr>
            <w:r>
              <w:rPr>
                <w:sz w:val="19"/>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572,000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286,000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571,987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0"/>
              <w:jc w:val="right"/>
              <w:rPr/>
            </w:pPr>
            <w:r>
              <w:rPr/>
              <w:t>​</w:t>
            </w:r>
          </w:p>
        </w:tc>
        <w:tc>
          <w:tcPr>
            <w:tcW w:w="1015" w:type="dxa"/>
            <w:tcBorders/>
            <w:tcMar>
              <w:bottom w:w="0" w:type="dxa"/>
            </w:tcMar>
            <w:vAlign w:val="center"/>
          </w:tcPr>
          <w:p>
            <w:pPr>
              <w:pStyle w:val="TableContents"/>
              <w:bidi w:val="0"/>
              <w:spacing w:before="0" w:after="0"/>
              <w:jc w:val="right"/>
              <w:rPr>
                <w:sz w:val="19"/>
              </w:rPr>
            </w:pPr>
            <w:r>
              <w:rPr>
                <w:sz w:val="19"/>
              </w:rPr>
              <w:t>441,012</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0"/>
              <w:jc w:val="right"/>
              <w:rPr/>
            </w:pPr>
            <w:r>
              <w:rPr/>
              <w:t>​</w:t>
            </w:r>
          </w:p>
        </w:tc>
        <w:tc>
          <w:tcPr>
            <w:tcW w:w="971" w:type="dxa"/>
            <w:tcBorders/>
            <w:tcMar>
              <w:bottom w:w="0" w:type="dxa"/>
            </w:tcMar>
            <w:vAlign w:val="center"/>
          </w:tcPr>
          <w:p>
            <w:pPr>
              <w:pStyle w:val="TableContents"/>
              <w:bidi w:val="0"/>
              <w:spacing w:before="0" w:after="0"/>
              <w:jc w:val="right"/>
              <w:rPr>
                <w:sz w:val="19"/>
              </w:rPr>
            </w:pPr>
            <w:r>
              <w:rPr>
                <w:sz w:val="19"/>
              </w:rPr>
              <w:t>28,444</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931" w:type="dxa"/>
            <w:tcBorders/>
            <w:tcMar>
              <w:bottom w:w="0" w:type="dxa"/>
            </w:tcMar>
            <w:vAlign w:val="center"/>
          </w:tcPr>
          <w:p>
            <w:pPr>
              <w:pStyle w:val="TableContents"/>
              <w:bidi w:val="0"/>
              <w:spacing w:before="0" w:after="0"/>
              <w:jc w:val="right"/>
              <w:rPr>
                <w:sz w:val="19"/>
              </w:rPr>
            </w:pPr>
            <w:r>
              <w:rPr>
                <w:sz w:val="19"/>
              </w:rPr>
              <w:t>1,899,443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526" w:type="dxa"/>
            <w:tcBorders>
              <w:bottom w:val="single" w:sz="2" w:space="0" w:color="BFBFBF"/>
            </w:tcBorders>
            <w:tcMar>
              <w:bottom w:w="65" w:type="dxa"/>
            </w:tcMar>
            <w:vAlign w:val="center"/>
          </w:tcPr>
          <w:p>
            <w:pPr>
              <w:pStyle w:val="TableContents"/>
              <w:bidi w:val="0"/>
              <w:spacing w:before="0" w:after="0"/>
              <w:jc w:val="right"/>
              <w:rPr>
                <w:sz w:val="19"/>
              </w:rPr>
            </w:pPr>
            <w:r>
              <w:rPr>
                <w:sz w:val="19"/>
              </w:rPr>
              <w:t>2023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568,333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549,985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65" w:type="dxa"/>
            </w:tcMar>
            <w:vAlign w:val="center"/>
          </w:tcPr>
          <w:p>
            <w:pPr>
              <w:pStyle w:val="TableContents"/>
              <w:bidi w:val="0"/>
              <w:spacing w:before="0" w:after="0"/>
              <w:jc w:val="right"/>
              <w:rPr/>
            </w:pPr>
            <w:r>
              <w:rPr/>
              <w:t>​</w:t>
            </w:r>
          </w:p>
        </w:tc>
        <w:tc>
          <w:tcPr>
            <w:tcW w:w="1015" w:type="dxa"/>
            <w:tcBorders>
              <w:bottom w:val="single" w:sz="2" w:space="0" w:color="BFBFBF"/>
            </w:tcBorders>
            <w:tcMar>
              <w:bottom w:w="65" w:type="dxa"/>
            </w:tcMar>
            <w:vAlign w:val="center"/>
          </w:tcPr>
          <w:p>
            <w:pPr>
              <w:pStyle w:val="TableContents"/>
              <w:bidi w:val="0"/>
              <w:spacing w:before="0" w:after="0"/>
              <w:jc w:val="right"/>
              <w:rPr>
                <w:sz w:val="19"/>
              </w:rPr>
            </w:pPr>
            <w:r>
              <w:rPr>
                <w:sz w:val="19"/>
              </w:rPr>
              <w:t>457,600</w:t>
            </w:r>
          </w:p>
        </w:tc>
        <w:tc>
          <w:tcPr>
            <w:tcW w:w="14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tcMar>
              <w:bottom w:w="65" w:type="dxa"/>
            </w:tcMar>
            <w:vAlign w:val="center"/>
          </w:tcPr>
          <w:p>
            <w:pPr>
              <w:pStyle w:val="TableContents"/>
              <w:bidi w:val="0"/>
              <w:spacing w:before="0" w:after="0"/>
              <w:jc w:val="right"/>
              <w:rPr/>
            </w:pPr>
            <w:r>
              <w:rPr/>
              <w:t>​</w:t>
            </w:r>
          </w:p>
        </w:tc>
        <w:tc>
          <w:tcPr>
            <w:tcW w:w="971" w:type="dxa"/>
            <w:tcBorders>
              <w:bottom w:val="single" w:sz="2" w:space="0" w:color="BFBFBF"/>
            </w:tcBorders>
            <w:tcMar>
              <w:bottom w:w="65" w:type="dxa"/>
            </w:tcMar>
            <w:vAlign w:val="center"/>
          </w:tcPr>
          <w:p>
            <w:pPr>
              <w:pStyle w:val="TableContents"/>
              <w:bidi w:val="0"/>
              <w:spacing w:before="0" w:after="0"/>
              <w:jc w:val="right"/>
              <w:rPr>
                <w:sz w:val="19"/>
              </w:rPr>
            </w:pPr>
            <w:r>
              <w:rPr>
                <w:sz w:val="19"/>
              </w:rPr>
              <w:t>41,170</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931" w:type="dxa"/>
            <w:tcBorders>
              <w:bottom w:val="single" w:sz="2" w:space="0" w:color="BFBFBF"/>
            </w:tcBorders>
            <w:tcMar>
              <w:bottom w:w="65" w:type="dxa"/>
            </w:tcMar>
            <w:vAlign w:val="center"/>
          </w:tcPr>
          <w:p>
            <w:pPr>
              <w:pStyle w:val="TableContents"/>
              <w:bidi w:val="0"/>
              <w:spacing w:before="0" w:after="0"/>
              <w:jc w:val="right"/>
              <w:rPr>
                <w:sz w:val="19"/>
              </w:rPr>
            </w:pPr>
            <w:r>
              <w:rPr>
                <w:sz w:val="19"/>
              </w:rPr>
              <w:t>1,617,088</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996" w:type="dxa"/>
            <w:vMerge w:val="restart"/>
            <w:tcBorders>
              <w:bottom w:val="single" w:sz="2" w:space="0" w:color="BFBFBF"/>
            </w:tcBorders>
            <w:tcMar>
              <w:bottom w:w="65" w:type="dxa"/>
            </w:tcMar>
            <w:vAlign w:val="center"/>
          </w:tcPr>
          <w:p>
            <w:pPr>
              <w:pStyle w:val="TableContents"/>
              <w:bidi w:val="0"/>
              <w:spacing w:before="0" w:after="0"/>
              <w:ind w:left="190" w:right="0" w:hanging="190"/>
              <w:jc w:val="left"/>
              <w:rPr>
                <w:sz w:val="19"/>
              </w:rPr>
            </w:pPr>
            <w:r>
              <w:rPr>
                <w:color w:val="002C73"/>
                <w:sz w:val="19"/>
              </w:rPr>
              <w:t>Richard J. Schmitzer,</w:t>
            </w:r>
            <w:r>
              <w:rPr>
                <w:sz w:val="19"/>
              </w:rPr>
              <w:t xml:space="preserve"> </w:t>
              <w:br/>
              <w:t xml:space="preserve">Former President and Chief </w:t>
              <w:br/>
              <w:t xml:space="preserve">Executive Officer, E&amp;S </w:t>
              <w:br/>
              <w:t>Segment</w:t>
            </w:r>
            <w:r>
              <w:rPr>
                <w:sz w:val="12"/>
              </w:rPr>
              <w:t>(5)</w:t>
            </w:r>
            <w:r>
              <w:rPr>
                <w:sz w:val="19"/>
              </w:rPr>
              <w:t xml:space="preserve">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526" w:type="dxa"/>
            <w:tcBorders/>
            <w:tcMar>
              <w:bottom w:w="0" w:type="dxa"/>
            </w:tcMar>
            <w:vAlign w:val="center"/>
          </w:tcPr>
          <w:p>
            <w:pPr>
              <w:pStyle w:val="TableContents"/>
              <w:bidi w:val="0"/>
              <w:spacing w:lineRule="atLeast" w:line="226" w:before="0" w:after="0"/>
              <w:jc w:val="right"/>
              <w:rPr>
                <w:sz w:val="19"/>
              </w:rPr>
            </w:pPr>
            <w:r>
              <w:rPr>
                <w:sz w:val="19"/>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463,479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334,978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669,951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26" w:before="0" w:after="0"/>
              <w:jc w:val="right"/>
              <w:rPr/>
            </w:pPr>
            <w:r>
              <w:rPr/>
              <w:t>​</w:t>
            </w:r>
          </w:p>
        </w:tc>
        <w:tc>
          <w:tcPr>
            <w:tcW w:w="1015" w:type="dxa"/>
            <w:tcBorders/>
            <w:tcMar>
              <w:bottom w:w="0" w:type="dxa"/>
            </w:tcMar>
            <w:vAlign w:val="center"/>
          </w:tcPr>
          <w:p>
            <w:pPr>
              <w:pStyle w:val="TableContents"/>
              <w:bidi w:val="0"/>
              <w:spacing w:lineRule="atLeast" w:line="226" w:before="0" w:after="0"/>
              <w:jc w:val="right"/>
              <w:rPr>
                <w:sz w:val="19"/>
              </w:rPr>
            </w:pPr>
            <w:r>
              <w:rPr>
                <w:sz w:val="19"/>
              </w:rPr>
              <w:t>421,869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lineRule="atLeast" w:line="226" w:before="0" w:after="0"/>
              <w:jc w:val="right"/>
              <w:rPr/>
            </w:pPr>
            <w:r>
              <w:rPr/>
              <w:t>​</w:t>
            </w:r>
          </w:p>
        </w:tc>
        <w:tc>
          <w:tcPr>
            <w:tcW w:w="971" w:type="dxa"/>
            <w:tcBorders/>
            <w:tcMar>
              <w:bottom w:w="0" w:type="dxa"/>
            </w:tcMar>
            <w:vAlign w:val="center"/>
          </w:tcPr>
          <w:p>
            <w:pPr>
              <w:pStyle w:val="TableContents"/>
              <w:bidi w:val="0"/>
              <w:spacing w:lineRule="atLeast" w:line="226" w:before="0" w:after="0"/>
              <w:jc w:val="right"/>
              <w:rPr>
                <w:sz w:val="19"/>
              </w:rPr>
            </w:pPr>
            <w:r>
              <w:rPr>
                <w:sz w:val="19"/>
              </w:rPr>
              <w:t>35,533</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931" w:type="dxa"/>
            <w:tcBorders/>
            <w:tcMar>
              <w:bottom w:w="0" w:type="dxa"/>
            </w:tcMar>
            <w:vAlign w:val="center"/>
          </w:tcPr>
          <w:p>
            <w:pPr>
              <w:pStyle w:val="TableContents"/>
              <w:bidi w:val="0"/>
              <w:spacing w:lineRule="atLeast" w:line="226" w:before="0" w:after="0"/>
              <w:jc w:val="right"/>
              <w:rPr>
                <w:sz w:val="19"/>
              </w:rPr>
            </w:pPr>
            <w:r>
              <w:rPr>
                <w:sz w:val="19"/>
              </w:rPr>
              <w:t>1,925,810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26" w:type="dxa"/>
            <w:tcBorders/>
            <w:tcMar>
              <w:bottom w:w="0" w:type="dxa"/>
            </w:tcMar>
            <w:vAlign w:val="center"/>
          </w:tcPr>
          <w:p>
            <w:pPr>
              <w:pStyle w:val="TableContents"/>
              <w:bidi w:val="0"/>
              <w:spacing w:before="0" w:after="0"/>
              <w:jc w:val="right"/>
              <w:rPr>
                <w:sz w:val="19"/>
              </w:rPr>
            </w:pPr>
            <w:r>
              <w:rPr>
                <w:sz w:val="19"/>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669,955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334,978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669,948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0"/>
              <w:jc w:val="right"/>
              <w:rPr/>
            </w:pPr>
            <w:r>
              <w:rPr/>
              <w:t>​</w:t>
            </w:r>
          </w:p>
        </w:tc>
        <w:tc>
          <w:tcPr>
            <w:tcW w:w="1015" w:type="dxa"/>
            <w:tcBorders/>
            <w:tcMar>
              <w:bottom w:w="0" w:type="dxa"/>
            </w:tcMar>
            <w:vAlign w:val="center"/>
          </w:tcPr>
          <w:p>
            <w:pPr>
              <w:pStyle w:val="TableContents"/>
              <w:bidi w:val="0"/>
              <w:spacing w:before="0" w:after="0"/>
              <w:jc w:val="right"/>
              <w:rPr>
                <w:sz w:val="19"/>
              </w:rPr>
            </w:pPr>
            <w:r>
              <w:rPr>
                <w:sz w:val="19"/>
              </w:rPr>
              <w:t>395,943</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0"/>
              <w:jc w:val="right"/>
              <w:rPr/>
            </w:pPr>
            <w:r>
              <w:rPr/>
              <w:t>​</w:t>
            </w:r>
          </w:p>
        </w:tc>
        <w:tc>
          <w:tcPr>
            <w:tcW w:w="971" w:type="dxa"/>
            <w:tcBorders/>
            <w:tcMar>
              <w:bottom w:w="0" w:type="dxa"/>
            </w:tcMar>
            <w:vAlign w:val="center"/>
          </w:tcPr>
          <w:p>
            <w:pPr>
              <w:pStyle w:val="TableContents"/>
              <w:bidi w:val="0"/>
              <w:spacing w:before="0" w:after="0"/>
              <w:jc w:val="right"/>
              <w:rPr>
                <w:sz w:val="19"/>
              </w:rPr>
            </w:pPr>
            <w:r>
              <w:rPr>
                <w:sz w:val="19"/>
              </w:rPr>
              <w:t>29,763</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931" w:type="dxa"/>
            <w:tcBorders/>
            <w:tcMar>
              <w:bottom w:w="0" w:type="dxa"/>
            </w:tcMar>
            <w:vAlign w:val="center"/>
          </w:tcPr>
          <w:p>
            <w:pPr>
              <w:pStyle w:val="TableContents"/>
              <w:bidi w:val="0"/>
              <w:spacing w:before="0" w:after="0"/>
              <w:jc w:val="right"/>
              <w:rPr>
                <w:sz w:val="19"/>
              </w:rPr>
            </w:pPr>
            <w:r>
              <w:rPr>
                <w:sz w:val="19"/>
              </w:rPr>
              <w:t>2,100,587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526" w:type="dxa"/>
            <w:tcBorders>
              <w:bottom w:val="single" w:sz="2" w:space="0" w:color="BFBFBF"/>
            </w:tcBorders>
            <w:tcMar>
              <w:bottom w:w="65" w:type="dxa"/>
            </w:tcMar>
            <w:vAlign w:val="center"/>
          </w:tcPr>
          <w:p>
            <w:pPr>
              <w:pStyle w:val="TableContents"/>
              <w:bidi w:val="0"/>
              <w:spacing w:before="0" w:after="0"/>
              <w:jc w:val="right"/>
              <w:rPr>
                <w:sz w:val="19"/>
              </w:rPr>
            </w:pPr>
            <w:r>
              <w:rPr>
                <w:sz w:val="19"/>
              </w:rPr>
              <w:t>2023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666,629</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650,000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65" w:type="dxa"/>
            </w:tcMar>
            <w:vAlign w:val="center"/>
          </w:tcPr>
          <w:p>
            <w:pPr>
              <w:pStyle w:val="TableContents"/>
              <w:bidi w:val="0"/>
              <w:spacing w:before="0" w:after="0"/>
              <w:jc w:val="right"/>
              <w:rPr/>
            </w:pPr>
            <w:r>
              <w:rPr/>
              <w:t>​</w:t>
            </w:r>
          </w:p>
        </w:tc>
        <w:tc>
          <w:tcPr>
            <w:tcW w:w="1015" w:type="dxa"/>
            <w:tcBorders>
              <w:bottom w:val="single" w:sz="2" w:space="0" w:color="BFBFBF"/>
            </w:tcBorders>
            <w:tcMar>
              <w:bottom w:w="65" w:type="dxa"/>
            </w:tcMar>
            <w:vAlign w:val="center"/>
          </w:tcPr>
          <w:p>
            <w:pPr>
              <w:pStyle w:val="TableContents"/>
              <w:bidi w:val="0"/>
              <w:spacing w:before="0" w:after="0"/>
              <w:jc w:val="right"/>
              <w:rPr>
                <w:sz w:val="19"/>
              </w:rPr>
            </w:pPr>
            <w:r>
              <w:rPr>
                <w:sz w:val="19"/>
              </w:rPr>
              <w:t>556,063</w:t>
            </w:r>
          </w:p>
        </w:tc>
        <w:tc>
          <w:tcPr>
            <w:tcW w:w="14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tcMar>
              <w:bottom w:w="65" w:type="dxa"/>
            </w:tcMar>
            <w:vAlign w:val="center"/>
          </w:tcPr>
          <w:p>
            <w:pPr>
              <w:pStyle w:val="TableContents"/>
              <w:bidi w:val="0"/>
              <w:spacing w:before="0" w:after="0"/>
              <w:jc w:val="right"/>
              <w:rPr/>
            </w:pPr>
            <w:r>
              <w:rPr/>
              <w:t>​</w:t>
            </w:r>
          </w:p>
        </w:tc>
        <w:tc>
          <w:tcPr>
            <w:tcW w:w="971" w:type="dxa"/>
            <w:tcBorders>
              <w:bottom w:val="single" w:sz="2" w:space="0" w:color="BFBFBF"/>
            </w:tcBorders>
            <w:tcMar>
              <w:bottom w:w="65" w:type="dxa"/>
            </w:tcMar>
            <w:vAlign w:val="center"/>
          </w:tcPr>
          <w:p>
            <w:pPr>
              <w:pStyle w:val="TableContents"/>
              <w:bidi w:val="0"/>
              <w:spacing w:before="0" w:after="0"/>
              <w:jc w:val="right"/>
              <w:rPr>
                <w:sz w:val="19"/>
              </w:rPr>
            </w:pPr>
            <w:r>
              <w:rPr>
                <w:sz w:val="19"/>
              </w:rPr>
              <w:t>76,509</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931" w:type="dxa"/>
            <w:tcBorders>
              <w:bottom w:val="single" w:sz="2" w:space="0" w:color="BFBFBF"/>
            </w:tcBorders>
            <w:tcMar>
              <w:bottom w:w="65" w:type="dxa"/>
            </w:tcMar>
            <w:vAlign w:val="center"/>
          </w:tcPr>
          <w:p>
            <w:pPr>
              <w:pStyle w:val="TableContents"/>
              <w:bidi w:val="0"/>
              <w:spacing w:before="0" w:after="0"/>
              <w:jc w:val="right"/>
              <w:rPr>
                <w:sz w:val="19"/>
              </w:rPr>
            </w:pPr>
            <w:r>
              <w:rPr>
                <w:sz w:val="19"/>
              </w:rPr>
              <w:t>1,949,201</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996" w:type="dxa"/>
            <w:vMerge w:val="restart"/>
            <w:tcBorders>
              <w:bottom w:val="single" w:sz="2" w:space="0" w:color="BFBFBF"/>
            </w:tcBorders>
            <w:tcMar>
              <w:bottom w:w="65" w:type="dxa"/>
            </w:tcMar>
            <w:vAlign w:val="center"/>
          </w:tcPr>
          <w:p>
            <w:pPr>
              <w:pStyle w:val="TableContents"/>
              <w:bidi w:val="0"/>
              <w:spacing w:before="0" w:after="0"/>
              <w:ind w:left="190" w:right="0" w:hanging="190"/>
              <w:jc w:val="left"/>
              <w:rPr>
                <w:sz w:val="19"/>
              </w:rPr>
            </w:pPr>
            <w:r>
              <w:rPr>
                <w:color w:val="002C73"/>
                <w:sz w:val="19"/>
              </w:rPr>
              <w:t>Michael J. Hoffmann,</w:t>
            </w:r>
            <w:r>
              <w:rPr>
                <w:sz w:val="19"/>
              </w:rPr>
              <w:t xml:space="preserve"> </w:t>
              <w:br/>
              <w:t>Group Chief</w:t>
              <w:br/>
              <w:t xml:space="preserve">Underwriting Officer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526" w:type="dxa"/>
            <w:tcBorders/>
            <w:tcMar>
              <w:bottom w:w="0" w:type="dxa"/>
            </w:tcMar>
            <w:vAlign w:val="center"/>
          </w:tcPr>
          <w:p>
            <w:pPr>
              <w:pStyle w:val="TableContents"/>
              <w:bidi w:val="0"/>
              <w:spacing w:lineRule="atLeast" w:line="226" w:before="0" w:after="0"/>
              <w:jc w:val="right"/>
              <w:rPr>
                <w:sz w:val="19"/>
              </w:rPr>
            </w:pPr>
            <w:r>
              <w:rPr>
                <w:sz w:val="19"/>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453,050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165,750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781" w:type="dxa"/>
            <w:tcBorders/>
            <w:tcMar>
              <w:bottom w:w="0" w:type="dxa"/>
            </w:tcMar>
            <w:vAlign w:val="center"/>
          </w:tcPr>
          <w:p>
            <w:pPr>
              <w:pStyle w:val="TableContents"/>
              <w:bidi w:val="0"/>
              <w:spacing w:lineRule="atLeast" w:line="226" w:before="0" w:after="0"/>
              <w:jc w:val="right"/>
              <w:rPr>
                <w:sz w:val="19"/>
              </w:rPr>
            </w:pPr>
            <w:r>
              <w:rPr>
                <w:sz w:val="19"/>
              </w:rPr>
              <w:t>441,997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26" w:before="0" w:after="0"/>
              <w:jc w:val="right"/>
              <w:rPr/>
            </w:pPr>
            <w:r>
              <w:rPr/>
              <w:t>​</w:t>
            </w:r>
          </w:p>
        </w:tc>
        <w:tc>
          <w:tcPr>
            <w:tcW w:w="1015" w:type="dxa"/>
            <w:tcBorders/>
            <w:tcMar>
              <w:bottom w:w="0" w:type="dxa"/>
            </w:tcMar>
            <w:vAlign w:val="center"/>
          </w:tcPr>
          <w:p>
            <w:pPr>
              <w:pStyle w:val="TableContents"/>
              <w:bidi w:val="0"/>
              <w:spacing w:lineRule="atLeast" w:line="226" w:before="0" w:after="0"/>
              <w:jc w:val="right"/>
              <w:rPr>
                <w:sz w:val="19"/>
              </w:rPr>
            </w:pPr>
            <w:r>
              <w:rPr>
                <w:sz w:val="19"/>
              </w:rPr>
              <w:t>320,617</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lineRule="atLeast" w:line="226" w:before="0" w:after="0"/>
              <w:jc w:val="right"/>
              <w:rPr/>
            </w:pPr>
            <w:r>
              <w:rPr/>
              <w:t>​</w:t>
            </w:r>
          </w:p>
        </w:tc>
        <w:tc>
          <w:tcPr>
            <w:tcW w:w="971" w:type="dxa"/>
            <w:tcBorders/>
            <w:tcMar>
              <w:bottom w:w="0" w:type="dxa"/>
            </w:tcMar>
            <w:vAlign w:val="center"/>
          </w:tcPr>
          <w:p>
            <w:pPr>
              <w:pStyle w:val="TableContents"/>
              <w:bidi w:val="0"/>
              <w:spacing w:lineRule="atLeast" w:line="226" w:before="0" w:after="0"/>
              <w:jc w:val="right"/>
              <w:rPr>
                <w:sz w:val="19"/>
              </w:rPr>
            </w:pPr>
            <w:r>
              <w:rPr>
                <w:sz w:val="19"/>
              </w:rPr>
              <w:t>33,921</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931" w:type="dxa"/>
            <w:tcBorders/>
            <w:tcMar>
              <w:bottom w:w="0" w:type="dxa"/>
            </w:tcMar>
            <w:vAlign w:val="center"/>
          </w:tcPr>
          <w:p>
            <w:pPr>
              <w:pStyle w:val="TableContents"/>
              <w:bidi w:val="0"/>
              <w:spacing w:lineRule="atLeast" w:line="226" w:before="0" w:after="0"/>
              <w:jc w:val="right"/>
              <w:rPr>
                <w:sz w:val="19"/>
              </w:rPr>
            </w:pPr>
            <w:r>
              <w:rPr>
                <w:sz w:val="19"/>
              </w:rPr>
              <w:t>1,415,335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26" w:type="dxa"/>
            <w:tcBorders/>
            <w:tcMar>
              <w:bottom w:w="0" w:type="dxa"/>
            </w:tcMar>
            <w:vAlign w:val="center"/>
          </w:tcPr>
          <w:p>
            <w:pPr>
              <w:pStyle w:val="TableContents"/>
              <w:bidi w:val="0"/>
              <w:spacing w:before="0" w:after="0"/>
              <w:jc w:val="right"/>
              <w:rPr>
                <w:sz w:val="19"/>
              </w:rPr>
            </w:pPr>
            <w:r>
              <w:rPr>
                <w:sz w:val="19"/>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442,000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165,750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81" w:type="dxa"/>
            <w:tcBorders/>
            <w:tcMar>
              <w:bottom w:w="0" w:type="dxa"/>
            </w:tcMar>
            <w:vAlign w:val="center"/>
          </w:tcPr>
          <w:p>
            <w:pPr>
              <w:pStyle w:val="TableContents"/>
              <w:bidi w:val="0"/>
              <w:spacing w:before="0" w:after="0"/>
              <w:jc w:val="right"/>
              <w:rPr>
                <w:sz w:val="19"/>
              </w:rPr>
            </w:pPr>
            <w:r>
              <w:rPr>
                <w:sz w:val="19"/>
              </w:rPr>
              <w:t>442,000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0"/>
              <w:jc w:val="right"/>
              <w:rPr/>
            </w:pPr>
            <w:r>
              <w:rPr/>
              <w:t>​</w:t>
            </w:r>
          </w:p>
        </w:tc>
        <w:tc>
          <w:tcPr>
            <w:tcW w:w="1015" w:type="dxa"/>
            <w:tcBorders/>
            <w:tcMar>
              <w:bottom w:w="0" w:type="dxa"/>
            </w:tcMar>
            <w:vAlign w:val="center"/>
          </w:tcPr>
          <w:p>
            <w:pPr>
              <w:pStyle w:val="TableContents"/>
              <w:bidi w:val="0"/>
              <w:spacing w:before="0" w:after="0"/>
              <w:jc w:val="right"/>
              <w:rPr>
                <w:sz w:val="19"/>
              </w:rPr>
            </w:pPr>
            <w:r>
              <w:rPr>
                <w:sz w:val="19"/>
              </w:rPr>
              <w:t>255,586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0"/>
              <w:jc w:val="right"/>
              <w:rPr/>
            </w:pPr>
            <w:r>
              <w:rPr/>
              <w:t>​</w:t>
            </w:r>
          </w:p>
        </w:tc>
        <w:tc>
          <w:tcPr>
            <w:tcW w:w="971" w:type="dxa"/>
            <w:tcBorders/>
            <w:tcMar>
              <w:bottom w:w="0" w:type="dxa"/>
            </w:tcMar>
            <w:vAlign w:val="center"/>
          </w:tcPr>
          <w:p>
            <w:pPr>
              <w:pStyle w:val="TableContents"/>
              <w:bidi w:val="0"/>
              <w:spacing w:before="0" w:after="0"/>
              <w:jc w:val="right"/>
              <w:rPr>
                <w:sz w:val="19"/>
              </w:rPr>
            </w:pPr>
            <w:r>
              <w:rPr>
                <w:sz w:val="19"/>
              </w:rPr>
              <w:t>30,825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931" w:type="dxa"/>
            <w:tcBorders/>
            <w:tcMar>
              <w:bottom w:w="0" w:type="dxa"/>
            </w:tcMar>
            <w:vAlign w:val="center"/>
          </w:tcPr>
          <w:p>
            <w:pPr>
              <w:pStyle w:val="TableContents"/>
              <w:bidi w:val="0"/>
              <w:spacing w:before="0" w:after="0"/>
              <w:jc w:val="right"/>
              <w:rPr>
                <w:sz w:val="19"/>
              </w:rPr>
            </w:pPr>
            <w:r>
              <w:rPr>
                <w:sz w:val="19"/>
              </w:rPr>
              <w:t>1,336,161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996" w:type="dxa"/>
            <w:vMerge w:val="continue"/>
            <w:tcBorders>
              <w:bottom w:val="single" w:sz="2" w:space="0" w:color="BFBFBF"/>
            </w:tcBorders>
            <w:tcMar>
              <w:bottom w:w="6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526" w:type="dxa"/>
            <w:tcBorders>
              <w:bottom w:val="single" w:sz="2" w:space="0" w:color="BFBFBF"/>
            </w:tcBorders>
            <w:tcMar>
              <w:bottom w:w="65" w:type="dxa"/>
            </w:tcMar>
            <w:vAlign w:val="center"/>
          </w:tcPr>
          <w:p>
            <w:pPr>
              <w:pStyle w:val="TableContents"/>
              <w:bidi w:val="0"/>
              <w:spacing w:before="0" w:after="0"/>
              <w:jc w:val="right"/>
              <w:rPr>
                <w:sz w:val="19"/>
              </w:rPr>
            </w:pPr>
            <w:r>
              <w:rPr>
                <w:sz w:val="19"/>
              </w:rPr>
              <w:t>2023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439,167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781" w:type="dxa"/>
            <w:tcBorders>
              <w:bottom w:val="single" w:sz="2" w:space="0" w:color="BFBFBF"/>
            </w:tcBorders>
            <w:tcMar>
              <w:bottom w:w="65" w:type="dxa"/>
            </w:tcMar>
            <w:vAlign w:val="center"/>
          </w:tcPr>
          <w:p>
            <w:pPr>
              <w:pStyle w:val="TableContents"/>
              <w:bidi w:val="0"/>
              <w:spacing w:before="0" w:after="0"/>
              <w:jc w:val="right"/>
              <w:rPr>
                <w:sz w:val="19"/>
              </w:rPr>
            </w:pPr>
            <w:r>
              <w:rPr>
                <w:sz w:val="19"/>
              </w:rPr>
              <w:t>424,990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65" w:type="dxa"/>
            </w:tcMar>
            <w:vAlign w:val="center"/>
          </w:tcPr>
          <w:p>
            <w:pPr>
              <w:pStyle w:val="TableContents"/>
              <w:bidi w:val="0"/>
              <w:spacing w:before="0" w:after="0"/>
              <w:jc w:val="right"/>
              <w:rPr/>
            </w:pPr>
            <w:r>
              <w:rPr/>
              <w:t>​</w:t>
            </w:r>
          </w:p>
        </w:tc>
        <w:tc>
          <w:tcPr>
            <w:tcW w:w="1015" w:type="dxa"/>
            <w:tcBorders>
              <w:bottom w:val="single" w:sz="2" w:space="0" w:color="BFBFBF"/>
            </w:tcBorders>
            <w:tcMar>
              <w:bottom w:w="65" w:type="dxa"/>
            </w:tcMar>
            <w:vAlign w:val="center"/>
          </w:tcPr>
          <w:p>
            <w:pPr>
              <w:pStyle w:val="TableContents"/>
              <w:bidi w:val="0"/>
              <w:spacing w:before="0" w:after="0"/>
              <w:jc w:val="right"/>
              <w:rPr>
                <w:sz w:val="19"/>
              </w:rPr>
            </w:pPr>
            <w:r>
              <w:rPr>
                <w:sz w:val="19"/>
              </w:rPr>
              <w:t>265,200</w:t>
            </w:r>
          </w:p>
        </w:tc>
        <w:tc>
          <w:tcPr>
            <w:tcW w:w="14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tcMar>
              <w:bottom w:w="65" w:type="dxa"/>
            </w:tcMar>
            <w:vAlign w:val="center"/>
          </w:tcPr>
          <w:p>
            <w:pPr>
              <w:pStyle w:val="TableContents"/>
              <w:bidi w:val="0"/>
              <w:spacing w:before="0" w:after="0"/>
              <w:jc w:val="right"/>
              <w:rPr/>
            </w:pPr>
            <w:r>
              <w:rPr/>
              <w:t>​</w:t>
            </w:r>
          </w:p>
        </w:tc>
        <w:tc>
          <w:tcPr>
            <w:tcW w:w="971" w:type="dxa"/>
            <w:tcBorders>
              <w:bottom w:val="single" w:sz="2" w:space="0" w:color="BFBFBF"/>
            </w:tcBorders>
            <w:tcMar>
              <w:bottom w:w="65" w:type="dxa"/>
            </w:tcMar>
            <w:vAlign w:val="center"/>
          </w:tcPr>
          <w:p>
            <w:pPr>
              <w:pStyle w:val="TableContents"/>
              <w:bidi w:val="0"/>
              <w:spacing w:before="0" w:after="0"/>
              <w:jc w:val="right"/>
              <w:rPr>
                <w:sz w:val="19"/>
              </w:rPr>
            </w:pPr>
            <w:r>
              <w:rPr>
                <w:sz w:val="19"/>
              </w:rPr>
              <w:t>27,884</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0"/>
              <w:jc w:val="right"/>
              <w:rPr/>
            </w:pPr>
            <w:r>
              <w:rPr/>
              <w:t>​</w:t>
            </w:r>
          </w:p>
        </w:tc>
        <w:tc>
          <w:tcPr>
            <w:tcW w:w="931" w:type="dxa"/>
            <w:tcBorders>
              <w:bottom w:val="single" w:sz="2" w:space="0" w:color="BFBFBF"/>
            </w:tcBorders>
            <w:tcMar>
              <w:bottom w:w="65" w:type="dxa"/>
            </w:tcMar>
            <w:vAlign w:val="center"/>
          </w:tcPr>
          <w:p>
            <w:pPr>
              <w:pStyle w:val="TableContents"/>
              <w:bidi w:val="0"/>
              <w:spacing w:before="0" w:after="0"/>
              <w:jc w:val="right"/>
              <w:rPr>
                <w:sz w:val="19"/>
              </w:rPr>
            </w:pPr>
            <w:r>
              <w:rPr>
                <w:sz w:val="19"/>
              </w:rPr>
              <w:t>1,157,241</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996" w:type="dxa"/>
            <w:tcBorders>
              <w:bottom w:val="single" w:sz="2" w:space="0" w:color="BFBFBF"/>
            </w:tcBorders>
            <w:tcMar>
              <w:bottom w:w="53" w:type="dxa"/>
            </w:tcMar>
            <w:vAlign w:val="center"/>
          </w:tcPr>
          <w:p>
            <w:pPr>
              <w:pStyle w:val="TableContents"/>
              <w:bidi w:val="0"/>
              <w:spacing w:before="0" w:after="0"/>
              <w:ind w:left="190" w:right="0" w:hanging="190"/>
              <w:jc w:val="left"/>
              <w:rPr>
                <w:sz w:val="19"/>
              </w:rPr>
            </w:pPr>
            <w:r>
              <w:rPr>
                <w:color w:val="002C73"/>
                <w:sz w:val="19"/>
              </w:rPr>
              <w:t>Jeanette L. Miller,</w:t>
            </w:r>
            <w:r>
              <w:rPr>
                <w:sz w:val="19"/>
              </w:rPr>
              <w:t xml:space="preserve"> </w:t>
              <w:br/>
              <w:t xml:space="preserve">Chief Legal Officer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3" w:type="dxa"/>
            </w:tcMar>
            <w:vAlign w:val="center"/>
          </w:tcPr>
          <w:p>
            <w:pPr>
              <w:pStyle w:val="TableContents"/>
              <w:bidi w:val="0"/>
              <w:spacing w:before="0" w:after="0"/>
              <w:jc w:val="right"/>
              <w:rPr/>
            </w:pPr>
            <w:r>
              <w:rPr/>
              <w:t>​</w:t>
            </w:r>
          </w:p>
        </w:tc>
        <w:tc>
          <w:tcPr>
            <w:tcW w:w="526" w:type="dxa"/>
            <w:tcBorders>
              <w:bottom w:val="single" w:sz="2" w:space="0" w:color="BFBFBF"/>
            </w:tcBorders>
            <w:tcMar>
              <w:bottom w:w="53" w:type="dxa"/>
            </w:tcMar>
            <w:vAlign w:val="center"/>
          </w:tcPr>
          <w:p>
            <w:pPr>
              <w:pStyle w:val="TableContents"/>
              <w:bidi w:val="0"/>
              <w:spacing w:before="0" w:after="0"/>
              <w:jc w:val="right"/>
              <w:rPr>
                <w:sz w:val="19"/>
              </w:rPr>
            </w:pPr>
            <w:r>
              <w:rPr>
                <w:sz w:val="19"/>
              </w:rPr>
              <w:t>2025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3" w:type="dxa"/>
            </w:tcMar>
            <w:vAlign w:val="center"/>
          </w:tcPr>
          <w:p>
            <w:pPr>
              <w:pStyle w:val="TableContents"/>
              <w:bidi w:val="0"/>
              <w:spacing w:before="0" w:after="0"/>
              <w:jc w:val="right"/>
              <w:rPr/>
            </w:pPr>
            <w:r>
              <w:rPr/>
              <w:t>​</w:t>
            </w:r>
          </w:p>
        </w:tc>
        <w:tc>
          <w:tcPr>
            <w:tcW w:w="781" w:type="dxa"/>
            <w:tcBorders>
              <w:bottom w:val="single" w:sz="2" w:space="0" w:color="BFBFBF"/>
            </w:tcBorders>
            <w:tcMar>
              <w:bottom w:w="53" w:type="dxa"/>
            </w:tcMar>
            <w:vAlign w:val="center"/>
          </w:tcPr>
          <w:p>
            <w:pPr>
              <w:pStyle w:val="TableContents"/>
              <w:bidi w:val="0"/>
              <w:spacing w:before="0" w:after="0"/>
              <w:jc w:val="right"/>
              <w:rPr>
                <w:sz w:val="19"/>
              </w:rPr>
            </w:pPr>
            <w:r>
              <w:rPr>
                <w:sz w:val="19"/>
              </w:rPr>
              <w:t>369,000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3" w:type="dxa"/>
            </w:tcMar>
            <w:vAlign w:val="center"/>
          </w:tcPr>
          <w:p>
            <w:pPr>
              <w:pStyle w:val="TableContents"/>
              <w:bidi w:val="0"/>
              <w:spacing w:before="0" w:after="0"/>
              <w:jc w:val="right"/>
              <w:rPr/>
            </w:pPr>
            <w:r>
              <w:rPr/>
              <w:t>​</w:t>
            </w:r>
          </w:p>
        </w:tc>
        <w:tc>
          <w:tcPr>
            <w:tcW w:w="781" w:type="dxa"/>
            <w:tcBorders>
              <w:bottom w:val="single" w:sz="2" w:space="0" w:color="BFBFBF"/>
            </w:tcBorders>
            <w:tcMar>
              <w:bottom w:w="53" w:type="dxa"/>
            </w:tcMar>
            <w:vAlign w:val="center"/>
          </w:tcPr>
          <w:p>
            <w:pPr>
              <w:pStyle w:val="TableContents"/>
              <w:bidi w:val="0"/>
              <w:spacing w:before="0" w:after="0"/>
              <w:jc w:val="right"/>
              <w:rPr>
                <w:sz w:val="19"/>
              </w:rPr>
            </w:pPr>
            <w:r>
              <w:rPr>
                <w:sz w:val="19"/>
              </w:rPr>
              <w:t>135,000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3" w:type="dxa"/>
            </w:tcMar>
            <w:vAlign w:val="center"/>
          </w:tcPr>
          <w:p>
            <w:pPr>
              <w:pStyle w:val="TableContents"/>
              <w:bidi w:val="0"/>
              <w:spacing w:before="0" w:after="0"/>
              <w:jc w:val="right"/>
              <w:rPr/>
            </w:pPr>
            <w:r>
              <w:rPr/>
              <w:t>​</w:t>
            </w:r>
          </w:p>
        </w:tc>
        <w:tc>
          <w:tcPr>
            <w:tcW w:w="781" w:type="dxa"/>
            <w:tcBorders>
              <w:bottom w:val="single" w:sz="2" w:space="0" w:color="BFBFBF"/>
            </w:tcBorders>
            <w:tcMar>
              <w:bottom w:w="53" w:type="dxa"/>
            </w:tcMar>
            <w:vAlign w:val="center"/>
          </w:tcPr>
          <w:p>
            <w:pPr>
              <w:pStyle w:val="TableContents"/>
              <w:bidi w:val="0"/>
              <w:spacing w:before="0" w:after="0"/>
              <w:jc w:val="right"/>
              <w:rPr>
                <w:sz w:val="19"/>
              </w:rPr>
            </w:pPr>
            <w:r>
              <w:rPr>
                <w:sz w:val="19"/>
              </w:rPr>
              <w:t>269,994</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53" w:type="dxa"/>
            </w:tcMar>
            <w:vAlign w:val="center"/>
          </w:tcPr>
          <w:p>
            <w:pPr>
              <w:pStyle w:val="TableContents"/>
              <w:bidi w:val="0"/>
              <w:spacing w:before="0" w:after="0"/>
              <w:jc w:val="right"/>
              <w:rPr/>
            </w:pPr>
            <w:r>
              <w:rPr/>
              <w:t>​</w:t>
            </w:r>
          </w:p>
        </w:tc>
        <w:tc>
          <w:tcPr>
            <w:tcW w:w="1015" w:type="dxa"/>
            <w:tcBorders>
              <w:bottom w:val="single" w:sz="2" w:space="0" w:color="BFBFBF"/>
            </w:tcBorders>
            <w:tcMar>
              <w:bottom w:w="53" w:type="dxa"/>
            </w:tcMar>
            <w:vAlign w:val="center"/>
          </w:tcPr>
          <w:p>
            <w:pPr>
              <w:pStyle w:val="TableContents"/>
              <w:bidi w:val="0"/>
              <w:spacing w:before="0" w:after="0"/>
              <w:jc w:val="right"/>
              <w:rPr>
                <w:sz w:val="19"/>
              </w:rPr>
            </w:pPr>
            <w:r>
              <w:rPr>
                <w:sz w:val="19"/>
              </w:rPr>
              <w:t>261,136</w:t>
            </w:r>
          </w:p>
        </w:tc>
        <w:tc>
          <w:tcPr>
            <w:tcW w:w="14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vAlign w:val="center"/>
          </w:tcPr>
          <w:p>
            <w:pPr>
              <w:pStyle w:val="TableContents"/>
              <w:bidi w:val="0"/>
              <w:spacing w:before="0" w:after="283"/>
              <w:jc w:val="left"/>
              <w:rPr/>
            </w:pPr>
            <w:r>
              <w:rPr/>
              <w:t>​</w:t>
            </w:r>
          </w:p>
        </w:tc>
        <w:tc>
          <w:tcPr>
            <w:tcW w:w="156" w:type="dxa"/>
            <w:tcBorders>
              <w:bottom w:val="single" w:sz="2" w:space="0" w:color="BFBFBF"/>
            </w:tcBorders>
            <w:tcMar>
              <w:bottom w:w="53" w:type="dxa"/>
            </w:tcMar>
            <w:vAlign w:val="center"/>
          </w:tcPr>
          <w:p>
            <w:pPr>
              <w:pStyle w:val="TableContents"/>
              <w:bidi w:val="0"/>
              <w:spacing w:before="0" w:after="0"/>
              <w:jc w:val="right"/>
              <w:rPr/>
            </w:pPr>
            <w:r>
              <w:rPr/>
              <w:t>​</w:t>
            </w:r>
          </w:p>
        </w:tc>
        <w:tc>
          <w:tcPr>
            <w:tcW w:w="971" w:type="dxa"/>
            <w:tcBorders>
              <w:bottom w:val="single" w:sz="2" w:space="0" w:color="BFBFBF"/>
            </w:tcBorders>
            <w:tcMar>
              <w:bottom w:w="53" w:type="dxa"/>
            </w:tcMar>
            <w:vAlign w:val="center"/>
          </w:tcPr>
          <w:p>
            <w:pPr>
              <w:pStyle w:val="TableContents"/>
              <w:bidi w:val="0"/>
              <w:spacing w:before="0" w:after="0"/>
              <w:jc w:val="right"/>
              <w:rPr>
                <w:sz w:val="19"/>
              </w:rPr>
            </w:pPr>
            <w:r>
              <w:rPr>
                <w:sz w:val="19"/>
              </w:rPr>
              <w:t>24,639</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3" w:type="dxa"/>
            </w:tcMar>
            <w:vAlign w:val="center"/>
          </w:tcPr>
          <w:p>
            <w:pPr>
              <w:pStyle w:val="TableContents"/>
              <w:bidi w:val="0"/>
              <w:spacing w:before="0" w:after="0"/>
              <w:jc w:val="right"/>
              <w:rPr/>
            </w:pPr>
            <w:r>
              <w:rPr/>
              <w:t>​</w:t>
            </w:r>
          </w:p>
        </w:tc>
        <w:tc>
          <w:tcPr>
            <w:tcW w:w="931" w:type="dxa"/>
            <w:tcBorders>
              <w:bottom w:val="single" w:sz="2" w:space="0" w:color="BFBFBF"/>
            </w:tcBorders>
            <w:tcMar>
              <w:bottom w:w="53" w:type="dxa"/>
            </w:tcMar>
            <w:vAlign w:val="center"/>
          </w:tcPr>
          <w:p>
            <w:pPr>
              <w:pStyle w:val="TableContents"/>
              <w:bidi w:val="0"/>
              <w:spacing w:before="0" w:after="0"/>
              <w:jc w:val="right"/>
              <w:rPr>
                <w:sz w:val="19"/>
              </w:rPr>
            </w:pPr>
            <w:r>
              <w:rPr>
                <w:sz w:val="19"/>
              </w:rPr>
              <w:t>1,059,769</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996" w:type="dxa"/>
            <w:tcBorders>
              <w:bottom w:val="single" w:sz="2" w:space="0" w:color="BFBFBF"/>
            </w:tcBorders>
            <w:tcMar>
              <w:bottom w:w="53" w:type="dxa"/>
            </w:tcMar>
            <w:vAlign w:val="center"/>
          </w:tcPr>
          <w:p>
            <w:pPr>
              <w:pStyle w:val="TableContents"/>
              <w:bidi w:val="0"/>
              <w:spacing w:before="0" w:after="0"/>
              <w:ind w:left="190" w:right="0" w:hanging="190"/>
              <w:jc w:val="left"/>
              <w:rPr>
                <w:sz w:val="19"/>
              </w:rPr>
            </w:pPr>
            <w:r>
              <w:rPr>
                <w:color w:val="002C73"/>
                <w:sz w:val="19"/>
              </w:rPr>
              <w:t>Todd R. Sutherland,</w:t>
            </w:r>
            <w:r>
              <w:rPr>
                <w:sz w:val="19"/>
              </w:rPr>
              <w:t xml:space="preserve"> </w:t>
              <w:br/>
              <w:t xml:space="preserve">President of the E&amp;S </w:t>
              <w:br/>
              <w:t xml:space="preserve">Segment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3" w:type="dxa"/>
            </w:tcMar>
            <w:vAlign w:val="center"/>
          </w:tcPr>
          <w:p>
            <w:pPr>
              <w:pStyle w:val="TableContents"/>
              <w:bidi w:val="0"/>
              <w:spacing w:before="0" w:after="0"/>
              <w:jc w:val="right"/>
              <w:rPr/>
            </w:pPr>
            <w:r>
              <w:rPr/>
              <w:t>​</w:t>
            </w:r>
          </w:p>
        </w:tc>
        <w:tc>
          <w:tcPr>
            <w:tcW w:w="526" w:type="dxa"/>
            <w:tcBorders>
              <w:bottom w:val="single" w:sz="2" w:space="0" w:color="FFFFFF"/>
            </w:tcBorders>
            <w:tcMar>
              <w:bottom w:w="53" w:type="dxa"/>
            </w:tcMar>
            <w:vAlign w:val="center"/>
          </w:tcPr>
          <w:p>
            <w:pPr>
              <w:pStyle w:val="TableContents"/>
              <w:bidi w:val="0"/>
              <w:spacing w:before="0" w:after="0"/>
              <w:jc w:val="right"/>
              <w:rPr>
                <w:sz w:val="19"/>
              </w:rPr>
            </w:pPr>
            <w:r>
              <w:rPr>
                <w:sz w:val="19"/>
              </w:rPr>
              <w:t>2025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3" w:type="dxa"/>
            </w:tcMar>
            <w:vAlign w:val="center"/>
          </w:tcPr>
          <w:p>
            <w:pPr>
              <w:pStyle w:val="TableContents"/>
              <w:bidi w:val="0"/>
              <w:spacing w:before="0" w:after="0"/>
              <w:jc w:val="right"/>
              <w:rPr/>
            </w:pPr>
            <w:r>
              <w:rPr/>
              <w:t>​</w:t>
            </w:r>
          </w:p>
        </w:tc>
        <w:tc>
          <w:tcPr>
            <w:tcW w:w="781" w:type="dxa"/>
            <w:tcBorders>
              <w:bottom w:val="single" w:sz="2" w:space="0" w:color="FFFFFF"/>
            </w:tcBorders>
            <w:tcMar>
              <w:bottom w:w="53" w:type="dxa"/>
            </w:tcMar>
            <w:vAlign w:val="center"/>
          </w:tcPr>
          <w:p>
            <w:pPr>
              <w:pStyle w:val="TableContents"/>
              <w:bidi w:val="0"/>
              <w:spacing w:before="0" w:after="0"/>
              <w:jc w:val="right"/>
              <w:rPr>
                <w:sz w:val="19"/>
              </w:rPr>
            </w:pPr>
            <w:r>
              <w:rPr>
                <w:sz w:val="19"/>
              </w:rPr>
              <w:t>375,119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3" w:type="dxa"/>
            </w:tcMar>
            <w:vAlign w:val="center"/>
          </w:tcPr>
          <w:p>
            <w:pPr>
              <w:pStyle w:val="TableContents"/>
              <w:bidi w:val="0"/>
              <w:spacing w:before="0" w:after="0"/>
              <w:jc w:val="right"/>
              <w:rPr/>
            </w:pPr>
            <w:r>
              <w:rPr/>
              <w:t>​</w:t>
            </w:r>
          </w:p>
        </w:tc>
        <w:tc>
          <w:tcPr>
            <w:tcW w:w="781" w:type="dxa"/>
            <w:tcBorders>
              <w:bottom w:val="single" w:sz="2" w:space="0" w:color="FFFFFF"/>
            </w:tcBorders>
            <w:tcMar>
              <w:bottom w:w="53" w:type="dxa"/>
            </w:tcMar>
            <w:vAlign w:val="center"/>
          </w:tcPr>
          <w:p>
            <w:pPr>
              <w:pStyle w:val="TableContents"/>
              <w:bidi w:val="0"/>
              <w:spacing w:before="0" w:after="0"/>
              <w:jc w:val="right"/>
              <w:rPr>
                <w:sz w:val="19"/>
              </w:rPr>
            </w:pPr>
            <w:r>
              <w:rPr>
                <w:sz w:val="19"/>
              </w:rPr>
              <w:t>52,000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3" w:type="dxa"/>
            </w:tcMar>
            <w:vAlign w:val="center"/>
          </w:tcPr>
          <w:p>
            <w:pPr>
              <w:pStyle w:val="TableContents"/>
              <w:bidi w:val="0"/>
              <w:spacing w:before="0" w:after="0"/>
              <w:jc w:val="right"/>
              <w:rPr/>
            </w:pPr>
            <w:r>
              <w:rPr/>
              <w:t>​</w:t>
            </w:r>
          </w:p>
        </w:tc>
        <w:tc>
          <w:tcPr>
            <w:tcW w:w="781" w:type="dxa"/>
            <w:tcBorders>
              <w:bottom w:val="single" w:sz="2" w:space="0" w:color="FFFFFF"/>
            </w:tcBorders>
            <w:tcMar>
              <w:bottom w:w="53" w:type="dxa"/>
            </w:tcMar>
            <w:vAlign w:val="center"/>
          </w:tcPr>
          <w:p>
            <w:pPr>
              <w:pStyle w:val="TableContents"/>
              <w:bidi w:val="0"/>
              <w:spacing w:before="0" w:after="0"/>
              <w:jc w:val="right"/>
              <w:rPr>
                <w:sz w:val="19"/>
              </w:rPr>
            </w:pPr>
            <w:r>
              <w:rPr>
                <w:sz w:val="19"/>
              </w:rPr>
              <w:t>249,998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 w:type="dxa"/>
            <w:tcBorders>
              <w:bottom w:val="single" w:sz="2" w:space="0" w:color="FFFFFF"/>
            </w:tcBorders>
            <w:vAlign w:val="center"/>
          </w:tcPr>
          <w:p>
            <w:pPr>
              <w:pStyle w:val="TableContents"/>
              <w:bidi w:val="0"/>
              <w:spacing w:before="0" w:after="283"/>
              <w:jc w:val="left"/>
              <w:rPr/>
            </w:pPr>
            <w:r>
              <w:rPr/>
              <w:t>​</w:t>
            </w:r>
          </w:p>
        </w:tc>
        <w:tc>
          <w:tcPr>
            <w:tcW w:w="141" w:type="dxa"/>
            <w:tcBorders>
              <w:bottom w:val="single" w:sz="2" w:space="0" w:color="FFFFFF"/>
            </w:tcBorders>
            <w:tcMar>
              <w:bottom w:w="53" w:type="dxa"/>
            </w:tcMar>
            <w:vAlign w:val="center"/>
          </w:tcPr>
          <w:p>
            <w:pPr>
              <w:pStyle w:val="TableContents"/>
              <w:bidi w:val="0"/>
              <w:spacing w:before="0" w:after="0"/>
              <w:jc w:val="right"/>
              <w:rPr/>
            </w:pPr>
            <w:r>
              <w:rPr/>
              <w:t>​</w:t>
            </w:r>
          </w:p>
        </w:tc>
        <w:tc>
          <w:tcPr>
            <w:tcW w:w="1015" w:type="dxa"/>
            <w:tcBorders>
              <w:bottom w:val="single" w:sz="2" w:space="0" w:color="FFFFFF"/>
            </w:tcBorders>
            <w:tcMar>
              <w:bottom w:w="53" w:type="dxa"/>
            </w:tcMar>
            <w:vAlign w:val="center"/>
          </w:tcPr>
          <w:p>
            <w:pPr>
              <w:pStyle w:val="TableContents"/>
              <w:bidi w:val="0"/>
              <w:spacing w:before="0" w:after="0"/>
              <w:jc w:val="right"/>
              <w:rPr>
                <w:sz w:val="19"/>
              </w:rPr>
            </w:pPr>
            <w:r>
              <w:rPr>
                <w:sz w:val="19"/>
              </w:rPr>
              <w:t>295,620</w:t>
            </w:r>
          </w:p>
        </w:tc>
        <w:tc>
          <w:tcPr>
            <w:tcW w:w="1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tcMar>
              <w:bottom w:w="53" w:type="dxa"/>
            </w:tcMar>
            <w:vAlign w:val="center"/>
          </w:tcPr>
          <w:p>
            <w:pPr>
              <w:pStyle w:val="TableContents"/>
              <w:bidi w:val="0"/>
              <w:spacing w:before="0" w:after="0"/>
              <w:jc w:val="right"/>
              <w:rPr/>
            </w:pPr>
            <w:r>
              <w:rPr/>
              <w:t>​</w:t>
            </w:r>
          </w:p>
        </w:tc>
        <w:tc>
          <w:tcPr>
            <w:tcW w:w="971" w:type="dxa"/>
            <w:tcBorders>
              <w:bottom w:val="single" w:sz="2" w:space="0" w:color="FFFFFF"/>
            </w:tcBorders>
            <w:tcMar>
              <w:bottom w:w="53" w:type="dxa"/>
            </w:tcMar>
            <w:vAlign w:val="center"/>
          </w:tcPr>
          <w:p>
            <w:pPr>
              <w:pStyle w:val="TableContents"/>
              <w:bidi w:val="0"/>
              <w:spacing w:before="0" w:after="0"/>
              <w:jc w:val="right"/>
              <w:rPr>
                <w:sz w:val="19"/>
              </w:rPr>
            </w:pPr>
            <w:r>
              <w:rPr>
                <w:sz w:val="19"/>
              </w:rPr>
              <w:t>22,353</w:t>
            </w:r>
          </w:p>
        </w:tc>
        <w:tc>
          <w:tcPr>
            <w:tcW w:w="1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3" w:type="dxa"/>
            </w:tcMar>
            <w:vAlign w:val="center"/>
          </w:tcPr>
          <w:p>
            <w:pPr>
              <w:pStyle w:val="TableContents"/>
              <w:bidi w:val="0"/>
              <w:spacing w:before="0" w:after="0"/>
              <w:jc w:val="right"/>
              <w:rPr/>
            </w:pPr>
            <w:r>
              <w:rPr/>
              <w:t>​</w:t>
            </w:r>
          </w:p>
        </w:tc>
        <w:tc>
          <w:tcPr>
            <w:tcW w:w="931" w:type="dxa"/>
            <w:tcBorders>
              <w:bottom w:val="single" w:sz="2" w:space="0" w:color="FFFFFF"/>
            </w:tcBorders>
            <w:tcMar>
              <w:bottom w:w="53" w:type="dxa"/>
            </w:tcMar>
            <w:vAlign w:val="center"/>
          </w:tcPr>
          <w:p>
            <w:pPr>
              <w:pStyle w:val="TableContents"/>
              <w:bidi w:val="0"/>
              <w:spacing w:before="0" w:after="0"/>
              <w:jc w:val="right"/>
              <w:rPr>
                <w:sz w:val="19"/>
              </w:rPr>
            </w:pPr>
            <w:r>
              <w:rPr>
                <w:sz w:val="19"/>
              </w:rPr>
              <w:t>995,090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80" w:type="dxa"/>
            <w:gridSpan w:val="52"/>
            <w:tcBorders/>
            <w:tcMar>
              <w:bottom w:w="0" w:type="dxa"/>
            </w:tcM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3"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amount of retention award paid in 2025 to Ms. Doran, Mr. Schmitzer, Mr. Hoffmann and Ms. Miller pursuant to a cash retention award granted by the Board of Directors of the Company on July 25, 2024. Please see “Compensation Discussion &amp; Analysis IV. Compensation Program Components — 2024 One-Time Retention Awards” for further detail. For Mr. Sutherland, this amount represents the first vested tranche of the cash incentive award granted to him in 2024 under the 2014 LTIP prior to his appointment as President of the E&amp;S Segment, which award vests in equal annual installments over three years.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8105"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5"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5pt;mso-wrap-distance-bottom:0pt;margin-top:6.1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the aggregate grant date fair value of PRSUs and Service-Based RSUs awarded to our named executive officers in 2025 under the 2014 LTIP, computed in accordance with FASB ASC Topic 718. For the PRSUs, the value at the grant date is based upon the probable outcome of the performance conditions, excluding the effect of estimated forfeitures. For the Service-Based RSUs, the value is based on the closing price of the Company’s common stock on the date of grant. Assuming the maximum level of performance is achieved, the value at the grant date for the PRSUs awarded to each of Mr. D’Orazio, Ms. Doran, Mr. Schmitzer, Mr. Hoffmann and Ms. Miller in 2025 would be $966,625, $572,000, $669,955, $442,000, and $270,000, respectively. Mr. Sutherland did not receive a PRSU award in 2025. See Note 14 — “Equity Awards” in the Company’s Annual Report on Form 10-K for the year ended December 31, 2025, for a description of the assumptions that were used in determining the dollar amounts recognized for financial statement reporting purposes of equity awards. Upon his retirement on October 15, 2025, Mr. Schmitzer forfeited a portion of the grant-date value of the PRSUs and Service-Based RSUs equal to $470,190 of his 2025 grant, $246,578 of his 2024 grant and $22,546 of his 2023 grant.</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6"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the annual cash incentive awards paid to each of our named executive officers pursuant to the STI Plan, which are based on the achievement of financial and strategic performance metrics. See “Compensation Discussion &amp; Analysis IV. Compensation Program Components — Short-Term Incentives” for further detail. For Mr. Schmitzer, the amount for 2025 represents a pro-rated payment of his STI Plan award in connection with his retirement from the Company based upon the level of achievement of the performance goals for such fiscal year, with such pro-rated amounts determined based upon the period he was employed by the Company during 2025.</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7"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See the immediately following table for a description of the compensation included in the “All Other Compensation” column.</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8"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(4)</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Mr. Schmitzer stepped down as President and Chief Executive Officer of the E&amp;S Segment effective May 5, 2025 and July 31, 2025, respectively, and retired from the Company on October 15, 2025. </w:t>
      </w:r>
      <w:r>
        <mc:AlternateContent>
          <mc:Choice Requires="wps">
            <w:drawing>
              <wp:anchor behindDoc="0" distT="1524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49"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(5)</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33</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provides a description of the compensation included in the “All Other Compensation” column of the Summary Compensation Table:</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207"/>
        <w:gridCol w:w="109"/>
        <w:gridCol w:w="109"/>
        <w:gridCol w:w="109"/>
        <w:gridCol w:w="194"/>
        <w:gridCol w:w="194"/>
        <w:gridCol w:w="1367"/>
        <w:gridCol w:w="196"/>
        <w:gridCol w:w="109"/>
        <w:gridCol w:w="109"/>
        <w:gridCol w:w="109"/>
        <w:gridCol w:w="152"/>
        <w:gridCol w:w="152"/>
        <w:gridCol w:w="1076"/>
        <w:gridCol w:w="155"/>
        <w:gridCol w:w="109"/>
        <w:gridCol w:w="109"/>
        <w:gridCol w:w="109"/>
        <w:gridCol w:w="109"/>
        <w:gridCol w:w="109"/>
        <w:gridCol w:w="649"/>
        <w:gridCol w:w="109"/>
        <w:gridCol w:w="109"/>
        <w:gridCol w:w="109"/>
        <w:gridCol w:w="109"/>
        <w:gridCol w:w="202"/>
        <w:gridCol w:w="202"/>
        <w:gridCol w:w="1419"/>
        <w:gridCol w:w="203"/>
        <w:gridCol w:w="158"/>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207"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NAME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5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401(K) PLAN</w:t>
              <w:br/>
              <w:t>COMPANY</w:t>
              <w:br/>
              <w:t>CONTRIBUTION</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35"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ACCRUED DIVIDENDS</w:t>
              <w:br/>
              <w:t>PAID UPON VESTING</w:t>
              <w:br/>
              <w:t>OF RSUS</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976"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OTHER</w:t>
            </w:r>
            <w:r>
              <w:rPr>
                <w:sz w:val="11"/>
              </w:rPr>
              <w:t>(a)</w:t>
            </w:r>
            <w:r>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TOTAL</w:t>
              <w:br/>
              <w:t>ALL OTHER</w:t>
              <w:br/>
              <w:t>COMPENSATION</w:t>
              <w:br/>
              <w:t xml:space="preserve">($) </w:t>
            </w:r>
          </w:p>
        </w:tc>
        <w:tc>
          <w:tcPr>
            <w:tcW w:w="158"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07"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tcMar>
              <w:bottom w:w="65" w:type="dxa"/>
            </w:tcMar>
            <w:vAlign w:val="center"/>
          </w:tcPr>
          <w:p>
            <w:pPr>
              <w:pStyle w:val="TableContents"/>
              <w:bidi w:val="0"/>
              <w:spacing w:before="0" w:after="283"/>
              <w:jc w:val="right"/>
              <w:rPr/>
            </w:pPr>
            <w:r>
              <w:rPr/>
              <w:t>​</w:t>
            </w:r>
          </w:p>
        </w:tc>
        <w:tc>
          <w:tcPr>
            <w:tcW w:w="1367" w:type="dxa"/>
            <w:tcBorders>
              <w:bottom w:val="single" w:sz="2" w:space="0" w:color="BFBFBF"/>
            </w:tcBorders>
            <w:tcMar>
              <w:bottom w:w="65" w:type="dxa"/>
            </w:tcMar>
            <w:vAlign w:val="center"/>
          </w:tcPr>
          <w:p>
            <w:pPr>
              <w:pStyle w:val="TableContents"/>
              <w:bidi w:val="0"/>
              <w:spacing w:before="0" w:after="283"/>
              <w:jc w:val="right"/>
              <w:rPr/>
            </w:pPr>
            <w:r>
              <w:rPr/>
              <w:t>21,000</w:t>
            </w:r>
          </w:p>
        </w:tc>
        <w:tc>
          <w:tcPr>
            <w:tcW w:w="19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6" w:type="dxa"/>
            <w:tcBorders>
              <w:bottom w:val="single" w:sz="2" w:space="0" w:color="BFBFBF"/>
            </w:tcBorders>
            <w:tcMar>
              <w:bottom w:w="65" w:type="dxa"/>
            </w:tcMar>
            <w:vAlign w:val="center"/>
          </w:tcPr>
          <w:p>
            <w:pPr>
              <w:pStyle w:val="TableContents"/>
              <w:bidi w:val="0"/>
              <w:spacing w:before="0" w:after="283"/>
              <w:jc w:val="right"/>
              <w:rPr/>
            </w:pPr>
            <w:r>
              <w:rPr/>
              <w:t>16,475</w:t>
            </w:r>
          </w:p>
        </w:tc>
        <w:tc>
          <w:tcPr>
            <w:tcW w:w="15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649" w:type="dxa"/>
            <w:tcBorders>
              <w:bottom w:val="single" w:sz="2" w:space="0" w:color="BFBFBF"/>
            </w:tcBorders>
            <w:tcMar>
              <w:bottom w:w="65" w:type="dxa"/>
            </w:tcMar>
            <w:vAlign w:val="center"/>
          </w:tcPr>
          <w:p>
            <w:pPr>
              <w:pStyle w:val="TableContents"/>
              <w:bidi w:val="0"/>
              <w:spacing w:before="0" w:after="283"/>
              <w:jc w:val="right"/>
              <w:rPr/>
            </w:pPr>
            <w:r>
              <w:rPr/>
              <w:t>513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tcMar>
              <w:bottom w:w="65" w:type="dxa"/>
            </w:tcMar>
            <w:vAlign w:val="center"/>
          </w:tcPr>
          <w:p>
            <w:pPr>
              <w:pStyle w:val="TableContents"/>
              <w:bidi w:val="0"/>
              <w:spacing w:before="0" w:after="283"/>
              <w:jc w:val="right"/>
              <w:rPr/>
            </w:pPr>
            <w:r>
              <w:rPr/>
              <w:t>​</w:t>
            </w:r>
          </w:p>
        </w:tc>
        <w:tc>
          <w:tcPr>
            <w:tcW w:w="1419" w:type="dxa"/>
            <w:tcBorders>
              <w:bottom w:val="single" w:sz="2" w:space="0" w:color="BFBFBF"/>
            </w:tcBorders>
            <w:tcMar>
              <w:bottom w:w="65" w:type="dxa"/>
            </w:tcMar>
            <w:vAlign w:val="center"/>
          </w:tcPr>
          <w:p>
            <w:pPr>
              <w:pStyle w:val="TableContents"/>
              <w:bidi w:val="0"/>
              <w:spacing w:before="0" w:after="283"/>
              <w:jc w:val="right"/>
              <w:rPr/>
            </w:pPr>
            <w:r>
              <w:rPr/>
              <w:t>37,988</w:t>
            </w:r>
          </w:p>
        </w:tc>
        <w:tc>
          <w:tcPr>
            <w:tcW w:w="203"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07"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tcMar>
              <w:bottom w:w="65" w:type="dxa"/>
            </w:tcMar>
            <w:vAlign w:val="center"/>
          </w:tcPr>
          <w:p>
            <w:pPr>
              <w:pStyle w:val="TableContents"/>
              <w:bidi w:val="0"/>
              <w:spacing w:before="0" w:after="283"/>
              <w:jc w:val="right"/>
              <w:rPr/>
            </w:pPr>
            <w:r>
              <w:rPr/>
              <w:t>​</w:t>
            </w:r>
          </w:p>
        </w:tc>
        <w:tc>
          <w:tcPr>
            <w:tcW w:w="1367" w:type="dxa"/>
            <w:tcBorders>
              <w:bottom w:val="single" w:sz="2" w:space="0" w:color="BFBFBF"/>
            </w:tcBorders>
            <w:tcMar>
              <w:bottom w:w="65" w:type="dxa"/>
            </w:tcMar>
            <w:vAlign w:val="center"/>
          </w:tcPr>
          <w:p>
            <w:pPr>
              <w:pStyle w:val="TableContents"/>
              <w:bidi w:val="0"/>
              <w:spacing w:before="0" w:after="283"/>
              <w:jc w:val="right"/>
              <w:rPr/>
            </w:pPr>
            <w:r>
              <w:rPr/>
              <w:t>21,000</w:t>
            </w:r>
          </w:p>
        </w:tc>
        <w:tc>
          <w:tcPr>
            <w:tcW w:w="19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6" w:type="dxa"/>
            <w:tcBorders>
              <w:bottom w:val="single" w:sz="2" w:space="0" w:color="BFBFBF"/>
            </w:tcBorders>
            <w:tcMar>
              <w:bottom w:w="65" w:type="dxa"/>
            </w:tcMar>
            <w:vAlign w:val="center"/>
          </w:tcPr>
          <w:p>
            <w:pPr>
              <w:pStyle w:val="TableContents"/>
              <w:bidi w:val="0"/>
              <w:spacing w:before="0" w:after="283"/>
              <w:jc w:val="right"/>
              <w:rPr/>
            </w:pPr>
            <w:r>
              <w:rPr/>
              <w:t>8,260</w:t>
            </w:r>
          </w:p>
        </w:tc>
        <w:tc>
          <w:tcPr>
            <w:tcW w:w="15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649" w:type="dxa"/>
            <w:tcBorders>
              <w:bottom w:val="single" w:sz="2" w:space="0" w:color="BFBFBF"/>
            </w:tcBorders>
            <w:tcMar>
              <w:bottom w:w="65" w:type="dxa"/>
            </w:tcMar>
            <w:vAlign w:val="center"/>
          </w:tcPr>
          <w:p>
            <w:pPr>
              <w:pStyle w:val="TableContents"/>
              <w:bidi w:val="0"/>
              <w:spacing w:before="0" w:after="283"/>
              <w:jc w:val="right"/>
              <w:rPr/>
            </w:pPr>
            <w:r>
              <w:rPr/>
              <w:t>513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tcMar>
              <w:bottom w:w="65" w:type="dxa"/>
            </w:tcMar>
            <w:vAlign w:val="center"/>
          </w:tcPr>
          <w:p>
            <w:pPr>
              <w:pStyle w:val="TableContents"/>
              <w:bidi w:val="0"/>
              <w:spacing w:before="0" w:after="283"/>
              <w:jc w:val="right"/>
              <w:rPr/>
            </w:pPr>
            <w:r>
              <w:rPr/>
              <w:t>​</w:t>
            </w:r>
          </w:p>
        </w:tc>
        <w:tc>
          <w:tcPr>
            <w:tcW w:w="1419" w:type="dxa"/>
            <w:tcBorders>
              <w:bottom w:val="single" w:sz="2" w:space="0" w:color="BFBFBF"/>
            </w:tcBorders>
            <w:tcMar>
              <w:bottom w:w="65" w:type="dxa"/>
            </w:tcMar>
            <w:vAlign w:val="center"/>
          </w:tcPr>
          <w:p>
            <w:pPr>
              <w:pStyle w:val="TableContents"/>
              <w:bidi w:val="0"/>
              <w:spacing w:before="0" w:after="283"/>
              <w:jc w:val="right"/>
              <w:rPr/>
            </w:pPr>
            <w:r>
              <w:rPr/>
              <w:t>29,773</w:t>
            </w:r>
          </w:p>
        </w:tc>
        <w:tc>
          <w:tcPr>
            <w:tcW w:w="203"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07"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tcMar>
              <w:bottom w:w="65" w:type="dxa"/>
            </w:tcMar>
            <w:vAlign w:val="center"/>
          </w:tcPr>
          <w:p>
            <w:pPr>
              <w:pStyle w:val="TableContents"/>
              <w:bidi w:val="0"/>
              <w:spacing w:before="0" w:after="283"/>
              <w:jc w:val="right"/>
              <w:rPr/>
            </w:pPr>
            <w:r>
              <w:rPr/>
              <w:t>​</w:t>
            </w:r>
          </w:p>
        </w:tc>
        <w:tc>
          <w:tcPr>
            <w:tcW w:w="1367" w:type="dxa"/>
            <w:tcBorders>
              <w:bottom w:val="single" w:sz="2" w:space="0" w:color="BFBFBF"/>
            </w:tcBorders>
            <w:tcMar>
              <w:bottom w:w="65" w:type="dxa"/>
            </w:tcMar>
            <w:vAlign w:val="center"/>
          </w:tcPr>
          <w:p>
            <w:pPr>
              <w:pStyle w:val="TableContents"/>
              <w:bidi w:val="0"/>
              <w:spacing w:before="0" w:after="283"/>
              <w:jc w:val="right"/>
              <w:rPr/>
            </w:pPr>
            <w:r>
              <w:rPr/>
              <w:t>21,000</w:t>
            </w:r>
          </w:p>
        </w:tc>
        <w:tc>
          <w:tcPr>
            <w:tcW w:w="19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6" w:type="dxa"/>
            <w:tcBorders>
              <w:bottom w:val="single" w:sz="2" w:space="0" w:color="BFBFBF"/>
            </w:tcBorders>
            <w:tcMar>
              <w:bottom w:w="65" w:type="dxa"/>
            </w:tcMar>
            <w:vAlign w:val="center"/>
          </w:tcPr>
          <w:p>
            <w:pPr>
              <w:pStyle w:val="TableContents"/>
              <w:bidi w:val="0"/>
              <w:spacing w:before="0" w:after="283"/>
              <w:jc w:val="right"/>
              <w:rPr/>
            </w:pPr>
            <w:r>
              <w:rPr/>
              <w:t>14,020</w:t>
            </w:r>
          </w:p>
        </w:tc>
        <w:tc>
          <w:tcPr>
            <w:tcW w:w="15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649" w:type="dxa"/>
            <w:tcBorders>
              <w:bottom w:val="single" w:sz="2" w:space="0" w:color="BFBFBF"/>
            </w:tcBorders>
            <w:tcMar>
              <w:bottom w:w="65" w:type="dxa"/>
            </w:tcMar>
            <w:vAlign w:val="center"/>
          </w:tcPr>
          <w:p>
            <w:pPr>
              <w:pStyle w:val="TableContents"/>
              <w:bidi w:val="0"/>
              <w:spacing w:before="0" w:after="283"/>
              <w:jc w:val="right"/>
              <w:rPr/>
            </w:pPr>
            <w:r>
              <w:rPr/>
              <w:t>513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tcMar>
              <w:bottom w:w="65" w:type="dxa"/>
            </w:tcMar>
            <w:vAlign w:val="center"/>
          </w:tcPr>
          <w:p>
            <w:pPr>
              <w:pStyle w:val="TableContents"/>
              <w:bidi w:val="0"/>
              <w:spacing w:before="0" w:after="283"/>
              <w:jc w:val="right"/>
              <w:rPr/>
            </w:pPr>
            <w:r>
              <w:rPr/>
              <w:t>​</w:t>
            </w:r>
          </w:p>
        </w:tc>
        <w:tc>
          <w:tcPr>
            <w:tcW w:w="1419" w:type="dxa"/>
            <w:tcBorders>
              <w:bottom w:val="single" w:sz="2" w:space="0" w:color="BFBFBF"/>
            </w:tcBorders>
            <w:tcMar>
              <w:bottom w:w="65" w:type="dxa"/>
            </w:tcMar>
            <w:vAlign w:val="center"/>
          </w:tcPr>
          <w:p>
            <w:pPr>
              <w:pStyle w:val="TableContents"/>
              <w:bidi w:val="0"/>
              <w:spacing w:before="0" w:after="283"/>
              <w:jc w:val="right"/>
              <w:rPr/>
            </w:pPr>
            <w:r>
              <w:rPr/>
              <w:t>35,533</w:t>
            </w:r>
          </w:p>
        </w:tc>
        <w:tc>
          <w:tcPr>
            <w:tcW w:w="203"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07"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tcMar>
              <w:bottom w:w="65" w:type="dxa"/>
            </w:tcMar>
            <w:vAlign w:val="center"/>
          </w:tcPr>
          <w:p>
            <w:pPr>
              <w:pStyle w:val="TableContents"/>
              <w:bidi w:val="0"/>
              <w:spacing w:before="0" w:after="283"/>
              <w:jc w:val="right"/>
              <w:rPr/>
            </w:pPr>
            <w:r>
              <w:rPr/>
              <w:t>​</w:t>
            </w:r>
          </w:p>
        </w:tc>
        <w:tc>
          <w:tcPr>
            <w:tcW w:w="1367" w:type="dxa"/>
            <w:tcBorders>
              <w:bottom w:val="single" w:sz="2" w:space="0" w:color="BFBFBF"/>
            </w:tcBorders>
            <w:tcMar>
              <w:bottom w:w="65" w:type="dxa"/>
            </w:tcMar>
            <w:vAlign w:val="center"/>
          </w:tcPr>
          <w:p>
            <w:pPr>
              <w:pStyle w:val="TableContents"/>
              <w:bidi w:val="0"/>
              <w:spacing w:before="0" w:after="283"/>
              <w:jc w:val="right"/>
              <w:rPr/>
            </w:pPr>
            <w:r>
              <w:rPr/>
              <w:t>21,000</w:t>
            </w:r>
          </w:p>
        </w:tc>
        <w:tc>
          <w:tcPr>
            <w:tcW w:w="19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6" w:type="dxa"/>
            <w:tcBorders>
              <w:bottom w:val="single" w:sz="2" w:space="0" w:color="BFBFBF"/>
            </w:tcBorders>
            <w:tcMar>
              <w:bottom w:w="65" w:type="dxa"/>
            </w:tcMar>
            <w:vAlign w:val="center"/>
          </w:tcPr>
          <w:p>
            <w:pPr>
              <w:pStyle w:val="TableContents"/>
              <w:bidi w:val="0"/>
              <w:spacing w:before="0" w:after="283"/>
              <w:jc w:val="right"/>
              <w:rPr/>
            </w:pPr>
            <w:r>
              <w:rPr/>
              <w:t>5,508</w:t>
            </w:r>
          </w:p>
        </w:tc>
        <w:tc>
          <w:tcPr>
            <w:tcW w:w="15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649" w:type="dxa"/>
            <w:tcBorders>
              <w:bottom w:val="single" w:sz="2" w:space="0" w:color="BFBFBF"/>
            </w:tcBorders>
            <w:tcMar>
              <w:bottom w:w="65" w:type="dxa"/>
            </w:tcMar>
            <w:vAlign w:val="center"/>
          </w:tcPr>
          <w:p>
            <w:pPr>
              <w:pStyle w:val="TableContents"/>
              <w:bidi w:val="0"/>
              <w:spacing w:before="0" w:after="283"/>
              <w:jc w:val="right"/>
              <w:rPr/>
            </w:pPr>
            <w:r>
              <w:rPr/>
              <w:t>7,413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tcMar>
              <w:bottom w:w="65" w:type="dxa"/>
            </w:tcMar>
            <w:vAlign w:val="center"/>
          </w:tcPr>
          <w:p>
            <w:pPr>
              <w:pStyle w:val="TableContents"/>
              <w:bidi w:val="0"/>
              <w:spacing w:before="0" w:after="283"/>
              <w:jc w:val="right"/>
              <w:rPr/>
            </w:pPr>
            <w:r>
              <w:rPr/>
              <w:t>​</w:t>
            </w:r>
          </w:p>
        </w:tc>
        <w:tc>
          <w:tcPr>
            <w:tcW w:w="1419" w:type="dxa"/>
            <w:tcBorders>
              <w:bottom w:val="single" w:sz="2" w:space="0" w:color="BFBFBF"/>
            </w:tcBorders>
            <w:tcMar>
              <w:bottom w:w="65" w:type="dxa"/>
            </w:tcMar>
            <w:vAlign w:val="center"/>
          </w:tcPr>
          <w:p>
            <w:pPr>
              <w:pStyle w:val="TableContents"/>
              <w:bidi w:val="0"/>
              <w:spacing w:before="0" w:after="283"/>
              <w:jc w:val="right"/>
              <w:rPr/>
            </w:pPr>
            <w:r>
              <w:rPr/>
              <w:t>33,921</w:t>
            </w:r>
          </w:p>
        </w:tc>
        <w:tc>
          <w:tcPr>
            <w:tcW w:w="203"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07"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tcMar>
              <w:bottom w:w="65" w:type="dxa"/>
            </w:tcMar>
            <w:vAlign w:val="center"/>
          </w:tcPr>
          <w:p>
            <w:pPr>
              <w:pStyle w:val="TableContents"/>
              <w:bidi w:val="0"/>
              <w:spacing w:before="0" w:after="283"/>
              <w:jc w:val="right"/>
              <w:rPr/>
            </w:pPr>
            <w:r>
              <w:rPr/>
              <w:t>​</w:t>
            </w:r>
          </w:p>
        </w:tc>
        <w:tc>
          <w:tcPr>
            <w:tcW w:w="1367" w:type="dxa"/>
            <w:tcBorders>
              <w:bottom w:val="single" w:sz="2" w:space="0" w:color="BFBFBF"/>
            </w:tcBorders>
            <w:tcMar>
              <w:bottom w:w="65" w:type="dxa"/>
            </w:tcMar>
            <w:vAlign w:val="center"/>
          </w:tcPr>
          <w:p>
            <w:pPr>
              <w:pStyle w:val="TableContents"/>
              <w:bidi w:val="0"/>
              <w:spacing w:before="0" w:after="283"/>
              <w:jc w:val="right"/>
              <w:rPr/>
            </w:pPr>
            <w:r>
              <w:rPr/>
              <w:t>21,000</w:t>
            </w:r>
          </w:p>
        </w:tc>
        <w:tc>
          <w:tcPr>
            <w:tcW w:w="19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6" w:type="dxa"/>
            <w:tcBorders>
              <w:bottom w:val="single" w:sz="2" w:space="0" w:color="BFBFBF"/>
            </w:tcBorders>
            <w:tcMar>
              <w:bottom w:w="65" w:type="dxa"/>
            </w:tcMar>
            <w:vAlign w:val="center"/>
          </w:tcPr>
          <w:p>
            <w:pPr>
              <w:pStyle w:val="TableContents"/>
              <w:bidi w:val="0"/>
              <w:spacing w:before="0" w:after="283"/>
              <w:jc w:val="right"/>
              <w:rPr/>
            </w:pPr>
            <w:r>
              <w:rPr/>
              <w:t>3,126</w:t>
            </w:r>
          </w:p>
        </w:tc>
        <w:tc>
          <w:tcPr>
            <w:tcW w:w="15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649" w:type="dxa"/>
            <w:tcBorders>
              <w:bottom w:val="single" w:sz="2" w:space="0" w:color="BFBFBF"/>
            </w:tcBorders>
            <w:tcMar>
              <w:bottom w:w="65" w:type="dxa"/>
            </w:tcMar>
            <w:vAlign w:val="center"/>
          </w:tcPr>
          <w:p>
            <w:pPr>
              <w:pStyle w:val="TableContents"/>
              <w:bidi w:val="0"/>
              <w:spacing w:before="0" w:after="283"/>
              <w:jc w:val="right"/>
              <w:rPr/>
            </w:pPr>
            <w:r>
              <w:rPr/>
              <w:t>513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tcMar>
              <w:bottom w:w="65" w:type="dxa"/>
            </w:tcMar>
            <w:vAlign w:val="center"/>
          </w:tcPr>
          <w:p>
            <w:pPr>
              <w:pStyle w:val="TableContents"/>
              <w:bidi w:val="0"/>
              <w:spacing w:before="0" w:after="283"/>
              <w:jc w:val="right"/>
              <w:rPr/>
            </w:pPr>
            <w:r>
              <w:rPr/>
              <w:t>​</w:t>
            </w:r>
          </w:p>
        </w:tc>
        <w:tc>
          <w:tcPr>
            <w:tcW w:w="1419" w:type="dxa"/>
            <w:tcBorders>
              <w:bottom w:val="single" w:sz="2" w:space="0" w:color="BFBFBF"/>
            </w:tcBorders>
            <w:tcMar>
              <w:bottom w:w="65" w:type="dxa"/>
            </w:tcMar>
            <w:vAlign w:val="center"/>
          </w:tcPr>
          <w:p>
            <w:pPr>
              <w:pStyle w:val="TableContents"/>
              <w:bidi w:val="0"/>
              <w:spacing w:before="0" w:after="283"/>
              <w:jc w:val="right"/>
              <w:rPr/>
            </w:pPr>
            <w:r>
              <w:rPr/>
              <w:t>24,639</w:t>
            </w:r>
          </w:p>
        </w:tc>
        <w:tc>
          <w:tcPr>
            <w:tcW w:w="203"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07" w:type="dxa"/>
            <w:tcBorders>
              <w:bottom w:val="single" w:sz="2" w:space="0" w:color="BFBFBF"/>
            </w:tcBorders>
            <w:tcMar>
              <w:bottom w:w="65" w:type="dxa"/>
            </w:tcMar>
            <w:vAlign w:val="center"/>
          </w:tcPr>
          <w:p>
            <w:pPr>
              <w:pStyle w:val="TableContents"/>
              <w:bidi w:val="0"/>
              <w:spacing w:before="0" w:after="283"/>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vAlign w:val="center"/>
          </w:tcPr>
          <w:p>
            <w:pPr>
              <w:pStyle w:val="TableContents"/>
              <w:bidi w:val="0"/>
              <w:spacing w:before="0" w:after="283"/>
              <w:jc w:val="left"/>
              <w:rPr/>
            </w:pPr>
            <w:r>
              <w:rPr/>
              <w:t>​</w:t>
            </w:r>
          </w:p>
        </w:tc>
        <w:tc>
          <w:tcPr>
            <w:tcW w:w="194" w:type="dxa"/>
            <w:tcBorders>
              <w:bottom w:val="single" w:sz="2" w:space="0" w:color="BFBFBF"/>
            </w:tcBorders>
            <w:tcMar>
              <w:bottom w:w="65" w:type="dxa"/>
            </w:tcMar>
            <w:vAlign w:val="center"/>
          </w:tcPr>
          <w:p>
            <w:pPr>
              <w:pStyle w:val="TableContents"/>
              <w:bidi w:val="0"/>
              <w:spacing w:before="0" w:after="283"/>
              <w:jc w:val="right"/>
              <w:rPr/>
            </w:pPr>
            <w:r>
              <w:rPr/>
              <w:t>​</w:t>
            </w:r>
          </w:p>
        </w:tc>
        <w:tc>
          <w:tcPr>
            <w:tcW w:w="1367" w:type="dxa"/>
            <w:tcBorders>
              <w:bottom w:val="single" w:sz="2" w:space="0" w:color="BFBFBF"/>
            </w:tcBorders>
            <w:tcMar>
              <w:bottom w:w="65" w:type="dxa"/>
            </w:tcMar>
            <w:vAlign w:val="center"/>
          </w:tcPr>
          <w:p>
            <w:pPr>
              <w:pStyle w:val="TableContents"/>
              <w:bidi w:val="0"/>
              <w:spacing w:before="0" w:after="283"/>
              <w:jc w:val="right"/>
              <w:rPr/>
            </w:pPr>
            <w:r>
              <w:rPr/>
              <w:t>21,000</w:t>
            </w:r>
          </w:p>
        </w:tc>
        <w:tc>
          <w:tcPr>
            <w:tcW w:w="19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vAlign w:val="center"/>
          </w:tcPr>
          <w:p>
            <w:pPr>
              <w:pStyle w:val="TableContents"/>
              <w:bidi w:val="0"/>
              <w:spacing w:before="0" w:after="283"/>
              <w:jc w:val="left"/>
              <w:rPr/>
            </w:pPr>
            <w:r>
              <w:rPr/>
              <w:t>​</w:t>
            </w:r>
          </w:p>
        </w:tc>
        <w:tc>
          <w:tcPr>
            <w:tcW w:w="15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6" w:type="dxa"/>
            <w:tcBorders>
              <w:bottom w:val="single" w:sz="2" w:space="0" w:color="BFBFBF"/>
            </w:tcBorders>
            <w:tcMar>
              <w:bottom w:w="65" w:type="dxa"/>
            </w:tcMar>
            <w:vAlign w:val="center"/>
          </w:tcPr>
          <w:p>
            <w:pPr>
              <w:pStyle w:val="TableContents"/>
              <w:bidi w:val="0"/>
              <w:spacing w:before="0" w:after="283"/>
              <w:jc w:val="right"/>
              <w:rPr/>
            </w:pPr>
            <w:r>
              <w:rPr/>
              <w:t>840</w:t>
            </w:r>
          </w:p>
        </w:tc>
        <w:tc>
          <w:tcPr>
            <w:tcW w:w="155"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649" w:type="dxa"/>
            <w:tcBorders>
              <w:bottom w:val="single" w:sz="2" w:space="0" w:color="BFBFBF"/>
            </w:tcBorders>
            <w:tcMar>
              <w:bottom w:w="65" w:type="dxa"/>
            </w:tcMar>
            <w:vAlign w:val="center"/>
          </w:tcPr>
          <w:p>
            <w:pPr>
              <w:pStyle w:val="TableContents"/>
              <w:bidi w:val="0"/>
              <w:spacing w:before="0" w:after="283"/>
              <w:jc w:val="right"/>
              <w:rPr/>
            </w:pPr>
            <w:r>
              <w:rPr/>
              <w:t>513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vAlign w:val="center"/>
          </w:tcPr>
          <w:p>
            <w:pPr>
              <w:pStyle w:val="TableContents"/>
              <w:bidi w:val="0"/>
              <w:spacing w:before="0" w:after="283"/>
              <w:jc w:val="left"/>
              <w:rPr/>
            </w:pPr>
            <w:r>
              <w:rPr/>
              <w:t>​</w:t>
            </w:r>
          </w:p>
        </w:tc>
        <w:tc>
          <w:tcPr>
            <w:tcW w:w="202" w:type="dxa"/>
            <w:tcBorders>
              <w:bottom w:val="single" w:sz="2" w:space="0" w:color="BFBFBF"/>
            </w:tcBorders>
            <w:tcMar>
              <w:bottom w:w="65" w:type="dxa"/>
            </w:tcMar>
            <w:vAlign w:val="center"/>
          </w:tcPr>
          <w:p>
            <w:pPr>
              <w:pStyle w:val="TableContents"/>
              <w:bidi w:val="0"/>
              <w:spacing w:before="0" w:after="283"/>
              <w:jc w:val="right"/>
              <w:rPr/>
            </w:pPr>
            <w:r>
              <w:rPr/>
              <w:t>​</w:t>
            </w:r>
          </w:p>
        </w:tc>
        <w:tc>
          <w:tcPr>
            <w:tcW w:w="1419" w:type="dxa"/>
            <w:tcBorders>
              <w:bottom w:val="single" w:sz="2" w:space="0" w:color="BFBFBF"/>
            </w:tcBorders>
            <w:tcMar>
              <w:bottom w:w="65" w:type="dxa"/>
            </w:tcMar>
            <w:vAlign w:val="center"/>
          </w:tcPr>
          <w:p>
            <w:pPr>
              <w:pStyle w:val="TableContents"/>
              <w:bidi w:val="0"/>
              <w:spacing w:before="0" w:after="283"/>
              <w:jc w:val="right"/>
              <w:rPr/>
            </w:pPr>
            <w:r>
              <w:rPr/>
              <w:t>22,353</w:t>
            </w:r>
          </w:p>
        </w:tc>
        <w:tc>
          <w:tcPr>
            <w:tcW w:w="203"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The amount shown for each named executive officer includes company-paid life insurance. The amount shown for Mr. Hoffmann also includes tax preparation services. </w:t>
      </w:r>
      <w:r>
        <mc:AlternateContent>
          <mc:Choice Requires="wps">
            <w:drawing>
              <wp:anchor behindDoc="0" distT="69215"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0"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(a)</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34</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GOP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Grants of Plan-Based Awards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provides information regarding grants of non-equity awards to our named executive officers under the STI Plan and equity awards under the 2014 LTIP during 2025. All equity awards granted to our named executive officers in 2025 were in the form of Service-Based RSUs and PRSUs.</w:t>
      </w:r>
      <w:r>
        <w:rPr>
          <w:rFonts w:ascii="Arial Narrow;Arial;Helvetica;sans-serif" w:hAnsi="Arial Narrow;Arial;Helvetica;sans-serif"/>
          <w:b w:val="false"/>
          <w:i w:val="false"/>
          <w:caps w:val="false"/>
          <w:smallCaps w:val="false"/>
          <w:color w:val="000000"/>
          <w:spacing w:val="4"/>
          <w:sz w:val="19"/>
        </w:rPr>
        <w:t xml:space="preserve"> </w:t>
      </w:r>
    </w:p>
    <w:tbl>
      <w:tblPr>
        <w:tblW w:w="17827" w:type="dxa"/>
        <w:jc w:val="left"/>
        <w:tblInd w:w="920" w:type="dxa"/>
        <w:tblLayout w:type="fixed"/>
        <w:tblCellMar>
          <w:top w:w="0" w:type="dxa"/>
          <w:left w:w="0" w:type="dxa"/>
          <w:bottom w:w="28" w:type="dxa"/>
          <w:right w:w="0" w:type="dxa"/>
        </w:tblCellMar>
      </w:tblPr>
      <w:tblGrid>
        <w:gridCol w:w="124"/>
        <w:gridCol w:w="1126"/>
        <w:gridCol w:w="109"/>
        <w:gridCol w:w="109"/>
        <w:gridCol w:w="109"/>
        <w:gridCol w:w="109"/>
        <w:gridCol w:w="109"/>
        <w:gridCol w:w="634"/>
        <w:gridCol w:w="109"/>
        <w:gridCol w:w="109"/>
        <w:gridCol w:w="109"/>
        <w:gridCol w:w="109"/>
        <w:gridCol w:w="170"/>
        <w:gridCol w:w="170"/>
        <w:gridCol w:w="915"/>
        <w:gridCol w:w="171"/>
        <w:gridCol w:w="109"/>
        <w:gridCol w:w="109"/>
        <w:gridCol w:w="109"/>
        <w:gridCol w:w="141"/>
        <w:gridCol w:w="141"/>
        <w:gridCol w:w="1151"/>
        <w:gridCol w:w="143"/>
        <w:gridCol w:w="109"/>
        <w:gridCol w:w="109"/>
        <w:gridCol w:w="109"/>
        <w:gridCol w:w="109"/>
        <w:gridCol w:w="109"/>
        <w:gridCol w:w="886"/>
        <w:gridCol w:w="109"/>
        <w:gridCol w:w="109"/>
        <w:gridCol w:w="109"/>
        <w:gridCol w:w="109"/>
        <w:gridCol w:w="109"/>
        <w:gridCol w:w="109"/>
        <w:gridCol w:w="1066"/>
        <w:gridCol w:w="109"/>
        <w:gridCol w:w="109"/>
        <w:gridCol w:w="109"/>
        <w:gridCol w:w="109"/>
        <w:gridCol w:w="157"/>
        <w:gridCol w:w="157"/>
        <w:gridCol w:w="1104"/>
        <w:gridCol w:w="158"/>
        <w:gridCol w:w="109"/>
        <w:gridCol w:w="109"/>
        <w:gridCol w:w="109"/>
        <w:gridCol w:w="109"/>
        <w:gridCol w:w="109"/>
        <w:gridCol w:w="886"/>
        <w:gridCol w:w="109"/>
        <w:gridCol w:w="109"/>
        <w:gridCol w:w="109"/>
        <w:gridCol w:w="109"/>
        <w:gridCol w:w="121"/>
        <w:gridCol w:w="121"/>
        <w:gridCol w:w="986"/>
        <w:gridCol w:w="123"/>
        <w:gridCol w:w="109"/>
        <w:gridCol w:w="109"/>
        <w:gridCol w:w="109"/>
        <w:gridCol w:w="110"/>
        <w:gridCol w:w="110"/>
        <w:gridCol w:w="1011"/>
        <w:gridCol w:w="109"/>
        <w:gridCol w:w="109"/>
        <w:gridCol w:w="109"/>
        <w:gridCol w:w="1213"/>
        <w:gridCol w:w="154"/>
      </w:tblGrid>
      <w:tr>
        <w:trPr/>
        <w:tc>
          <w:tcPr>
            <w:tcW w:w="124"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126" w:type="dxa"/>
            <w:vMerge w:val="restart"/>
            <w:tcBorders>
              <w:bottom w:val="single" w:sz="12" w:space="0" w:color="3F3F3F"/>
            </w:tcBorders>
            <w:shd w:fill="F2F2F2" w:val="clear"/>
            <w:tcMar>
              <w:bottom w:w="130" w:type="dxa"/>
            </w:tcMar>
            <w:vAlign w:val="center"/>
          </w:tcPr>
          <w:p>
            <w:pPr>
              <w:pStyle w:val="TableContents"/>
              <w:bidi w:val="0"/>
              <w:spacing w:lineRule="atLeast" w:line="180" w:before="0" w:after="0"/>
              <w:jc w:val="left"/>
              <w:rPr/>
            </w:pPr>
            <w:r>
              <w:rPr/>
              <w:t xml:space="preserve">NAME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961" w:type="dxa"/>
            <w:gridSpan w:val="4"/>
            <w:vMerge w:val="restart"/>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GRANT</w:t>
              <w:br/>
              <w:t xml:space="preserve">DATE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426" w:type="dxa"/>
            <w:gridSpan w:val="4"/>
            <w:vMerge w:val="restart"/>
            <w:tcBorders>
              <w:bottom w:val="single" w:sz="12" w:space="0" w:color="3F3F3F"/>
            </w:tcBorders>
            <w:shd w:fill="F2F2F2" w:val="clear"/>
            <w:tcMar>
              <w:bottom w:w="130" w:type="dxa"/>
            </w:tcMar>
            <w:vAlign w:val="center"/>
          </w:tcPr>
          <w:p>
            <w:pPr>
              <w:pStyle w:val="TableContents"/>
              <w:bidi w:val="0"/>
              <w:spacing w:lineRule="atLeast" w:line="142" w:before="0" w:after="0"/>
              <w:jc w:val="center"/>
              <w:rPr/>
            </w:pPr>
            <w:r>
              <w:rPr/>
              <w:t>DATE OF</w:t>
              <w:br/>
              <w:t>BOARD</w:t>
              <w:br/>
              <w:t>ACTION (IF</w:t>
              <w:br/>
              <w:t>DIFFERENT</w:t>
              <w:br/>
              <w:t>FROM</w:t>
              <w:br/>
              <w:t>GRANT</w:t>
              <w:br/>
              <w:t>DATE)</w:t>
            </w:r>
            <w:r>
              <w:rPr>
                <w:sz w:val="10"/>
              </w:rPr>
              <w:t>(1)</w:t>
            </w:r>
            <w:r>
              <w:rPr/>
              <w:t xml:space="preserv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4836" w:type="dxa"/>
            <w:gridSpan w:val="18"/>
            <w:tcBorders>
              <w:bottom w:val="single" w:sz="12" w:space="0" w:color="3F3F3F"/>
            </w:tcBorders>
            <w:shd w:fill="F2F2F2" w:val="clear"/>
            <w:tcMar>
              <w:bottom w:w="130" w:type="dxa"/>
            </w:tcMar>
            <w:vAlign w:val="center"/>
          </w:tcPr>
          <w:p>
            <w:pPr>
              <w:pStyle w:val="TableContents"/>
              <w:bidi w:val="0"/>
              <w:spacing w:lineRule="atLeast" w:line="142" w:before="0" w:after="0"/>
              <w:jc w:val="center"/>
              <w:rPr/>
            </w:pPr>
            <w:r>
              <w:rPr/>
              <w:t>ESTIMATED FUTURE PAYOUTS UNDER</w:t>
              <w:br/>
              <w:t>NON-EQUITY INCENTIVE</w:t>
              <w:br/>
              <w:t>PLAN AWARDS</w:t>
            </w:r>
            <w:r>
              <w:rPr>
                <w:sz w:val="10"/>
              </w:rPr>
              <w:t>(2)</w:t>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4794" w:type="dxa"/>
            <w:gridSpan w:val="18"/>
            <w:tcBorders>
              <w:bottom w:val="single" w:sz="12" w:space="0" w:color="3F3F3F"/>
            </w:tcBorders>
            <w:shd w:fill="F2F2F2" w:val="clear"/>
            <w:tcMar>
              <w:bottom w:w="130" w:type="dxa"/>
            </w:tcMar>
            <w:vAlign w:val="center"/>
          </w:tcPr>
          <w:p>
            <w:pPr>
              <w:pStyle w:val="TableContents"/>
              <w:bidi w:val="0"/>
              <w:spacing w:lineRule="atLeast" w:line="142" w:before="0" w:after="0"/>
              <w:jc w:val="center"/>
              <w:rPr/>
            </w:pPr>
            <w:r>
              <w:rPr/>
              <w:t>ESTIMATED FUTURE PAYOUTS</w:t>
              <w:br/>
              <w:t>UNDER EQUITY INCENTIVE</w:t>
              <w:br/>
              <w:t>PLAN AWARDS</w:t>
            </w:r>
            <w:r>
              <w:rPr>
                <w:sz w:val="10"/>
              </w:rPr>
              <w:t>(3)</w:t>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231" w:type="dxa"/>
            <w:gridSpan w:val="4"/>
            <w:vMerge w:val="restart"/>
            <w:tcBorders>
              <w:bottom w:val="single" w:sz="12" w:space="0" w:color="3F3F3F"/>
            </w:tcBorders>
            <w:shd w:fill="F2F2F2" w:val="clear"/>
            <w:tcMar>
              <w:bottom w:w="130" w:type="dxa"/>
            </w:tcMar>
            <w:vAlign w:val="center"/>
          </w:tcPr>
          <w:p>
            <w:pPr>
              <w:pStyle w:val="TableContents"/>
              <w:bidi w:val="0"/>
              <w:spacing w:lineRule="atLeast" w:line="142" w:before="0" w:after="0"/>
              <w:jc w:val="center"/>
              <w:rPr/>
            </w:pPr>
            <w:r>
              <w:rPr/>
              <w:t>ALL OTHER</w:t>
              <w:br/>
              <w:t>STOCK</w:t>
              <w:br/>
              <w:t>AWARDS:</w:t>
              <w:br/>
              <w:t>NUMBER OF</w:t>
              <w:br/>
              <w:t>SHARES OF</w:t>
              <w:br/>
              <w:t>STOCK OR</w:t>
              <w:br/>
              <w:t>UNITS</w:t>
            </w:r>
            <w:r>
              <w:rPr>
                <w:sz w:val="10"/>
              </w:rPr>
              <w:t>(4)</w:t>
            </w:r>
            <w:r>
              <w:rPr/>
              <w:br/>
              <w:t xml:space="preserv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vMerge w:val="restart"/>
            <w:tcBorders>
              <w:bottom w:val="single" w:sz="12" w:space="0" w:color="3F3F3F"/>
            </w:tcBorders>
            <w:shd w:fill="F2F2F2" w:val="clear"/>
            <w:tcMar>
              <w:bottom w:w="130" w:type="dxa"/>
            </w:tcMar>
            <w:vAlign w:val="center"/>
          </w:tcPr>
          <w:p>
            <w:pPr>
              <w:pStyle w:val="TableContents"/>
              <w:bidi w:val="0"/>
              <w:spacing w:lineRule="atLeast" w:line="142" w:before="0" w:after="0"/>
              <w:jc w:val="center"/>
              <w:rPr/>
            </w:pPr>
            <w:r>
              <w:rPr/>
              <w:t>GRANT DATE</w:t>
              <w:br/>
              <w:t>FAIR VALUE</w:t>
              <w:br/>
              <w:t>OF STOCK</w:t>
              <w:br/>
              <w:t>AND OPTION</w:t>
              <w:br/>
              <w:t>AWARDS</w:t>
            </w:r>
            <w:r>
              <w:rPr>
                <w:sz w:val="10"/>
              </w:rPr>
              <w:t>(5)</w:t>
            </w:r>
            <w:r>
              <w:rPr/>
              <w:br/>
              <w:t xml:space="preserve">($) </w:t>
            </w:r>
          </w:p>
        </w:tc>
        <w:tc>
          <w:tcPr>
            <w:tcW w:w="154" w:type="dxa"/>
            <w:vMerge w:val="restart"/>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12" w:space="0" w:color="3F3F3F"/>
            </w:tcBorders>
            <w:shd w:fill="F2F2F2" w:val="clear"/>
            <w:vAlign w:val="center"/>
          </w:tcPr>
          <w:p>
            <w:pPr>
              <w:pStyle w:val="Normal"/>
              <w:bidi w:val="0"/>
              <w:jc w:val="left"/>
              <w:rPr/>
            </w:pPr>
            <w:r>
              <w:rPr/>
            </w:r>
          </w:p>
        </w:tc>
        <w:tc>
          <w:tcPr>
            <w:tcW w:w="1126" w:type="dxa"/>
            <w:vMerge w:val="continue"/>
            <w:tcBorders>
              <w:bottom w:val="single" w:sz="12" w:space="0" w:color="3F3F3F"/>
            </w:tcBorders>
            <w:shd w:fill="F2F2F2" w:val="clear"/>
            <w:tcMar>
              <w:bottom w:w="130"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BFBFBF"/>
            </w:tcBorders>
            <w:shd w:fill="BFBFBF" w:val="cle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961" w:type="dxa"/>
            <w:gridSpan w:val="4"/>
            <w:vMerge w:val="continue"/>
            <w:tcBorders>
              <w:bottom w:val="single" w:sz="12" w:space="0" w:color="3F3F3F"/>
            </w:tcBorders>
            <w:shd w:fill="F2F2F2" w:val="clear"/>
            <w:tcMar>
              <w:bottom w:w="130" w:type="dxa"/>
            </w:tcMar>
            <w:vAlign w:val="center"/>
          </w:tcPr>
          <w:p>
            <w:pPr>
              <w:pStyle w:val="Normal"/>
              <w:bidi w:val="0"/>
              <w:jc w:val="left"/>
              <w:rPr/>
            </w:pPr>
            <w:r>
              <w:rPr/>
            </w:r>
          </w:p>
        </w:tc>
        <w:tc>
          <w:tcPr>
            <w:tcW w:w="109" w:type="dxa"/>
            <w:vMerge w:val="continue"/>
            <w:tcBorders>
              <w:bottom w:val="single" w:sz="12" w:space="0" w:color="3F3F3F"/>
            </w:tcBorders>
            <w:shd w:fill="F2F2F2" w:val="clear"/>
            <w:tcMar>
              <w:bottom w:w="130"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BFBFBF"/>
            </w:tcBorders>
            <w:shd w:fill="BFBFBF" w:val="clear"/>
            <w:vAlign w:val="center"/>
          </w:tcPr>
          <w:p>
            <w:pPr>
              <w:pStyle w:val="Normal"/>
              <w:bidi w:val="0"/>
              <w:jc w:val="left"/>
              <w:rPr/>
            </w:pPr>
            <w:r>
              <w:rPr/>
            </w:r>
          </w:p>
        </w:tc>
        <w:tc>
          <w:tcPr>
            <w:tcW w:w="1426" w:type="dxa"/>
            <w:gridSpan w:val="4"/>
            <w:vMerge w:val="continue"/>
            <w:tcBorders>
              <w:bottom w:val="single" w:sz="12" w:space="0" w:color="3F3F3F"/>
            </w:tcBorders>
            <w:shd w:fill="F2F2F2" w:val="clear"/>
            <w:tcMar>
              <w:bottom w:w="130"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BFBFBF"/>
            </w:tcBorders>
            <w:shd w:fill="BFBFBF" w:val="clear"/>
            <w:vAlign w:val="center"/>
          </w:tcPr>
          <w:p>
            <w:pPr>
              <w:pStyle w:val="Normal"/>
              <w:bidi w:val="0"/>
              <w:jc w:val="left"/>
              <w:rPr/>
            </w:pPr>
            <w:r>
              <w:rPr/>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76" w:type="dxa"/>
            <w:gridSpan w:val="4"/>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THRESHOLD</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TARGET</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93" w:type="dxa"/>
            <w:gridSpan w:val="4"/>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MAXIMUM</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76" w:type="dxa"/>
            <w:gridSpan w:val="4"/>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THRESHOLD</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13" w:type="dxa"/>
            <w:gridSpan w:val="4"/>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TARGET</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51" w:type="dxa"/>
            <w:gridSpan w:val="4"/>
            <w:tcBorders>
              <w:bottom w:val="single" w:sz="12" w:space="0" w:color="3F3F3F"/>
            </w:tcBorders>
            <w:shd w:fill="F2F2F2" w:val="clear"/>
            <w:tcMar>
              <w:bottom w:w="130" w:type="dxa"/>
            </w:tcMar>
            <w:vAlign w:val="center"/>
          </w:tcPr>
          <w:p>
            <w:pPr>
              <w:pStyle w:val="TableContents"/>
              <w:bidi w:val="0"/>
              <w:spacing w:lineRule="atLeast" w:line="180" w:before="0" w:after="0"/>
              <w:jc w:val="center"/>
              <w:rPr/>
            </w:pPr>
            <w:r>
              <w:rPr/>
              <w:t>MAXIMUM</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231" w:type="dxa"/>
            <w:gridSpan w:val="4"/>
            <w:vMerge w:val="continue"/>
            <w:tcBorders>
              <w:bottom w:val="single" w:sz="12" w:space="0" w:color="3F3F3F"/>
            </w:tcBorders>
            <w:shd w:fill="F2F2F2" w:val="clear"/>
            <w:tcMar>
              <w:bottom w:w="130" w:type="dxa"/>
            </w:tcMar>
            <w:vAlign w:val="center"/>
          </w:tcPr>
          <w:p>
            <w:pPr>
              <w:pStyle w:val="Normal"/>
              <w:bidi w:val="0"/>
              <w:jc w:val="left"/>
              <w:rPr/>
            </w:pPr>
            <w:r>
              <w:rPr/>
            </w:r>
          </w:p>
        </w:tc>
        <w:tc>
          <w:tcPr>
            <w:tcW w:w="109" w:type="dxa"/>
            <w:vMerge w:val="continue"/>
            <w:tcBorders>
              <w:bottom w:val="single" w:sz="12" w:space="0" w:color="3F3F3F"/>
            </w:tcBorders>
            <w:shd w:fill="F2F2F2" w:val="clear"/>
            <w:tcMar>
              <w:bottom w:w="130"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213" w:type="dxa"/>
            <w:gridSpan w:val="4"/>
            <w:vMerge w:val="continue"/>
            <w:tcBorders>
              <w:bottom w:val="single" w:sz="12" w:space="0" w:color="3F3F3F"/>
            </w:tcBorders>
            <w:shd w:fill="F2F2F2" w:val="clear"/>
            <w:tcMar>
              <w:bottom w:w="130" w:type="dxa"/>
            </w:tcMar>
            <w:vAlign w:val="center"/>
          </w:tcPr>
          <w:p>
            <w:pPr>
              <w:pStyle w:val="Normal"/>
              <w:bidi w:val="0"/>
              <w:jc w:val="left"/>
              <w:rPr/>
            </w:pPr>
            <w:r>
              <w:rPr/>
            </w:r>
          </w:p>
        </w:tc>
        <w:tc>
          <w:tcPr>
            <w:tcW w:w="154" w:type="dxa"/>
            <w:vMerge w:val="continue"/>
            <w:tcBorders>
              <w:bottom w:val="single" w:sz="12" w:space="0" w:color="3F3F3F"/>
            </w:tcBorders>
            <w:shd w:fill="F2F2F2" w:val="clear"/>
            <w:vAlign w:val="center"/>
          </w:tcPr>
          <w:p>
            <w:pPr>
              <w:pStyle w:val="Normal"/>
              <w:bidi w:val="0"/>
              <w:jc w:val="left"/>
              <w:rPr/>
            </w:pPr>
            <w:r>
              <w:rPr/>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126" w:type="dxa"/>
            <w:vMerge w:val="restart"/>
            <w:tcBorders>
              <w:bottom w:val="single" w:sz="2" w:space="0" w:color="BFBFBF"/>
            </w:tcBorders>
            <w:tcMar>
              <w:bottom w:w="76" w:type="dxa"/>
            </w:tcMar>
            <w:vAlign w:val="center"/>
          </w:tcPr>
          <w:p>
            <w:pPr>
              <w:pStyle w:val="TableContents"/>
              <w:bidi w:val="0"/>
              <w:spacing w:lineRule="atLeast" w:line="190" w:before="0" w:after="0"/>
              <w:jc w:val="left"/>
              <w:rPr/>
            </w:pPr>
            <w:r>
              <w:rPr/>
              <w:t xml:space="preserve">Frank N. D’Orazio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634" w:type="dxa"/>
            <w:tcBorders/>
            <w:tcMar>
              <w:bottom w:w="0" w:type="dxa"/>
            </w:tcMar>
            <w:vAlign w:val="center"/>
          </w:tcPr>
          <w:p>
            <w:pPr>
              <w:pStyle w:val="TableContents"/>
              <w:bidi w:val="0"/>
              <w:spacing w:lineRule="atLeast" w:line="190"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lineRule="atLeast" w:line="190" w:before="0" w:after="283"/>
              <w:jc w:val="right"/>
              <w:rPr/>
            </w:pPr>
            <w:r>
              <w:rPr/>
              <w:t>​</w:t>
            </w:r>
          </w:p>
        </w:tc>
        <w:tc>
          <w:tcPr>
            <w:tcW w:w="915" w:type="dxa"/>
            <w:tcBorders/>
            <w:tcMar>
              <w:bottom w:w="0" w:type="dxa"/>
            </w:tcMar>
            <w:vAlign w:val="center"/>
          </w:tcPr>
          <w:p>
            <w:pPr>
              <w:pStyle w:val="TableContents"/>
              <w:bidi w:val="0"/>
              <w:spacing w:lineRule="atLeast" w:line="190"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lineRule="atLeast" w:line="190" w:before="0" w:after="283"/>
              <w:jc w:val="right"/>
              <w:rPr/>
            </w:pPr>
            <w:r>
              <w:rPr/>
              <w:t>​</w:t>
            </w:r>
          </w:p>
        </w:tc>
        <w:tc>
          <w:tcPr>
            <w:tcW w:w="1104" w:type="dxa"/>
            <w:tcBorders/>
            <w:tcMar>
              <w:bottom w:w="0" w:type="dxa"/>
            </w:tcMar>
            <w:vAlign w:val="center"/>
          </w:tcPr>
          <w:p>
            <w:pPr>
              <w:pStyle w:val="TableContents"/>
              <w:bidi w:val="0"/>
              <w:spacing w:lineRule="atLeast" w:line="190" w:before="0" w:after="283"/>
              <w:jc w:val="right"/>
              <w:rPr/>
            </w:pPr>
            <w:r>
              <w:rPr/>
              <w:t>65,667</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131,334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lineRule="atLeast" w:line="190" w:before="0" w:after="283"/>
              <w:jc w:val="right"/>
              <w:rPr/>
            </w:pPr>
            <w:r>
              <w:rPr/>
              <w:t>​</w:t>
            </w:r>
          </w:p>
        </w:tc>
        <w:tc>
          <w:tcPr>
            <w:tcW w:w="986" w:type="dxa"/>
            <w:tcBorders/>
            <w:tcMar>
              <w:bottom w:w="0" w:type="dxa"/>
            </w:tcMar>
            <w:vAlign w:val="center"/>
          </w:tcPr>
          <w:p>
            <w:pPr>
              <w:pStyle w:val="TableContents"/>
              <w:bidi w:val="0"/>
              <w:spacing w:lineRule="atLeast" w:line="190" w:before="0" w:after="283"/>
              <w:jc w:val="right"/>
              <w:rPr/>
            </w:pPr>
            <w:r>
              <w:rPr/>
              <w:t>262,668</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0" w:before="0" w:after="283"/>
              <w:jc w:val="right"/>
              <w:rPr/>
            </w:pPr>
            <w:r>
              <w:rPr/>
              <w:t>​</w:t>
            </w:r>
          </w:p>
          <w:p>
            <w:pPr>
              <w:pStyle w:val="TableContents"/>
              <w:bidi w:val="0"/>
              <w:spacing w:lineRule="atLeast" w:line="190" w:before="0" w:after="283"/>
              <w:jc w:val="right"/>
              <w:rPr/>
            </w:pPr>
            <w:r>
              <w:rPr/>
              <w:t>483,309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4" w:type="dxa"/>
            <w:tcBorders/>
            <w:tcMar>
              <w:bottom w:w="0" w:type="dxa"/>
            </w:tcMar>
            <w:vAlign w:val="center"/>
          </w:tcPr>
          <w:p>
            <w:pPr>
              <w:pStyle w:val="TableContents"/>
              <w:bidi w:val="0"/>
              <w:spacing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915" w:type="dxa"/>
            <w:tcBorders/>
            <w:tcMar>
              <w:bottom w:w="0" w:type="dxa"/>
            </w:tcMar>
            <w:vAlign w:val="center"/>
          </w:tcPr>
          <w:p>
            <w:pPr>
              <w:pStyle w:val="TableContents"/>
              <w:bidi w:val="0"/>
              <w:spacing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131,334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483,309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634"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tcMar>
              <w:bottom w:w="76" w:type="dxa"/>
            </w:tcMar>
            <w:vAlign w:val="center"/>
          </w:tcPr>
          <w:p>
            <w:pPr>
              <w:pStyle w:val="TableContents"/>
              <w:bidi w:val="0"/>
              <w:spacing w:before="0" w:after="283"/>
              <w:jc w:val="right"/>
              <w:rPr/>
            </w:pPr>
            <w:r>
              <w:rPr/>
              <w:t>​</w:t>
            </w:r>
          </w:p>
        </w:tc>
        <w:tc>
          <w:tcPr>
            <w:tcW w:w="915" w:type="dxa"/>
            <w:tcBorders>
              <w:bottom w:val="single" w:sz="2" w:space="0" w:color="BFBFBF"/>
            </w:tcBorders>
            <w:tcMar>
              <w:bottom w:w="76" w:type="dxa"/>
            </w:tcMar>
            <w:vAlign w:val="center"/>
          </w:tcPr>
          <w:p>
            <w:pPr>
              <w:pStyle w:val="TableContents"/>
              <w:bidi w:val="0"/>
              <w:spacing w:before="0" w:after="283"/>
              <w:jc w:val="right"/>
              <w:rPr/>
            </w:pPr>
            <w:r>
              <w:rPr/>
              <w:t>​</w:t>
            </w:r>
          </w:p>
        </w:tc>
        <w:tc>
          <w:tcPr>
            <w:tcW w:w="17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76" w:type="dxa"/>
            </w:tcMar>
            <w:vAlign w:val="center"/>
          </w:tcPr>
          <w:p>
            <w:pPr>
              <w:pStyle w:val="TableContents"/>
              <w:bidi w:val="0"/>
              <w:spacing w:before="0" w:after="283"/>
              <w:jc w:val="right"/>
              <w:rPr/>
            </w:pPr>
            <w:r>
              <w:rPr/>
              <w:t>​</w:t>
            </w:r>
          </w:p>
        </w:tc>
        <w:tc>
          <w:tcPr>
            <w:tcW w:w="1151" w:type="dxa"/>
            <w:tcBorders>
              <w:bottom w:val="single" w:sz="2" w:space="0" w:color="BFBFBF"/>
            </w:tcBorders>
            <w:tcMar>
              <w:bottom w:w="76" w:type="dxa"/>
            </w:tcMar>
            <w:vAlign w:val="center"/>
          </w:tcPr>
          <w:p>
            <w:pPr>
              <w:pStyle w:val="TableContents"/>
              <w:bidi w:val="0"/>
              <w:spacing w:before="0" w:after="283"/>
              <w:jc w:val="right"/>
              <w:rPr/>
            </w:pPr>
            <w:r>
              <w:rPr/>
              <w:t>497,812</w:t>
            </w:r>
          </w:p>
        </w:tc>
        <w:tc>
          <w:tcPr>
            <w:tcW w:w="14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995,624</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1066" w:type="dxa"/>
            <w:tcBorders>
              <w:bottom w:val="single" w:sz="2" w:space="0" w:color="BFBFBF"/>
            </w:tcBorders>
            <w:tcMar>
              <w:bottom w:w="76" w:type="dxa"/>
            </w:tcMar>
            <w:vAlign w:val="center"/>
          </w:tcPr>
          <w:p>
            <w:pPr>
              <w:pStyle w:val="TableContents"/>
              <w:bidi w:val="0"/>
              <w:spacing w:before="0" w:after="283"/>
              <w:jc w:val="right"/>
              <w:rPr/>
            </w:pPr>
            <w:r>
              <w:rPr/>
              <w:t>1,493,436</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6" w:type="dxa"/>
            </w:tcMar>
            <w:vAlign w:val="center"/>
          </w:tcPr>
          <w:p>
            <w:pPr>
              <w:pStyle w:val="TableContents"/>
              <w:bidi w:val="0"/>
              <w:spacing w:before="0" w:after="283"/>
              <w:jc w:val="right"/>
              <w:rPr/>
            </w:pPr>
            <w:r>
              <w:rPr/>
              <w:t>​</w:t>
            </w:r>
          </w:p>
        </w:tc>
        <w:tc>
          <w:tcPr>
            <w:tcW w:w="1104" w:type="dxa"/>
            <w:tcBorders>
              <w:bottom w:val="single" w:sz="2" w:space="0" w:color="BFBFBF"/>
            </w:tcBorders>
            <w:tcMar>
              <w:bottom w:w="76" w:type="dxa"/>
            </w:tcMar>
            <w:vAlign w:val="center"/>
          </w:tcPr>
          <w:p>
            <w:pPr>
              <w:pStyle w:val="TableContents"/>
              <w:bidi w:val="0"/>
              <w:spacing w:before="0" w:after="283"/>
              <w:jc w:val="righ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tcMar>
              <w:bottom w:w="76" w:type="dxa"/>
            </w:tcMar>
            <w:vAlign w:val="center"/>
          </w:tcPr>
          <w:p>
            <w:pPr>
              <w:pStyle w:val="TableContents"/>
              <w:bidi w:val="0"/>
              <w:spacing w:before="0" w:after="283"/>
              <w:jc w:val="right"/>
              <w:rPr/>
            </w:pPr>
            <w:r>
              <w:rPr/>
              <w:t>​</w:t>
            </w:r>
          </w:p>
        </w:tc>
        <w:tc>
          <w:tcPr>
            <w:tcW w:w="986" w:type="dxa"/>
            <w:tcBorders>
              <w:bottom w:val="single" w:sz="2" w:space="0" w:color="BFBFBF"/>
            </w:tcBorders>
            <w:tcMar>
              <w:bottom w:w="76" w:type="dxa"/>
            </w:tcMar>
            <w:vAlign w:val="center"/>
          </w:tcPr>
          <w:p>
            <w:pPr>
              <w:pStyle w:val="TableContents"/>
              <w:bidi w:val="0"/>
              <w:spacing w:before="0" w:after="283"/>
              <w:jc w:val="right"/>
              <w:rPr/>
            </w:pPr>
            <w:r>
              <w:rPr/>
              <w:t>​</w:t>
            </w:r>
          </w:p>
        </w:tc>
        <w:tc>
          <w:tcPr>
            <w:tcW w:w="12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76"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126" w:type="dxa"/>
            <w:vMerge w:val="restart"/>
            <w:tcBorders>
              <w:bottom w:val="single" w:sz="2" w:space="0" w:color="BFBFBF"/>
            </w:tcBorders>
            <w:tcMar>
              <w:bottom w:w="76" w:type="dxa"/>
            </w:tcMar>
            <w:vAlign w:val="center"/>
          </w:tcPr>
          <w:p>
            <w:pPr>
              <w:pStyle w:val="TableContents"/>
              <w:bidi w:val="0"/>
              <w:spacing w:lineRule="atLeast" w:line="190" w:before="0" w:after="0"/>
              <w:jc w:val="left"/>
              <w:rPr/>
            </w:pPr>
            <w:r>
              <w:rPr/>
              <w:t xml:space="preserve">Sarah C. Doran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634" w:type="dxa"/>
            <w:tcBorders/>
            <w:tcMar>
              <w:bottom w:w="0" w:type="dxa"/>
            </w:tcMar>
            <w:vAlign w:val="center"/>
          </w:tcPr>
          <w:p>
            <w:pPr>
              <w:pStyle w:val="TableContents"/>
              <w:bidi w:val="0"/>
              <w:spacing w:lineRule="atLeast" w:line="190"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lineRule="atLeast" w:line="190" w:before="0" w:after="283"/>
              <w:jc w:val="right"/>
              <w:rPr/>
            </w:pPr>
            <w:r>
              <w:rPr/>
              <w:t>​</w:t>
            </w:r>
          </w:p>
        </w:tc>
        <w:tc>
          <w:tcPr>
            <w:tcW w:w="915" w:type="dxa"/>
            <w:tcBorders/>
            <w:tcMar>
              <w:bottom w:w="0" w:type="dxa"/>
            </w:tcMar>
            <w:vAlign w:val="center"/>
          </w:tcPr>
          <w:p>
            <w:pPr>
              <w:pStyle w:val="TableContents"/>
              <w:bidi w:val="0"/>
              <w:spacing w:lineRule="atLeast" w:line="190"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lineRule="atLeast" w:line="190" w:before="0" w:after="283"/>
              <w:jc w:val="right"/>
              <w:rPr/>
            </w:pPr>
            <w:r>
              <w:rPr/>
              <w:t>​</w:t>
            </w:r>
          </w:p>
        </w:tc>
        <w:tc>
          <w:tcPr>
            <w:tcW w:w="1104" w:type="dxa"/>
            <w:tcBorders/>
            <w:tcMar>
              <w:bottom w:w="0" w:type="dxa"/>
            </w:tcMar>
            <w:vAlign w:val="center"/>
          </w:tcPr>
          <w:p>
            <w:pPr>
              <w:pStyle w:val="TableContents"/>
              <w:bidi w:val="0"/>
              <w:spacing w:lineRule="atLeast" w:line="190" w:before="0" w:after="283"/>
              <w:jc w:val="right"/>
              <w:rPr/>
            </w:pPr>
            <w:r>
              <w:rPr/>
              <w:t>38,858</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77,717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lineRule="atLeast" w:line="190" w:before="0" w:after="283"/>
              <w:jc w:val="right"/>
              <w:rPr/>
            </w:pPr>
            <w:r>
              <w:rPr/>
              <w:t>​</w:t>
            </w:r>
          </w:p>
        </w:tc>
        <w:tc>
          <w:tcPr>
            <w:tcW w:w="986" w:type="dxa"/>
            <w:tcBorders/>
            <w:tcMar>
              <w:bottom w:w="0" w:type="dxa"/>
            </w:tcMar>
            <w:vAlign w:val="center"/>
          </w:tcPr>
          <w:p>
            <w:pPr>
              <w:pStyle w:val="TableContents"/>
              <w:bidi w:val="0"/>
              <w:spacing w:lineRule="atLeast" w:line="190" w:before="0" w:after="283"/>
              <w:jc w:val="right"/>
              <w:rPr/>
            </w:pPr>
            <w:r>
              <w:rPr/>
              <w:t>155,434</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0" w:before="0" w:after="283"/>
              <w:jc w:val="right"/>
              <w:rPr/>
            </w:pPr>
            <w:r>
              <w:rPr/>
              <w:t>​</w:t>
            </w:r>
          </w:p>
          <w:p>
            <w:pPr>
              <w:pStyle w:val="TableContents"/>
              <w:bidi w:val="0"/>
              <w:spacing w:lineRule="atLeast" w:line="190" w:before="0" w:after="283"/>
              <w:jc w:val="right"/>
              <w:rPr/>
            </w:pPr>
            <w:r>
              <w:rPr/>
              <w:t>285,999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4" w:type="dxa"/>
            <w:tcBorders/>
            <w:tcMar>
              <w:bottom w:w="0" w:type="dxa"/>
            </w:tcMar>
            <w:vAlign w:val="center"/>
          </w:tcPr>
          <w:p>
            <w:pPr>
              <w:pStyle w:val="TableContents"/>
              <w:bidi w:val="0"/>
              <w:spacing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915" w:type="dxa"/>
            <w:tcBorders/>
            <w:tcMar>
              <w:bottom w:w="0" w:type="dxa"/>
            </w:tcMar>
            <w:vAlign w:val="center"/>
          </w:tcPr>
          <w:p>
            <w:pPr>
              <w:pStyle w:val="TableContents"/>
              <w:bidi w:val="0"/>
              <w:spacing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77,717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285,999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634"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tcMar>
              <w:bottom w:w="76" w:type="dxa"/>
            </w:tcMar>
            <w:vAlign w:val="center"/>
          </w:tcPr>
          <w:p>
            <w:pPr>
              <w:pStyle w:val="TableContents"/>
              <w:bidi w:val="0"/>
              <w:spacing w:before="0" w:after="283"/>
              <w:jc w:val="right"/>
              <w:rPr/>
            </w:pPr>
            <w:r>
              <w:rPr/>
              <w:t>​</w:t>
            </w:r>
          </w:p>
        </w:tc>
        <w:tc>
          <w:tcPr>
            <w:tcW w:w="915" w:type="dxa"/>
            <w:tcBorders>
              <w:bottom w:val="single" w:sz="2" w:space="0" w:color="BFBFBF"/>
            </w:tcBorders>
            <w:tcMar>
              <w:bottom w:w="76" w:type="dxa"/>
            </w:tcMar>
            <w:vAlign w:val="center"/>
          </w:tcPr>
          <w:p>
            <w:pPr>
              <w:pStyle w:val="TableContents"/>
              <w:bidi w:val="0"/>
              <w:spacing w:before="0" w:after="283"/>
              <w:jc w:val="right"/>
              <w:rPr/>
            </w:pPr>
            <w:r>
              <w:rPr/>
              <w:t>​</w:t>
            </w:r>
          </w:p>
        </w:tc>
        <w:tc>
          <w:tcPr>
            <w:tcW w:w="17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76" w:type="dxa"/>
            </w:tcMar>
            <w:vAlign w:val="center"/>
          </w:tcPr>
          <w:p>
            <w:pPr>
              <w:pStyle w:val="TableContents"/>
              <w:bidi w:val="0"/>
              <w:spacing w:before="0" w:after="283"/>
              <w:jc w:val="right"/>
              <w:rPr/>
            </w:pPr>
            <w:r>
              <w:rPr/>
              <w:t>​</w:t>
            </w:r>
          </w:p>
        </w:tc>
        <w:tc>
          <w:tcPr>
            <w:tcW w:w="1151" w:type="dxa"/>
            <w:tcBorders>
              <w:bottom w:val="single" w:sz="2" w:space="0" w:color="BFBFBF"/>
            </w:tcBorders>
            <w:tcMar>
              <w:bottom w:w="76" w:type="dxa"/>
            </w:tcMar>
            <w:vAlign w:val="center"/>
          </w:tcPr>
          <w:p>
            <w:pPr>
              <w:pStyle w:val="TableContents"/>
              <w:bidi w:val="0"/>
              <w:spacing w:before="0" w:after="283"/>
              <w:jc w:val="right"/>
              <w:rPr/>
            </w:pPr>
            <w:r>
              <w:rPr/>
              <w:t>294,580</w:t>
            </w:r>
          </w:p>
        </w:tc>
        <w:tc>
          <w:tcPr>
            <w:tcW w:w="14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589,160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1066" w:type="dxa"/>
            <w:tcBorders>
              <w:bottom w:val="single" w:sz="2" w:space="0" w:color="BFBFBF"/>
            </w:tcBorders>
            <w:tcMar>
              <w:bottom w:w="76" w:type="dxa"/>
            </w:tcMar>
            <w:vAlign w:val="center"/>
          </w:tcPr>
          <w:p>
            <w:pPr>
              <w:pStyle w:val="TableContents"/>
              <w:bidi w:val="0"/>
              <w:spacing w:before="0" w:after="283"/>
              <w:jc w:val="right"/>
              <w:rPr/>
            </w:pPr>
            <w:r>
              <w:rPr/>
              <w:t>883,740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6" w:type="dxa"/>
            </w:tcMar>
            <w:vAlign w:val="center"/>
          </w:tcPr>
          <w:p>
            <w:pPr>
              <w:pStyle w:val="TableContents"/>
              <w:bidi w:val="0"/>
              <w:spacing w:before="0" w:after="283"/>
              <w:jc w:val="right"/>
              <w:rPr/>
            </w:pPr>
            <w:r>
              <w:rPr/>
              <w:t>​</w:t>
            </w:r>
          </w:p>
        </w:tc>
        <w:tc>
          <w:tcPr>
            <w:tcW w:w="1104" w:type="dxa"/>
            <w:tcBorders>
              <w:bottom w:val="single" w:sz="2" w:space="0" w:color="BFBFBF"/>
            </w:tcBorders>
            <w:tcMar>
              <w:bottom w:w="76" w:type="dxa"/>
            </w:tcMar>
            <w:vAlign w:val="center"/>
          </w:tcPr>
          <w:p>
            <w:pPr>
              <w:pStyle w:val="TableContents"/>
              <w:bidi w:val="0"/>
              <w:spacing w:before="0" w:after="283"/>
              <w:jc w:val="righ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tcMar>
              <w:bottom w:w="76" w:type="dxa"/>
            </w:tcMar>
            <w:vAlign w:val="center"/>
          </w:tcPr>
          <w:p>
            <w:pPr>
              <w:pStyle w:val="TableContents"/>
              <w:bidi w:val="0"/>
              <w:spacing w:before="0" w:after="283"/>
              <w:jc w:val="right"/>
              <w:rPr/>
            </w:pPr>
            <w:r>
              <w:rPr/>
              <w:t>​</w:t>
            </w:r>
          </w:p>
        </w:tc>
        <w:tc>
          <w:tcPr>
            <w:tcW w:w="986" w:type="dxa"/>
            <w:tcBorders>
              <w:bottom w:val="single" w:sz="2" w:space="0" w:color="BFBFBF"/>
            </w:tcBorders>
            <w:tcMar>
              <w:bottom w:w="76" w:type="dxa"/>
            </w:tcMar>
            <w:vAlign w:val="center"/>
          </w:tcPr>
          <w:p>
            <w:pPr>
              <w:pStyle w:val="TableContents"/>
              <w:bidi w:val="0"/>
              <w:spacing w:before="0" w:after="283"/>
              <w:jc w:val="right"/>
              <w:rPr/>
            </w:pPr>
            <w:r>
              <w:rPr/>
              <w:t>​</w:t>
            </w:r>
          </w:p>
        </w:tc>
        <w:tc>
          <w:tcPr>
            <w:tcW w:w="12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76"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126" w:type="dxa"/>
            <w:vMerge w:val="restart"/>
            <w:tcBorders>
              <w:bottom w:val="single" w:sz="2" w:space="0" w:color="BFBFBF"/>
            </w:tcBorders>
            <w:tcMar>
              <w:bottom w:w="76" w:type="dxa"/>
            </w:tcMar>
            <w:vAlign w:val="center"/>
          </w:tcPr>
          <w:p>
            <w:pPr>
              <w:pStyle w:val="TableContents"/>
              <w:bidi w:val="0"/>
              <w:spacing w:lineRule="atLeast" w:line="190" w:before="0" w:after="0"/>
              <w:jc w:val="left"/>
              <w:rPr/>
            </w:pPr>
            <w:r>
              <w:rPr/>
              <w:t xml:space="preserve">Richard J. Schmitzer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634" w:type="dxa"/>
            <w:tcBorders/>
            <w:tcMar>
              <w:bottom w:w="0" w:type="dxa"/>
            </w:tcMar>
            <w:vAlign w:val="center"/>
          </w:tcPr>
          <w:p>
            <w:pPr>
              <w:pStyle w:val="TableContents"/>
              <w:bidi w:val="0"/>
              <w:spacing w:lineRule="atLeast" w:line="190"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lineRule="atLeast" w:line="190" w:before="0" w:after="283"/>
              <w:jc w:val="right"/>
              <w:rPr/>
            </w:pPr>
            <w:r>
              <w:rPr/>
              <w:t>​</w:t>
            </w:r>
          </w:p>
        </w:tc>
        <w:tc>
          <w:tcPr>
            <w:tcW w:w="915" w:type="dxa"/>
            <w:tcBorders/>
            <w:tcMar>
              <w:bottom w:w="0" w:type="dxa"/>
            </w:tcMar>
            <w:vAlign w:val="center"/>
          </w:tcPr>
          <w:p>
            <w:pPr>
              <w:pStyle w:val="TableContents"/>
              <w:bidi w:val="0"/>
              <w:spacing w:lineRule="atLeast" w:line="190"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lineRule="atLeast" w:line="190" w:before="0" w:after="283"/>
              <w:jc w:val="right"/>
              <w:rPr/>
            </w:pPr>
            <w:r>
              <w:rPr/>
              <w:t>​</w:t>
            </w:r>
          </w:p>
        </w:tc>
        <w:tc>
          <w:tcPr>
            <w:tcW w:w="1104" w:type="dxa"/>
            <w:tcBorders/>
            <w:tcMar>
              <w:bottom w:w="0" w:type="dxa"/>
            </w:tcMar>
            <w:vAlign w:val="center"/>
          </w:tcPr>
          <w:p>
            <w:pPr>
              <w:pStyle w:val="TableContents"/>
              <w:bidi w:val="0"/>
              <w:spacing w:lineRule="atLeast" w:line="190" w:before="0" w:after="283"/>
              <w:jc w:val="right"/>
              <w:rPr/>
            </w:pPr>
            <w:r>
              <w:rPr/>
              <w:t>45,513</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91,026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lineRule="atLeast" w:line="190" w:before="0" w:after="283"/>
              <w:jc w:val="right"/>
              <w:rPr/>
            </w:pPr>
            <w:r>
              <w:rPr/>
              <w:t>​</w:t>
            </w:r>
          </w:p>
        </w:tc>
        <w:tc>
          <w:tcPr>
            <w:tcW w:w="986" w:type="dxa"/>
            <w:tcBorders/>
            <w:tcMar>
              <w:bottom w:w="0" w:type="dxa"/>
            </w:tcMar>
            <w:vAlign w:val="center"/>
          </w:tcPr>
          <w:p>
            <w:pPr>
              <w:pStyle w:val="TableContents"/>
              <w:bidi w:val="0"/>
              <w:spacing w:lineRule="atLeast" w:line="190" w:before="0" w:after="283"/>
              <w:jc w:val="right"/>
              <w:rPr/>
            </w:pPr>
            <w:r>
              <w:rPr/>
              <w:t>182,052</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0" w:before="0" w:after="283"/>
              <w:jc w:val="right"/>
              <w:rPr/>
            </w:pPr>
            <w:r>
              <w:rPr/>
              <w:t>​</w:t>
            </w:r>
          </w:p>
          <w:p>
            <w:pPr>
              <w:pStyle w:val="TableContents"/>
              <w:bidi w:val="0"/>
              <w:spacing w:lineRule="atLeast" w:line="190" w:before="0" w:after="283"/>
              <w:jc w:val="right"/>
              <w:rPr/>
            </w:pPr>
            <w:r>
              <w:rPr/>
              <w:t>334,976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4" w:type="dxa"/>
            <w:tcBorders/>
            <w:tcMar>
              <w:bottom w:w="0" w:type="dxa"/>
            </w:tcMar>
            <w:vAlign w:val="center"/>
          </w:tcPr>
          <w:p>
            <w:pPr>
              <w:pStyle w:val="TableContents"/>
              <w:bidi w:val="0"/>
              <w:spacing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915" w:type="dxa"/>
            <w:tcBorders/>
            <w:tcMar>
              <w:bottom w:w="0" w:type="dxa"/>
            </w:tcMar>
            <w:vAlign w:val="center"/>
          </w:tcPr>
          <w:p>
            <w:pPr>
              <w:pStyle w:val="TableContents"/>
              <w:bidi w:val="0"/>
              <w:spacing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91,026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334,976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634"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tcMar>
              <w:bottom w:w="76" w:type="dxa"/>
            </w:tcMar>
            <w:vAlign w:val="center"/>
          </w:tcPr>
          <w:p>
            <w:pPr>
              <w:pStyle w:val="TableContents"/>
              <w:bidi w:val="0"/>
              <w:spacing w:before="0" w:after="283"/>
              <w:jc w:val="right"/>
              <w:rPr/>
            </w:pPr>
            <w:r>
              <w:rPr/>
              <w:t>​</w:t>
            </w:r>
          </w:p>
        </w:tc>
        <w:tc>
          <w:tcPr>
            <w:tcW w:w="915" w:type="dxa"/>
            <w:tcBorders>
              <w:bottom w:val="single" w:sz="2" w:space="0" w:color="BFBFBF"/>
            </w:tcBorders>
            <w:tcMar>
              <w:bottom w:w="76" w:type="dxa"/>
            </w:tcMar>
            <w:vAlign w:val="center"/>
          </w:tcPr>
          <w:p>
            <w:pPr>
              <w:pStyle w:val="TableContents"/>
              <w:bidi w:val="0"/>
              <w:spacing w:before="0" w:after="283"/>
              <w:jc w:val="right"/>
              <w:rPr/>
            </w:pPr>
            <w:r>
              <w:rPr/>
              <w:t>​</w:t>
            </w:r>
          </w:p>
        </w:tc>
        <w:tc>
          <w:tcPr>
            <w:tcW w:w="17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76" w:type="dxa"/>
            </w:tcMar>
            <w:vAlign w:val="center"/>
          </w:tcPr>
          <w:p>
            <w:pPr>
              <w:pStyle w:val="TableContents"/>
              <w:bidi w:val="0"/>
              <w:spacing w:before="0" w:after="283"/>
              <w:jc w:val="right"/>
              <w:rPr/>
            </w:pPr>
            <w:r>
              <w:rPr/>
              <w:t>​</w:t>
            </w:r>
          </w:p>
        </w:tc>
        <w:tc>
          <w:tcPr>
            <w:tcW w:w="1151" w:type="dxa"/>
            <w:tcBorders>
              <w:bottom w:val="single" w:sz="2" w:space="0" w:color="BFBFBF"/>
            </w:tcBorders>
            <w:tcMar>
              <w:bottom w:w="76" w:type="dxa"/>
            </w:tcMar>
            <w:vAlign w:val="center"/>
          </w:tcPr>
          <w:p>
            <w:pPr>
              <w:pStyle w:val="TableContents"/>
              <w:bidi w:val="0"/>
              <w:spacing w:before="0" w:after="283"/>
              <w:jc w:val="right"/>
              <w:rPr/>
            </w:pPr>
            <w:r>
              <w:rPr/>
              <w:t>334,978</w:t>
            </w:r>
          </w:p>
        </w:tc>
        <w:tc>
          <w:tcPr>
            <w:tcW w:w="14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669,955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1066" w:type="dxa"/>
            <w:tcBorders>
              <w:bottom w:val="single" w:sz="2" w:space="0" w:color="BFBFBF"/>
            </w:tcBorders>
            <w:tcMar>
              <w:bottom w:w="76" w:type="dxa"/>
            </w:tcMar>
            <w:vAlign w:val="center"/>
          </w:tcPr>
          <w:p>
            <w:pPr>
              <w:pStyle w:val="TableContents"/>
              <w:bidi w:val="0"/>
              <w:spacing w:before="0" w:after="283"/>
              <w:jc w:val="right"/>
              <w:rPr/>
            </w:pPr>
            <w:r>
              <w:rPr/>
              <w:t>1,004,933</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6" w:type="dxa"/>
            </w:tcMar>
            <w:vAlign w:val="center"/>
          </w:tcPr>
          <w:p>
            <w:pPr>
              <w:pStyle w:val="TableContents"/>
              <w:bidi w:val="0"/>
              <w:spacing w:before="0" w:after="283"/>
              <w:jc w:val="right"/>
              <w:rPr/>
            </w:pPr>
            <w:r>
              <w:rPr/>
              <w:t>​</w:t>
            </w:r>
          </w:p>
        </w:tc>
        <w:tc>
          <w:tcPr>
            <w:tcW w:w="1104" w:type="dxa"/>
            <w:tcBorders>
              <w:bottom w:val="single" w:sz="2" w:space="0" w:color="BFBFBF"/>
            </w:tcBorders>
            <w:tcMar>
              <w:bottom w:w="76" w:type="dxa"/>
            </w:tcMar>
            <w:vAlign w:val="center"/>
          </w:tcPr>
          <w:p>
            <w:pPr>
              <w:pStyle w:val="TableContents"/>
              <w:bidi w:val="0"/>
              <w:spacing w:before="0" w:after="283"/>
              <w:jc w:val="righ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tcMar>
              <w:bottom w:w="76" w:type="dxa"/>
            </w:tcMar>
            <w:vAlign w:val="center"/>
          </w:tcPr>
          <w:p>
            <w:pPr>
              <w:pStyle w:val="TableContents"/>
              <w:bidi w:val="0"/>
              <w:spacing w:before="0" w:after="283"/>
              <w:jc w:val="right"/>
              <w:rPr/>
            </w:pPr>
            <w:r>
              <w:rPr/>
              <w:t>​</w:t>
            </w:r>
          </w:p>
        </w:tc>
        <w:tc>
          <w:tcPr>
            <w:tcW w:w="986" w:type="dxa"/>
            <w:tcBorders>
              <w:bottom w:val="single" w:sz="2" w:space="0" w:color="BFBFBF"/>
            </w:tcBorders>
            <w:tcMar>
              <w:bottom w:w="76" w:type="dxa"/>
            </w:tcMar>
            <w:vAlign w:val="center"/>
          </w:tcPr>
          <w:p>
            <w:pPr>
              <w:pStyle w:val="TableContents"/>
              <w:bidi w:val="0"/>
              <w:spacing w:before="0" w:after="283"/>
              <w:jc w:val="right"/>
              <w:rPr/>
            </w:pPr>
            <w:r>
              <w:rPr/>
              <w:t>​</w:t>
            </w:r>
          </w:p>
        </w:tc>
        <w:tc>
          <w:tcPr>
            <w:tcW w:w="12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76"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126" w:type="dxa"/>
            <w:vMerge w:val="restart"/>
            <w:tcBorders>
              <w:bottom w:val="single" w:sz="2" w:space="0" w:color="BFBFBF"/>
            </w:tcBorders>
            <w:tcMar>
              <w:bottom w:w="76" w:type="dxa"/>
            </w:tcMar>
            <w:vAlign w:val="center"/>
          </w:tcPr>
          <w:p>
            <w:pPr>
              <w:pStyle w:val="TableContents"/>
              <w:bidi w:val="0"/>
              <w:spacing w:lineRule="atLeast" w:line="190" w:before="0" w:after="0"/>
              <w:jc w:val="left"/>
              <w:rPr/>
            </w:pPr>
            <w:r>
              <w:rPr/>
              <w:t xml:space="preserve">Michael J. Hoffmann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634" w:type="dxa"/>
            <w:tcBorders/>
            <w:tcMar>
              <w:bottom w:w="0" w:type="dxa"/>
            </w:tcMar>
            <w:vAlign w:val="center"/>
          </w:tcPr>
          <w:p>
            <w:pPr>
              <w:pStyle w:val="TableContents"/>
              <w:bidi w:val="0"/>
              <w:spacing w:lineRule="atLeast" w:line="190"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lineRule="atLeast" w:line="190" w:before="0" w:after="283"/>
              <w:jc w:val="right"/>
              <w:rPr/>
            </w:pPr>
            <w:r>
              <w:rPr/>
              <w:t>​</w:t>
            </w:r>
          </w:p>
        </w:tc>
        <w:tc>
          <w:tcPr>
            <w:tcW w:w="915" w:type="dxa"/>
            <w:tcBorders/>
            <w:tcMar>
              <w:bottom w:w="0" w:type="dxa"/>
            </w:tcMar>
            <w:vAlign w:val="center"/>
          </w:tcPr>
          <w:p>
            <w:pPr>
              <w:pStyle w:val="TableContents"/>
              <w:bidi w:val="0"/>
              <w:spacing w:lineRule="atLeast" w:line="190"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lineRule="atLeast" w:line="190" w:before="0" w:after="283"/>
              <w:jc w:val="right"/>
              <w:rPr/>
            </w:pPr>
            <w:r>
              <w:rPr/>
              <w:t>​</w:t>
            </w:r>
          </w:p>
        </w:tc>
        <w:tc>
          <w:tcPr>
            <w:tcW w:w="1104" w:type="dxa"/>
            <w:tcBorders/>
            <w:tcMar>
              <w:bottom w:w="0" w:type="dxa"/>
            </w:tcMar>
            <w:vAlign w:val="center"/>
          </w:tcPr>
          <w:p>
            <w:pPr>
              <w:pStyle w:val="TableContents"/>
              <w:bidi w:val="0"/>
              <w:spacing w:lineRule="atLeast" w:line="190" w:before="0" w:after="283"/>
              <w:jc w:val="right"/>
              <w:rPr/>
            </w:pPr>
            <w:r>
              <w:rPr/>
              <w:t>30,027</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60,054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lineRule="atLeast" w:line="190" w:before="0" w:after="283"/>
              <w:jc w:val="right"/>
              <w:rPr/>
            </w:pPr>
            <w:r>
              <w:rPr/>
              <w:t>​</w:t>
            </w:r>
          </w:p>
        </w:tc>
        <w:tc>
          <w:tcPr>
            <w:tcW w:w="986" w:type="dxa"/>
            <w:tcBorders/>
            <w:tcMar>
              <w:bottom w:w="0" w:type="dxa"/>
            </w:tcMar>
            <w:vAlign w:val="center"/>
          </w:tcPr>
          <w:p>
            <w:pPr>
              <w:pStyle w:val="TableContents"/>
              <w:bidi w:val="0"/>
              <w:spacing w:lineRule="atLeast" w:line="190" w:before="0" w:after="283"/>
              <w:jc w:val="right"/>
              <w:rPr/>
            </w:pPr>
            <w:r>
              <w:rPr/>
              <w:t>120,108</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0" w:before="0" w:after="283"/>
              <w:jc w:val="right"/>
              <w:rPr/>
            </w:pPr>
            <w:r>
              <w:rPr/>
              <w:t>​</w:t>
            </w:r>
          </w:p>
          <w:p>
            <w:pPr>
              <w:pStyle w:val="TableContents"/>
              <w:bidi w:val="0"/>
              <w:spacing w:lineRule="atLeast" w:line="190" w:before="0" w:after="283"/>
              <w:jc w:val="right"/>
              <w:rPr/>
            </w:pPr>
            <w:r>
              <w:rPr/>
              <w:t>220,999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4" w:type="dxa"/>
            <w:tcBorders/>
            <w:tcMar>
              <w:bottom w:w="0" w:type="dxa"/>
            </w:tcMar>
            <w:vAlign w:val="center"/>
          </w:tcPr>
          <w:p>
            <w:pPr>
              <w:pStyle w:val="TableContents"/>
              <w:bidi w:val="0"/>
              <w:spacing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915" w:type="dxa"/>
            <w:tcBorders/>
            <w:tcMar>
              <w:bottom w:w="0" w:type="dxa"/>
            </w:tcMar>
            <w:vAlign w:val="center"/>
          </w:tcPr>
          <w:p>
            <w:pPr>
              <w:pStyle w:val="TableContents"/>
              <w:bidi w:val="0"/>
              <w:spacing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60,054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220,999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634"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tcMar>
              <w:bottom w:w="76" w:type="dxa"/>
            </w:tcMar>
            <w:vAlign w:val="center"/>
          </w:tcPr>
          <w:p>
            <w:pPr>
              <w:pStyle w:val="TableContents"/>
              <w:bidi w:val="0"/>
              <w:spacing w:before="0" w:after="283"/>
              <w:jc w:val="right"/>
              <w:rPr/>
            </w:pPr>
            <w:r>
              <w:rPr/>
              <w:t>​</w:t>
            </w:r>
          </w:p>
        </w:tc>
        <w:tc>
          <w:tcPr>
            <w:tcW w:w="915" w:type="dxa"/>
            <w:tcBorders>
              <w:bottom w:val="single" w:sz="2" w:space="0" w:color="BFBFBF"/>
            </w:tcBorders>
            <w:tcMar>
              <w:bottom w:w="76" w:type="dxa"/>
            </w:tcMar>
            <w:vAlign w:val="center"/>
          </w:tcPr>
          <w:p>
            <w:pPr>
              <w:pStyle w:val="TableContents"/>
              <w:bidi w:val="0"/>
              <w:spacing w:before="0" w:after="283"/>
              <w:jc w:val="right"/>
              <w:rPr/>
            </w:pPr>
            <w:r>
              <w:rPr/>
              <w:t>​</w:t>
            </w:r>
          </w:p>
        </w:tc>
        <w:tc>
          <w:tcPr>
            <w:tcW w:w="17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76" w:type="dxa"/>
            </w:tcMar>
            <w:vAlign w:val="center"/>
          </w:tcPr>
          <w:p>
            <w:pPr>
              <w:pStyle w:val="TableContents"/>
              <w:bidi w:val="0"/>
              <w:spacing w:before="0" w:after="283"/>
              <w:jc w:val="right"/>
              <w:rPr/>
            </w:pPr>
            <w:r>
              <w:rPr/>
              <w:t>​</w:t>
            </w:r>
          </w:p>
        </w:tc>
        <w:tc>
          <w:tcPr>
            <w:tcW w:w="1151" w:type="dxa"/>
            <w:tcBorders>
              <w:bottom w:val="single" w:sz="2" w:space="0" w:color="BFBFBF"/>
            </w:tcBorders>
            <w:tcMar>
              <w:bottom w:w="76" w:type="dxa"/>
            </w:tcMar>
            <w:vAlign w:val="center"/>
          </w:tcPr>
          <w:p>
            <w:pPr>
              <w:pStyle w:val="TableContents"/>
              <w:bidi w:val="0"/>
              <w:spacing w:before="0" w:after="283"/>
              <w:jc w:val="right"/>
              <w:rPr/>
            </w:pPr>
            <w:r>
              <w:rPr/>
              <w:t>170,723</w:t>
            </w:r>
          </w:p>
        </w:tc>
        <w:tc>
          <w:tcPr>
            <w:tcW w:w="14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341,445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1066" w:type="dxa"/>
            <w:tcBorders>
              <w:bottom w:val="single" w:sz="2" w:space="0" w:color="BFBFBF"/>
            </w:tcBorders>
            <w:tcMar>
              <w:bottom w:w="76" w:type="dxa"/>
            </w:tcMar>
            <w:vAlign w:val="center"/>
          </w:tcPr>
          <w:p>
            <w:pPr>
              <w:pStyle w:val="TableContents"/>
              <w:bidi w:val="0"/>
              <w:spacing w:before="0" w:after="283"/>
              <w:jc w:val="right"/>
              <w:rPr/>
            </w:pPr>
            <w:r>
              <w:rPr/>
              <w:t>512,168</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6" w:type="dxa"/>
            </w:tcMar>
            <w:vAlign w:val="center"/>
          </w:tcPr>
          <w:p>
            <w:pPr>
              <w:pStyle w:val="TableContents"/>
              <w:bidi w:val="0"/>
              <w:spacing w:before="0" w:after="283"/>
              <w:jc w:val="right"/>
              <w:rPr/>
            </w:pPr>
            <w:r>
              <w:rPr/>
              <w:t>​</w:t>
            </w:r>
          </w:p>
        </w:tc>
        <w:tc>
          <w:tcPr>
            <w:tcW w:w="1104" w:type="dxa"/>
            <w:tcBorders>
              <w:bottom w:val="single" w:sz="2" w:space="0" w:color="BFBFBF"/>
            </w:tcBorders>
            <w:tcMar>
              <w:bottom w:w="76" w:type="dxa"/>
            </w:tcMar>
            <w:vAlign w:val="center"/>
          </w:tcPr>
          <w:p>
            <w:pPr>
              <w:pStyle w:val="TableContents"/>
              <w:bidi w:val="0"/>
              <w:spacing w:before="0" w:after="283"/>
              <w:jc w:val="righ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tcMar>
              <w:bottom w:w="76" w:type="dxa"/>
            </w:tcMar>
            <w:vAlign w:val="center"/>
          </w:tcPr>
          <w:p>
            <w:pPr>
              <w:pStyle w:val="TableContents"/>
              <w:bidi w:val="0"/>
              <w:spacing w:before="0" w:after="283"/>
              <w:jc w:val="right"/>
              <w:rPr/>
            </w:pPr>
            <w:r>
              <w:rPr/>
              <w:t>​</w:t>
            </w:r>
          </w:p>
        </w:tc>
        <w:tc>
          <w:tcPr>
            <w:tcW w:w="986" w:type="dxa"/>
            <w:tcBorders>
              <w:bottom w:val="single" w:sz="2" w:space="0" w:color="BFBFBF"/>
            </w:tcBorders>
            <w:tcMar>
              <w:bottom w:w="76" w:type="dxa"/>
            </w:tcMar>
            <w:vAlign w:val="center"/>
          </w:tcPr>
          <w:p>
            <w:pPr>
              <w:pStyle w:val="TableContents"/>
              <w:bidi w:val="0"/>
              <w:spacing w:before="0" w:after="283"/>
              <w:jc w:val="right"/>
              <w:rPr/>
            </w:pPr>
            <w:r>
              <w:rPr/>
              <w:t>​</w:t>
            </w:r>
          </w:p>
        </w:tc>
        <w:tc>
          <w:tcPr>
            <w:tcW w:w="12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76"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126" w:type="dxa"/>
            <w:vMerge w:val="restart"/>
            <w:tcBorders>
              <w:bottom w:val="single" w:sz="2" w:space="0" w:color="BFBFBF"/>
            </w:tcBorders>
            <w:tcMar>
              <w:bottom w:w="76" w:type="dxa"/>
            </w:tcMar>
            <w:vAlign w:val="center"/>
          </w:tcPr>
          <w:p>
            <w:pPr>
              <w:pStyle w:val="TableContents"/>
              <w:bidi w:val="0"/>
              <w:spacing w:lineRule="atLeast" w:line="190" w:before="0" w:after="0"/>
              <w:jc w:val="left"/>
              <w:rPr/>
            </w:pPr>
            <w:r>
              <w:rPr/>
              <w:t xml:space="preserve">Jeanette L. Miller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634" w:type="dxa"/>
            <w:tcBorders/>
            <w:tcMar>
              <w:bottom w:w="0" w:type="dxa"/>
            </w:tcMar>
            <w:vAlign w:val="center"/>
          </w:tcPr>
          <w:p>
            <w:pPr>
              <w:pStyle w:val="TableContents"/>
              <w:bidi w:val="0"/>
              <w:spacing w:lineRule="atLeast" w:line="190"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lineRule="atLeast" w:line="190" w:before="0" w:after="283"/>
              <w:jc w:val="right"/>
              <w:rPr/>
            </w:pPr>
            <w:r>
              <w:rPr/>
              <w:t>​</w:t>
            </w:r>
          </w:p>
        </w:tc>
        <w:tc>
          <w:tcPr>
            <w:tcW w:w="915" w:type="dxa"/>
            <w:tcBorders/>
            <w:tcMar>
              <w:bottom w:w="0" w:type="dxa"/>
            </w:tcMar>
            <w:vAlign w:val="center"/>
          </w:tcPr>
          <w:p>
            <w:pPr>
              <w:pStyle w:val="TableContents"/>
              <w:bidi w:val="0"/>
              <w:spacing w:lineRule="atLeast" w:line="190"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lineRule="atLeast" w:line="190" w:before="0" w:after="283"/>
              <w:jc w:val="right"/>
              <w:rPr/>
            </w:pPr>
            <w:r>
              <w:rPr/>
              <w:t>​</w:t>
            </w:r>
          </w:p>
        </w:tc>
        <w:tc>
          <w:tcPr>
            <w:tcW w:w="1104" w:type="dxa"/>
            <w:tcBorders/>
            <w:tcMar>
              <w:bottom w:w="0" w:type="dxa"/>
            </w:tcMar>
            <w:vAlign w:val="center"/>
          </w:tcPr>
          <w:p>
            <w:pPr>
              <w:pStyle w:val="TableContents"/>
              <w:bidi w:val="0"/>
              <w:spacing w:lineRule="atLeast" w:line="190" w:before="0" w:after="283"/>
              <w:jc w:val="right"/>
              <w:rPr/>
            </w:pPr>
            <w:r>
              <w:rPr/>
              <w:t>18,342</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36,684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lineRule="atLeast" w:line="190" w:before="0" w:after="283"/>
              <w:jc w:val="right"/>
              <w:rPr/>
            </w:pPr>
            <w:r>
              <w:rPr/>
              <w:t>​</w:t>
            </w:r>
          </w:p>
        </w:tc>
        <w:tc>
          <w:tcPr>
            <w:tcW w:w="986" w:type="dxa"/>
            <w:tcBorders/>
            <w:tcMar>
              <w:bottom w:w="0" w:type="dxa"/>
            </w:tcMar>
            <w:vAlign w:val="center"/>
          </w:tcPr>
          <w:p>
            <w:pPr>
              <w:pStyle w:val="TableContents"/>
              <w:bidi w:val="0"/>
              <w:spacing w:lineRule="atLeast" w:line="190" w:before="0" w:after="283"/>
              <w:jc w:val="right"/>
              <w:rPr/>
            </w:pPr>
            <w:r>
              <w:rPr/>
              <w:t>73,368</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0" w:before="0" w:after="283"/>
              <w:jc w:val="right"/>
              <w:rPr/>
            </w:pPr>
            <w:r>
              <w:rPr/>
              <w:t>​</w:t>
            </w:r>
          </w:p>
          <w:p>
            <w:pPr>
              <w:pStyle w:val="TableContents"/>
              <w:bidi w:val="0"/>
              <w:spacing w:lineRule="atLeast" w:line="190" w:before="0" w:after="283"/>
              <w:jc w:val="right"/>
              <w:rPr/>
            </w:pPr>
            <w:r>
              <w:rPr/>
              <w:t>134,997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4" w:type="dxa"/>
            <w:tcBorders/>
            <w:tcMar>
              <w:bottom w:w="0" w:type="dxa"/>
            </w:tcMar>
            <w:vAlign w:val="center"/>
          </w:tcPr>
          <w:p>
            <w:pPr>
              <w:pStyle w:val="TableContents"/>
              <w:bidi w:val="0"/>
              <w:spacing w:before="0" w:after="283"/>
              <w:jc w:val="right"/>
              <w:rPr/>
            </w:pPr>
            <w:r>
              <w:rPr/>
              <w:t>3/5/2025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915" w:type="dxa"/>
            <w:tcBorders/>
            <w:tcMar>
              <w:bottom w:w="0" w:type="dxa"/>
            </w:tcMar>
            <w:vAlign w:val="center"/>
          </w:tcPr>
          <w:p>
            <w:pPr>
              <w:pStyle w:val="TableContents"/>
              <w:bidi w:val="0"/>
              <w:spacing w:before="0" w:after="283"/>
              <w:jc w:val="right"/>
              <w:rPr/>
            </w:pPr>
            <w:r>
              <w:rPr/>
              <w:t>2/20/2025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right"/>
              <w:rPr/>
            </w:pPr>
            <w:r>
              <w:rPr/>
              <w:t>36,684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134,997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634"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vAlign w:val="center"/>
          </w:tcPr>
          <w:p>
            <w:pPr>
              <w:pStyle w:val="TableContents"/>
              <w:bidi w:val="0"/>
              <w:spacing w:before="0" w:after="283"/>
              <w:jc w:val="left"/>
              <w:rPr/>
            </w:pPr>
            <w:r>
              <w:rPr/>
              <w:t>​</w:t>
            </w:r>
          </w:p>
        </w:tc>
        <w:tc>
          <w:tcPr>
            <w:tcW w:w="170" w:type="dxa"/>
            <w:tcBorders>
              <w:bottom w:val="single" w:sz="2" w:space="0" w:color="BFBFBF"/>
            </w:tcBorders>
            <w:tcMar>
              <w:bottom w:w="76" w:type="dxa"/>
            </w:tcMar>
            <w:vAlign w:val="center"/>
          </w:tcPr>
          <w:p>
            <w:pPr>
              <w:pStyle w:val="TableContents"/>
              <w:bidi w:val="0"/>
              <w:spacing w:before="0" w:after="283"/>
              <w:jc w:val="right"/>
              <w:rPr/>
            </w:pPr>
            <w:r>
              <w:rPr/>
              <w:t>​</w:t>
            </w:r>
          </w:p>
        </w:tc>
        <w:tc>
          <w:tcPr>
            <w:tcW w:w="915" w:type="dxa"/>
            <w:tcBorders>
              <w:bottom w:val="single" w:sz="2" w:space="0" w:color="BFBFBF"/>
            </w:tcBorders>
            <w:tcMar>
              <w:bottom w:w="76" w:type="dxa"/>
            </w:tcMar>
            <w:vAlign w:val="center"/>
          </w:tcPr>
          <w:p>
            <w:pPr>
              <w:pStyle w:val="TableContents"/>
              <w:bidi w:val="0"/>
              <w:spacing w:before="0" w:after="283"/>
              <w:jc w:val="right"/>
              <w:rPr/>
            </w:pPr>
            <w:r>
              <w:rPr/>
              <w:t>​</w:t>
            </w:r>
          </w:p>
        </w:tc>
        <w:tc>
          <w:tcPr>
            <w:tcW w:w="17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vAlign w:val="center"/>
          </w:tcPr>
          <w:p>
            <w:pPr>
              <w:pStyle w:val="TableContents"/>
              <w:bidi w:val="0"/>
              <w:spacing w:before="0" w:after="283"/>
              <w:jc w:val="left"/>
              <w:rPr/>
            </w:pPr>
            <w:r>
              <w:rPr/>
              <w:t>​</w:t>
            </w:r>
          </w:p>
        </w:tc>
        <w:tc>
          <w:tcPr>
            <w:tcW w:w="141" w:type="dxa"/>
            <w:tcBorders>
              <w:bottom w:val="single" w:sz="2" w:space="0" w:color="BFBFBF"/>
            </w:tcBorders>
            <w:tcMar>
              <w:bottom w:w="76" w:type="dxa"/>
            </w:tcMar>
            <w:vAlign w:val="center"/>
          </w:tcPr>
          <w:p>
            <w:pPr>
              <w:pStyle w:val="TableContents"/>
              <w:bidi w:val="0"/>
              <w:spacing w:before="0" w:after="283"/>
              <w:jc w:val="right"/>
              <w:rPr/>
            </w:pPr>
            <w:r>
              <w:rPr/>
              <w:t>​</w:t>
            </w:r>
          </w:p>
        </w:tc>
        <w:tc>
          <w:tcPr>
            <w:tcW w:w="1151" w:type="dxa"/>
            <w:tcBorders>
              <w:bottom w:val="single" w:sz="2" w:space="0" w:color="BFBFBF"/>
            </w:tcBorders>
            <w:tcMar>
              <w:bottom w:w="76" w:type="dxa"/>
            </w:tcMar>
            <w:vAlign w:val="center"/>
          </w:tcPr>
          <w:p>
            <w:pPr>
              <w:pStyle w:val="TableContents"/>
              <w:bidi w:val="0"/>
              <w:spacing w:before="0" w:after="283"/>
              <w:jc w:val="right"/>
              <w:rPr/>
            </w:pPr>
            <w:r>
              <w:rPr/>
              <w:t>139,050</w:t>
            </w:r>
          </w:p>
        </w:tc>
        <w:tc>
          <w:tcPr>
            <w:tcW w:w="14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278,100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1066" w:type="dxa"/>
            <w:tcBorders>
              <w:bottom w:val="single" w:sz="2" w:space="0" w:color="BFBFBF"/>
            </w:tcBorders>
            <w:tcMar>
              <w:bottom w:w="76" w:type="dxa"/>
            </w:tcMar>
            <w:vAlign w:val="center"/>
          </w:tcPr>
          <w:p>
            <w:pPr>
              <w:pStyle w:val="TableContents"/>
              <w:bidi w:val="0"/>
              <w:spacing w:before="0" w:after="283"/>
              <w:jc w:val="right"/>
              <w:rPr/>
            </w:pPr>
            <w:r>
              <w:rPr/>
              <w:t>417,150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6" w:type="dxa"/>
            </w:tcMar>
            <w:vAlign w:val="center"/>
          </w:tcPr>
          <w:p>
            <w:pPr>
              <w:pStyle w:val="TableContents"/>
              <w:bidi w:val="0"/>
              <w:spacing w:before="0" w:after="283"/>
              <w:jc w:val="right"/>
              <w:rPr/>
            </w:pPr>
            <w:r>
              <w:rPr/>
              <w:t>​</w:t>
            </w:r>
          </w:p>
        </w:tc>
        <w:tc>
          <w:tcPr>
            <w:tcW w:w="1104" w:type="dxa"/>
            <w:tcBorders>
              <w:bottom w:val="single" w:sz="2" w:space="0" w:color="BFBFBF"/>
            </w:tcBorders>
            <w:tcMar>
              <w:bottom w:w="76" w:type="dxa"/>
            </w:tcMar>
            <w:vAlign w:val="center"/>
          </w:tcPr>
          <w:p>
            <w:pPr>
              <w:pStyle w:val="TableContents"/>
              <w:bidi w:val="0"/>
              <w:spacing w:before="0" w:after="283"/>
              <w:jc w:val="righ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76" w:type="dxa"/>
            </w:tcMar>
            <w:vAlign w:val="center"/>
          </w:tcPr>
          <w:p>
            <w:pPr>
              <w:pStyle w:val="TableContents"/>
              <w:bidi w:val="0"/>
              <w:spacing w:before="0" w:after="283"/>
              <w:jc w:val="right"/>
              <w:rPr/>
            </w:pPr>
            <w:r>
              <w:rPr/>
              <w:t>​</w:t>
            </w:r>
          </w:p>
        </w:tc>
        <w:tc>
          <w:tcPr>
            <w:tcW w:w="886" w:type="dxa"/>
            <w:tcBorders>
              <w:bottom w:val="single" w:sz="2" w:space="0" w:color="BFBFBF"/>
            </w:tcBorders>
            <w:tcMar>
              <w:bottom w:w="76" w:type="dxa"/>
            </w:tcMar>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vAlign w:val="center"/>
          </w:tcPr>
          <w:p>
            <w:pPr>
              <w:pStyle w:val="TableContents"/>
              <w:bidi w:val="0"/>
              <w:spacing w:before="0" w:after="283"/>
              <w:jc w:val="left"/>
              <w:rPr/>
            </w:pPr>
            <w:r>
              <w:rPr/>
              <w:t>​</w:t>
            </w:r>
          </w:p>
        </w:tc>
        <w:tc>
          <w:tcPr>
            <w:tcW w:w="121" w:type="dxa"/>
            <w:tcBorders>
              <w:bottom w:val="single" w:sz="2" w:space="0" w:color="BFBFBF"/>
            </w:tcBorders>
            <w:tcMar>
              <w:bottom w:w="76" w:type="dxa"/>
            </w:tcMar>
            <w:vAlign w:val="center"/>
          </w:tcPr>
          <w:p>
            <w:pPr>
              <w:pStyle w:val="TableContents"/>
              <w:bidi w:val="0"/>
              <w:spacing w:before="0" w:after="283"/>
              <w:jc w:val="right"/>
              <w:rPr/>
            </w:pPr>
            <w:r>
              <w:rPr/>
              <w:t>​</w:t>
            </w:r>
          </w:p>
        </w:tc>
        <w:tc>
          <w:tcPr>
            <w:tcW w:w="986" w:type="dxa"/>
            <w:tcBorders>
              <w:bottom w:val="single" w:sz="2" w:space="0" w:color="BFBFBF"/>
            </w:tcBorders>
            <w:tcMar>
              <w:bottom w:w="76" w:type="dxa"/>
            </w:tcMar>
            <w:vAlign w:val="center"/>
          </w:tcPr>
          <w:p>
            <w:pPr>
              <w:pStyle w:val="TableContents"/>
              <w:bidi w:val="0"/>
              <w:spacing w:before="0" w:after="283"/>
              <w:jc w:val="right"/>
              <w:rPr/>
            </w:pPr>
            <w:r>
              <w:rPr/>
              <w:t>​</w:t>
            </w:r>
          </w:p>
        </w:tc>
        <w:tc>
          <w:tcPr>
            <w:tcW w:w="12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76"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126" w:type="dxa"/>
            <w:vMerge w:val="restart"/>
            <w:tcBorders>
              <w:bottom w:val="single" w:sz="2" w:space="0" w:color="BFBFBF"/>
            </w:tcBorders>
            <w:tcMar>
              <w:bottom w:w="76" w:type="dxa"/>
            </w:tcMar>
            <w:vAlign w:val="center"/>
          </w:tcPr>
          <w:p>
            <w:pPr>
              <w:pStyle w:val="TableContents"/>
              <w:bidi w:val="0"/>
              <w:spacing w:lineRule="atLeast" w:line="190" w:before="0" w:after="0"/>
              <w:jc w:val="left"/>
              <w:rPr/>
            </w:pPr>
            <w:r>
              <w:rPr/>
              <w:t xml:space="preserve">Todd R. Sutherland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634" w:type="dxa"/>
            <w:tcBorders/>
            <w:tcMar>
              <w:bottom w:w="0" w:type="dxa"/>
            </w:tcMar>
            <w:vAlign w:val="center"/>
          </w:tcPr>
          <w:p>
            <w:pPr>
              <w:pStyle w:val="TableContents"/>
              <w:bidi w:val="0"/>
              <w:spacing w:lineRule="atLeast" w:line="190" w:before="0" w:after="283"/>
              <w:jc w:val="right"/>
              <w:rPr/>
            </w:pPr>
            <w:r>
              <w:rPr/>
              <w:t>8/6/2025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lineRule="atLeast" w:line="190" w:before="0" w:after="283"/>
              <w:jc w:val="right"/>
              <w:rPr/>
            </w:pPr>
            <w:r>
              <w:rPr/>
              <w:t>​</w:t>
            </w:r>
          </w:p>
        </w:tc>
        <w:tc>
          <w:tcPr>
            <w:tcW w:w="915" w:type="dxa"/>
            <w:tcBorders/>
            <w:tcMar>
              <w:bottom w:w="0" w:type="dxa"/>
            </w:tcMar>
            <w:vAlign w:val="center"/>
          </w:tcPr>
          <w:p>
            <w:pPr>
              <w:pStyle w:val="TableContents"/>
              <w:bidi w:val="0"/>
              <w:spacing w:lineRule="atLeast" w:line="190" w:before="0" w:after="283"/>
              <w:jc w:val="right"/>
              <w:rPr/>
            </w:pPr>
            <w:r>
              <w:rPr/>
              <w:t>7/24/2025</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190" w:before="0" w:after="283"/>
              <w:jc w:val="right"/>
              <w:rPr/>
            </w:pPr>
            <w:r>
              <w:rPr/>
              <w:t>​</w:t>
            </w:r>
          </w:p>
          <w:p>
            <w:pPr>
              <w:pStyle w:val="TableContents"/>
              <w:bidi w:val="0"/>
              <w:spacing w:lineRule="atLeast" w:line="190" w:before="0" w:after="283"/>
              <w:jc w:val="right"/>
              <w:rPr/>
            </w:pPr>
            <w:r>
              <w:rPr/>
              <w:t>42,955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0" w:before="0" w:after="283"/>
              <w:jc w:val="right"/>
              <w:rPr/>
            </w:pPr>
            <w:r>
              <w:rPr/>
              <w:t>​</w:t>
            </w:r>
          </w:p>
          <w:p>
            <w:pPr>
              <w:pStyle w:val="TableContents"/>
              <w:bidi w:val="0"/>
              <w:spacing w:lineRule="atLeast" w:line="190" w:before="0" w:after="283"/>
              <w:jc w:val="right"/>
              <w:rPr/>
            </w:pPr>
            <w:r>
              <w:rPr/>
              <w:t>249,998</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126" w:type="dxa"/>
            <w:vMerge w:val="continue"/>
            <w:tcBorders>
              <w:bottom w:val="single" w:sz="2" w:space="0" w:color="BFBFBF"/>
            </w:tcBorders>
            <w:tcMar>
              <w:bottom w:w="76"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63" w:type="dxa"/>
            </w:tcMar>
            <w:vAlign w:val="center"/>
          </w:tcPr>
          <w:p>
            <w:pPr>
              <w:pStyle w:val="TableContents"/>
              <w:bidi w:val="0"/>
              <w:spacing w:before="0" w:after="283"/>
              <w:jc w:val="right"/>
              <w:rPr/>
            </w:pPr>
            <w:r>
              <w:rPr/>
              <w:t>​</w:t>
            </w:r>
          </w:p>
        </w:tc>
        <w:tc>
          <w:tcPr>
            <w:tcW w:w="634" w:type="dxa"/>
            <w:tcBorders>
              <w:bottom w:val="single" w:sz="6" w:space="0" w:color="BFBFBF"/>
            </w:tcBorders>
            <w:tcMar>
              <w:bottom w:w="63"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70" w:type="dxa"/>
            <w:tcBorders>
              <w:bottom w:val="single" w:sz="6" w:space="0" w:color="BFBFBF"/>
            </w:tcBorders>
            <w:vAlign w:val="center"/>
          </w:tcPr>
          <w:p>
            <w:pPr>
              <w:pStyle w:val="TableContents"/>
              <w:bidi w:val="0"/>
              <w:spacing w:before="0" w:after="283"/>
              <w:jc w:val="left"/>
              <w:rPr/>
            </w:pPr>
            <w:r>
              <w:rPr/>
              <w:t>​</w:t>
            </w:r>
          </w:p>
        </w:tc>
        <w:tc>
          <w:tcPr>
            <w:tcW w:w="170" w:type="dxa"/>
            <w:tcBorders>
              <w:bottom w:val="single" w:sz="6" w:space="0" w:color="BFBFBF"/>
            </w:tcBorders>
            <w:tcMar>
              <w:bottom w:w="63" w:type="dxa"/>
            </w:tcMar>
            <w:vAlign w:val="center"/>
          </w:tcPr>
          <w:p>
            <w:pPr>
              <w:pStyle w:val="TableContents"/>
              <w:bidi w:val="0"/>
              <w:spacing w:before="0" w:after="283"/>
              <w:jc w:val="right"/>
              <w:rPr/>
            </w:pPr>
            <w:r>
              <w:rPr/>
              <w:t>​</w:t>
            </w:r>
          </w:p>
        </w:tc>
        <w:tc>
          <w:tcPr>
            <w:tcW w:w="915" w:type="dxa"/>
            <w:tcBorders>
              <w:bottom w:val="single" w:sz="6" w:space="0" w:color="BFBFBF"/>
            </w:tcBorders>
            <w:tcMar>
              <w:bottom w:w="63" w:type="dxa"/>
            </w:tcMar>
            <w:vAlign w:val="center"/>
          </w:tcPr>
          <w:p>
            <w:pPr>
              <w:pStyle w:val="TableContents"/>
              <w:bidi w:val="0"/>
              <w:spacing w:before="0" w:after="283"/>
              <w:jc w:val="right"/>
              <w:rPr/>
            </w:pPr>
            <w:r>
              <w:rPr/>
              <w:t>​</w:t>
            </w:r>
          </w:p>
        </w:tc>
        <w:tc>
          <w:tcPr>
            <w:tcW w:w="171"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tcMar>
              <w:bottom w:w="63" w:type="dxa"/>
            </w:tcMar>
            <w:vAlign w:val="center"/>
          </w:tcPr>
          <w:p>
            <w:pPr>
              <w:pStyle w:val="TableContents"/>
              <w:bidi w:val="0"/>
              <w:spacing w:before="0" w:after="283"/>
              <w:jc w:val="right"/>
              <w:rPr/>
            </w:pPr>
            <w:r>
              <w:rPr/>
              <w:t>​</w:t>
            </w:r>
          </w:p>
        </w:tc>
        <w:tc>
          <w:tcPr>
            <w:tcW w:w="1151" w:type="dxa"/>
            <w:tcBorders>
              <w:bottom w:val="single" w:sz="6" w:space="0" w:color="BFBFBF"/>
            </w:tcBorders>
            <w:tcMar>
              <w:bottom w:w="63" w:type="dxa"/>
            </w:tcMar>
            <w:vAlign w:val="center"/>
          </w:tcPr>
          <w:p>
            <w:pPr>
              <w:pStyle w:val="TableContents"/>
              <w:bidi w:val="0"/>
              <w:spacing w:before="0" w:after="283"/>
              <w:jc w:val="right"/>
              <w:rPr/>
            </w:pPr>
            <w:r>
              <w:rPr/>
              <w:t>160,489</w:t>
            </w:r>
          </w:p>
        </w:tc>
        <w:tc>
          <w:tcPr>
            <w:tcW w:w="14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63" w:type="dxa"/>
            </w:tcMar>
            <w:vAlign w:val="center"/>
          </w:tcPr>
          <w:p>
            <w:pPr>
              <w:pStyle w:val="TableContents"/>
              <w:bidi w:val="0"/>
              <w:spacing w:before="0" w:after="283"/>
              <w:jc w:val="right"/>
              <w:rPr/>
            </w:pPr>
            <w:r>
              <w:rPr/>
              <w:t>​</w:t>
            </w:r>
          </w:p>
        </w:tc>
        <w:tc>
          <w:tcPr>
            <w:tcW w:w="886" w:type="dxa"/>
            <w:tcBorders>
              <w:bottom w:val="single" w:sz="6" w:space="0" w:color="BFBFBF"/>
            </w:tcBorders>
            <w:tcMar>
              <w:bottom w:w="63" w:type="dxa"/>
            </w:tcMar>
            <w:vAlign w:val="center"/>
          </w:tcPr>
          <w:p>
            <w:pPr>
              <w:pStyle w:val="TableContents"/>
              <w:bidi w:val="0"/>
              <w:spacing w:before="0" w:after="283"/>
              <w:jc w:val="right"/>
              <w:rPr/>
            </w:pPr>
            <w:r>
              <w:rPr/>
              <w:t>320,977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63" w:type="dxa"/>
            </w:tcMar>
            <w:vAlign w:val="center"/>
          </w:tcPr>
          <w:p>
            <w:pPr>
              <w:pStyle w:val="TableContents"/>
              <w:bidi w:val="0"/>
              <w:spacing w:before="0" w:after="283"/>
              <w:jc w:val="right"/>
              <w:rPr/>
            </w:pPr>
            <w:r>
              <w:rPr/>
              <w:t>​</w:t>
            </w:r>
          </w:p>
        </w:tc>
        <w:tc>
          <w:tcPr>
            <w:tcW w:w="1066" w:type="dxa"/>
            <w:tcBorders>
              <w:bottom w:val="single" w:sz="6" w:space="0" w:color="BFBFBF"/>
            </w:tcBorders>
            <w:tcMar>
              <w:bottom w:w="63" w:type="dxa"/>
            </w:tcMar>
            <w:vAlign w:val="center"/>
          </w:tcPr>
          <w:p>
            <w:pPr>
              <w:pStyle w:val="TableContents"/>
              <w:bidi w:val="0"/>
              <w:spacing w:before="0" w:after="283"/>
              <w:jc w:val="right"/>
              <w:rPr/>
            </w:pPr>
            <w:r>
              <w:rPr/>
              <w:t>481,466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7" w:type="dxa"/>
            <w:tcBorders>
              <w:bottom w:val="single" w:sz="6" w:space="0" w:color="BFBFBF"/>
            </w:tcBorders>
            <w:vAlign w:val="center"/>
          </w:tcPr>
          <w:p>
            <w:pPr>
              <w:pStyle w:val="TableContents"/>
              <w:bidi w:val="0"/>
              <w:spacing w:before="0" w:after="283"/>
              <w:jc w:val="left"/>
              <w:rPr/>
            </w:pPr>
            <w:r>
              <w:rPr/>
              <w:t>​</w:t>
            </w:r>
          </w:p>
        </w:tc>
        <w:tc>
          <w:tcPr>
            <w:tcW w:w="157" w:type="dxa"/>
            <w:tcBorders>
              <w:bottom w:val="single" w:sz="6" w:space="0" w:color="BFBFBF"/>
            </w:tcBorders>
            <w:tcMar>
              <w:bottom w:w="63" w:type="dxa"/>
            </w:tcMar>
            <w:vAlign w:val="center"/>
          </w:tcPr>
          <w:p>
            <w:pPr>
              <w:pStyle w:val="TableContents"/>
              <w:bidi w:val="0"/>
              <w:spacing w:before="0" w:after="283"/>
              <w:jc w:val="right"/>
              <w:rPr/>
            </w:pPr>
            <w:r>
              <w:rPr/>
              <w:t>​</w:t>
            </w:r>
          </w:p>
        </w:tc>
        <w:tc>
          <w:tcPr>
            <w:tcW w:w="1104" w:type="dxa"/>
            <w:tcBorders>
              <w:bottom w:val="single" w:sz="6" w:space="0" w:color="BFBFBF"/>
            </w:tcBorders>
            <w:tcMar>
              <w:bottom w:w="63" w:type="dxa"/>
            </w:tcMar>
            <w:vAlign w:val="center"/>
          </w:tcPr>
          <w:p>
            <w:pPr>
              <w:pStyle w:val="TableContents"/>
              <w:bidi w:val="0"/>
              <w:spacing w:before="0" w:after="283"/>
              <w:jc w:val="right"/>
              <w:rPr/>
            </w:pPr>
            <w:r>
              <w:rPr/>
              <w:t>​</w:t>
            </w:r>
          </w:p>
        </w:tc>
        <w:tc>
          <w:tcPr>
            <w:tcW w:w="158"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63" w:type="dxa"/>
            </w:tcMar>
            <w:vAlign w:val="center"/>
          </w:tcPr>
          <w:p>
            <w:pPr>
              <w:pStyle w:val="TableContents"/>
              <w:bidi w:val="0"/>
              <w:spacing w:before="0" w:after="283"/>
              <w:jc w:val="right"/>
              <w:rPr/>
            </w:pPr>
            <w:r>
              <w:rPr/>
              <w:t>​</w:t>
            </w:r>
          </w:p>
        </w:tc>
        <w:tc>
          <w:tcPr>
            <w:tcW w:w="886" w:type="dxa"/>
            <w:tcBorders>
              <w:bottom w:val="single" w:sz="6" w:space="0" w:color="BFBFBF"/>
            </w:tcBorders>
            <w:tcMar>
              <w:bottom w:w="63"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1" w:type="dxa"/>
            <w:tcBorders>
              <w:bottom w:val="single" w:sz="6" w:space="0" w:color="BFBFBF"/>
            </w:tcBorders>
            <w:vAlign w:val="center"/>
          </w:tcPr>
          <w:p>
            <w:pPr>
              <w:pStyle w:val="TableContents"/>
              <w:bidi w:val="0"/>
              <w:spacing w:before="0" w:after="283"/>
              <w:jc w:val="left"/>
              <w:rPr/>
            </w:pPr>
            <w:r>
              <w:rPr/>
              <w:t>​</w:t>
            </w:r>
          </w:p>
        </w:tc>
        <w:tc>
          <w:tcPr>
            <w:tcW w:w="121" w:type="dxa"/>
            <w:tcBorders>
              <w:bottom w:val="single" w:sz="6" w:space="0" w:color="BFBFBF"/>
            </w:tcBorders>
            <w:tcMar>
              <w:bottom w:w="63" w:type="dxa"/>
            </w:tcMar>
            <w:vAlign w:val="center"/>
          </w:tcPr>
          <w:p>
            <w:pPr>
              <w:pStyle w:val="TableContents"/>
              <w:bidi w:val="0"/>
              <w:spacing w:before="0" w:after="283"/>
              <w:jc w:val="right"/>
              <w:rPr/>
            </w:pPr>
            <w:r>
              <w:rPr/>
              <w:t>​</w:t>
            </w:r>
          </w:p>
        </w:tc>
        <w:tc>
          <w:tcPr>
            <w:tcW w:w="986" w:type="dxa"/>
            <w:tcBorders>
              <w:bottom w:val="single" w:sz="6" w:space="0" w:color="BFBFBF"/>
            </w:tcBorders>
            <w:tcMar>
              <w:bottom w:w="63" w:type="dxa"/>
            </w:tcMar>
            <w:vAlign w:val="center"/>
          </w:tcPr>
          <w:p>
            <w:pPr>
              <w:pStyle w:val="TableContents"/>
              <w:bidi w:val="0"/>
              <w:spacing w:before="0" w:after="283"/>
              <w:jc w:val="righ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0" w:type="dxa"/>
            <w:tcBorders>
              <w:bottom w:val="single" w:sz="6" w:space="0" w:color="BFBFBF"/>
            </w:tcBorders>
            <w:vAlign w:val="center"/>
          </w:tcPr>
          <w:p>
            <w:pPr>
              <w:pStyle w:val="TableContents"/>
              <w:bidi w:val="0"/>
              <w:spacing w:before="0" w:after="283"/>
              <w:jc w:val="left"/>
              <w:rPr/>
            </w:pPr>
            <w:r>
              <w:rPr/>
              <w:t>​</w:t>
            </w:r>
          </w:p>
        </w:tc>
        <w:tc>
          <w:tcPr>
            <w:tcW w:w="110" w:type="dxa"/>
            <w:tcBorders>
              <w:bottom w:val="single" w:sz="6" w:space="0" w:color="BFBFBF"/>
            </w:tcBorders>
            <w:tcMar>
              <w:bottom w:w="63" w:type="dxa"/>
            </w:tcM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February 20, 2025 and July 24, 2025, the Board, at the recommendation of the Compensation and Human Capital Committee (the “Compensation Committee”), approved the equity awards to be granted to the named executive officers. In accordance with the Compensation Committee and Board’s equity award policy, the grant date was delayed until the second trading day following the public dissemination of the Company’s 2024 fiscal year-end and second quarter 2025 earnings releases.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69215" distB="0" distL="254000" distR="0" simplePos="0" locked="0" layoutInCell="1" allowOverlap="1" relativeHeight="156">
                <wp:simplePos x="0" y="0"/>
                <wp:positionH relativeFrom="column">
                  <wp:align>left</wp:align>
                </wp:positionH>
                <wp:positionV relativeFrom="line">
                  <wp:align>top</wp:align>
                </wp:positionV>
                <wp:extent cx="254000" cy="287020"/>
                <wp:effectExtent l="0" t="0" r="0" b="0"/>
                <wp:wrapSquare wrapText="right"/>
                <wp:docPr id="151" name="Frame113"/>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(1)</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amounts shown represent each named executive officer’s threshold, target and maximum annual cash incentive opportunities for performance in 2025, pursuant to the STI Plan. The actual amount of each named executive officer’s award is determined after completion of the performance period as discussed in our Compensation Discussion and Analysis, and in the case of Mr. Schmitzer was subject to pro-ration of his salary (both before and after the August 2025 amendment to his employment agreement as described in “Compensation Discussion &amp; Analysis V. Post-Employment Compensation and Other Benefits — Retirement of Mr. Schmitzer”) for time worked during the 2025 performance year. The annual cash incentive awards earned by our named executive officers for performance in 2025 were paid during the first quarter of 2026 and are reflected in the Summary Compensation Table.</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57">
                <wp:simplePos x="0" y="0"/>
                <wp:positionH relativeFrom="column">
                  <wp:align>left</wp:align>
                </wp:positionH>
                <wp:positionV relativeFrom="line">
                  <wp:posOffset>635</wp:posOffset>
                </wp:positionV>
                <wp:extent cx="254000" cy="287020"/>
                <wp:effectExtent l="0" t="0" r="0" b="0"/>
                <wp:wrapSquare wrapText="right"/>
                <wp:docPr id="152" name="Frame114"/>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(2)</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amounts shown represent the threshold, target and maximum number of PRSUs granted to each named executive officer in 2025 pursuant to the 2014 LTIP, except for Mr. Sutherland, who did not receive a PRSU award in 2025. The PRSUs granted in 2025 have a performance period of January 1, 2025 to December 31, 2027. The actual amount of each named executive officer’s award will be based on the achievement of certain performance goals, as discussed in “Compensation Discussion and Analysis IV. Compensation Program Components — Long-Term Incentives.”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58">
                <wp:simplePos x="0" y="0"/>
                <wp:positionH relativeFrom="column">
                  <wp:align>left</wp:align>
                </wp:positionH>
                <wp:positionV relativeFrom="line">
                  <wp:posOffset>635</wp:posOffset>
                </wp:positionV>
                <wp:extent cx="254000" cy="287020"/>
                <wp:effectExtent l="0" t="0" r="0" b="0"/>
                <wp:wrapSquare wrapText="right"/>
                <wp:docPr id="153" name="Frame115"/>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(3)</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amounts shown represent the Service-Based RSUs granted to each of our named executive officers in 2025 pursuant to the 2014 LTIP, which vest in equal annual installments over three years based on the named executive officers’ continued service with the Company, as discussed in “Compensation Discussion and Analysis IV. Compensation Program Components — Long-Term Incentives.”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59">
                <wp:simplePos x="0" y="0"/>
                <wp:positionH relativeFrom="column">
                  <wp:align>left</wp:align>
                </wp:positionH>
                <wp:positionV relativeFrom="line">
                  <wp:posOffset>635</wp:posOffset>
                </wp:positionV>
                <wp:extent cx="254000" cy="287020"/>
                <wp:effectExtent l="0" t="0" r="0" b="0"/>
                <wp:wrapSquare wrapText="right"/>
                <wp:docPr id="154" name="Frame116"/>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(4)</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(4)</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35</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6" w:before="303" w:after="283"/>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The grant date fair value of the Service-Based RSUs and PRSUs, as applicable, was calculated in accordance with FASB ASC Topic 718, and reflects the assumptions set forth in Note 14 — “Equity Awards” in the Company’s Annual Report on Form 10-K for the year ended December 31, 2025. The grant date fair value of the Service-Based RSUs is based on the closing price of the Company’s common stock on the date of grant. The grant date fair value of the PRSUs is determined based upon the probable outcome of the performance conditions, excluding the effect of estimated forfeitures. </w:t>
      </w:r>
      <w:r>
        <mc:AlternateContent>
          <mc:Choice Requires="wps">
            <w:drawing>
              <wp:anchor behindDoc="0" distT="0" distB="0" distL="254000" distR="0" simplePos="0" locked="0" layoutInCell="1" allowOverlap="1" relativeHeight="160">
                <wp:simplePos x="0" y="0"/>
                <wp:positionH relativeFrom="column">
                  <wp:align>left</wp:align>
                </wp:positionH>
                <wp:positionV relativeFrom="line">
                  <wp:posOffset>635</wp:posOffset>
                </wp:positionV>
                <wp:extent cx="254000" cy="287020"/>
                <wp:effectExtent l="0" t="0" r="0" b="0"/>
                <wp:wrapSquare wrapText="right"/>
                <wp:docPr id="155" name="Frame117"/>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rFonts w:ascii="Arial Narrow;Arial;Helvetica;sans-serif" w:hAnsi="Arial Narrow;Arial;Helvetica;sans-serif"/>
                                <w:sz w:val="19"/>
                              </w:rPr>
                            </w:pPr>
                            <w:r>
                              <w:rPr>
                                <w:rFonts w:ascii="Arial Narrow;Arial;Helvetica;sans-serif" w:hAnsi="Arial Narrow;Arial;Helvetica;sans-serif"/>
                                <w:sz w:val="19"/>
                              </w:rPr>
                              <w:t>(5)</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rFonts w:ascii="Arial Narrow;Arial;Helvetica;sans-serif" w:hAnsi="Arial Narrow;Arial;Helvetica;sans-serif"/>
                          <w:sz w:val="19"/>
                        </w:rPr>
                      </w:pPr>
                      <w:r>
                        <w:rPr>
                          <w:rFonts w:ascii="Arial Narrow;Arial;Helvetica;sans-serif" w:hAnsi="Arial Narrow;Arial;Helvetica;sans-serif"/>
                          <w:sz w:val="19"/>
                        </w:rPr>
                        <w:t>(5)</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36</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OEA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Outstanding Equity Awards at Fiscal Year-End</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sets forth the outstanding equity awards held by our named executive officers on December 31, 2025, which consisted of Service-Based RSUs and PRSUs.</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411"/>
        <w:gridCol w:w="109"/>
        <w:gridCol w:w="109"/>
        <w:gridCol w:w="109"/>
        <w:gridCol w:w="109"/>
        <w:gridCol w:w="109"/>
        <w:gridCol w:w="858"/>
        <w:gridCol w:w="109"/>
        <w:gridCol w:w="109"/>
        <w:gridCol w:w="109"/>
        <w:gridCol w:w="109"/>
        <w:gridCol w:w="110"/>
        <w:gridCol w:w="110"/>
        <w:gridCol w:w="792"/>
        <w:gridCol w:w="110"/>
        <w:gridCol w:w="109"/>
        <w:gridCol w:w="109"/>
        <w:gridCol w:w="109"/>
        <w:gridCol w:w="124"/>
        <w:gridCol w:w="124"/>
        <w:gridCol w:w="891"/>
        <w:gridCol w:w="124"/>
        <w:gridCol w:w="109"/>
        <w:gridCol w:w="109"/>
        <w:gridCol w:w="109"/>
        <w:gridCol w:w="116"/>
        <w:gridCol w:w="116"/>
        <w:gridCol w:w="833"/>
        <w:gridCol w:w="116"/>
        <w:gridCol w:w="109"/>
        <w:gridCol w:w="109"/>
        <w:gridCol w:w="109"/>
        <w:gridCol w:w="118"/>
        <w:gridCol w:w="118"/>
        <w:gridCol w:w="849"/>
        <w:gridCol w:w="118"/>
        <w:gridCol w:w="161"/>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sz w:val="17"/>
              </w:rPr>
            </w:pPr>
            <w:r>
              <w:rPr>
                <w:sz w:val="17"/>
              </w:rPr>
              <w:t xml:space="preserve">NAME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85" w:type="dxa"/>
            <w:gridSpan w:val="4"/>
            <w:tcBorders>
              <w:bottom w:val="single" w:sz="12" w:space="0" w:color="3F3F3F"/>
            </w:tcBorders>
            <w:shd w:fill="F2F2F2" w:val="clear"/>
            <w:tcMar>
              <w:bottom w:w="127" w:type="dxa"/>
            </w:tcMar>
            <w:vAlign w:val="center"/>
          </w:tcPr>
          <w:p>
            <w:pPr>
              <w:pStyle w:val="TableContents"/>
              <w:bidi w:val="0"/>
              <w:spacing w:lineRule="atLeast" w:line="191" w:before="0" w:after="0"/>
              <w:jc w:val="center"/>
              <w:rPr>
                <w:sz w:val="17"/>
              </w:rPr>
            </w:pPr>
            <w:r>
              <w:rPr>
                <w:sz w:val="17"/>
              </w:rPr>
              <w:t>GRANT</w:t>
              <w:br/>
              <w:t xml:space="preserve">DATE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22" w:type="dxa"/>
            <w:gridSpan w:val="4"/>
            <w:tcBorders>
              <w:bottom w:val="single" w:sz="12" w:space="0" w:color="3F3F3F"/>
            </w:tcBorders>
            <w:shd w:fill="F2F2F2" w:val="clear"/>
            <w:tcMar>
              <w:bottom w:w="127" w:type="dxa"/>
            </w:tcMar>
            <w:vAlign w:val="center"/>
          </w:tcPr>
          <w:p>
            <w:pPr>
              <w:pStyle w:val="TableContents"/>
              <w:bidi w:val="0"/>
              <w:spacing w:lineRule="atLeast" w:line="191" w:before="0" w:after="0"/>
              <w:jc w:val="center"/>
              <w:rPr>
                <w:sz w:val="17"/>
              </w:rPr>
            </w:pPr>
            <w:r>
              <w:rPr>
                <w:sz w:val="17"/>
              </w:rPr>
              <w:t>NUMBER OF</w:t>
              <w:br/>
              <w:t>SHARES OR</w:t>
              <w:br/>
              <w:t>UNITS OF</w:t>
              <w:br/>
              <w:t>STOCK</w:t>
              <w:br/>
              <w:t>THAT HAVE</w:t>
              <w:br/>
              <w:t>NOT VESTED</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63"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sz w:val="17"/>
              </w:rPr>
            </w:pPr>
            <w:r>
              <w:rPr>
                <w:sz w:val="17"/>
              </w:rPr>
              <w:t>MARKET VALUE</w:t>
              <w:br/>
              <w:t>OF SHARES</w:t>
              <w:br/>
              <w:t>OR UNITS OF</w:t>
              <w:br/>
              <w:t>STOCK THAT</w:t>
              <w:br/>
              <w:t>HAVE NOT</w:t>
              <w:br/>
              <w:t>VESTED</w:t>
            </w:r>
            <w:r>
              <w:rPr>
                <w:sz w:val="11"/>
              </w:rPr>
              <w:t>(3)</w:t>
            </w:r>
            <w:r>
              <w:rPr>
                <w:sz w:val="17"/>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181"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sz w:val="17"/>
              </w:rPr>
            </w:pPr>
            <w:r>
              <w:rPr>
                <w:sz w:val="17"/>
              </w:rPr>
              <w:t>EQUITY</w:t>
              <w:br/>
              <w:t>INCENTIVE</w:t>
              <w:br/>
              <w:t>PLAN</w:t>
              <w:br/>
              <w:t>AWARDS:</w:t>
              <w:br/>
              <w:t>NUMBER OF</w:t>
              <w:br/>
              <w:t>UNEARNED</w:t>
              <w:br/>
              <w:t>SHARES,</w:t>
              <w:br/>
              <w:t>UNITS OR</w:t>
              <w:br/>
              <w:t>OTHER</w:t>
              <w:br/>
              <w:t>RIGHTS</w:t>
              <w:br/>
              <w:t>THAT HAVE</w:t>
              <w:br/>
              <w:t>NOT VESTED</w:t>
            </w:r>
            <w:r>
              <w:rPr>
                <w:sz w:val="11"/>
              </w:rPr>
              <w:t>(4)</w:t>
            </w:r>
            <w:r>
              <w:rPr>
                <w:sz w:val="17"/>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03"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sz w:val="17"/>
              </w:rPr>
            </w:pPr>
            <w:r>
              <w:rPr>
                <w:sz w:val="17"/>
              </w:rPr>
              <w:t>EQUITY</w:t>
              <w:br/>
              <w:t>INCENTIVE</w:t>
              <w:br/>
              <w:t>PLAN</w:t>
              <w:br/>
              <w:t>AWARDS:</w:t>
              <w:br/>
              <w:t>MARKET OR</w:t>
              <w:br/>
              <w:t>PAYOUT</w:t>
              <w:br/>
              <w:t>VALUE OF</w:t>
              <w:br/>
              <w:t>UNEARNED</w:t>
              <w:br/>
              <w:t>SHARES,</w:t>
              <w:br/>
              <w:t>UNITS OR</w:t>
              <w:br/>
              <w:t>OTHER RIGHTS</w:t>
              <w:br/>
              <w:t>THAT HAVE</w:t>
              <w:br/>
              <w:t>NOT VESTED</w:t>
            </w:r>
            <w:r>
              <w:rPr>
                <w:sz w:val="11"/>
              </w:rPr>
              <w:t>(5)</w:t>
            </w:r>
            <w:r>
              <w:rPr>
                <w:sz w:val="17"/>
              </w:rPr>
              <w:br/>
              <w:t xml:space="preserve">($) </w:t>
            </w:r>
          </w:p>
        </w:tc>
        <w:tc>
          <w:tcPr>
            <w:tcW w:w="161"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411" w:type="dxa"/>
            <w:vMerge w:val="restart"/>
            <w:tcBorders>
              <w:bottom w:val="single" w:sz="2" w:space="0" w:color="BFBFBF"/>
            </w:tcBorders>
            <w:tcMar>
              <w:bottom w:w="35" w:type="dxa"/>
            </w:tcMar>
            <w:vAlign w:val="center"/>
          </w:tcPr>
          <w:p>
            <w:pPr>
              <w:pStyle w:val="TableContents"/>
              <w:bidi w:val="0"/>
              <w:spacing w:before="0" w:after="0"/>
              <w:jc w:val="left"/>
              <w:rPr>
                <w:sz w:val="19"/>
              </w:rPr>
            </w:pPr>
            <w:r>
              <w:rPr>
                <w:sz w:val="19"/>
              </w:rPr>
              <w:t xml:space="preserve">Frank N. D’Orazio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858" w:type="dxa"/>
            <w:tcBorders/>
            <w:tcMar>
              <w:bottom w:w="0" w:type="dxa"/>
            </w:tcMar>
            <w:vAlign w:val="center"/>
          </w:tcPr>
          <w:p>
            <w:pPr>
              <w:pStyle w:val="TableContents"/>
              <w:bidi w:val="0"/>
              <w:spacing w:lineRule="atLeast" w:line="226" w:before="0" w:after="0"/>
              <w:jc w:val="right"/>
              <w:rPr>
                <w:sz w:val="19"/>
              </w:rPr>
            </w:pPr>
            <w:r>
              <w:rPr>
                <w:sz w:val="19"/>
              </w:rPr>
              <w:t>3/1/2023</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26" w:before="0" w:after="0"/>
              <w:jc w:val="right"/>
              <w:rPr/>
            </w:pPr>
            <w:r>
              <w:rPr/>
              <w:t>​</w:t>
            </w:r>
          </w:p>
        </w:tc>
        <w:tc>
          <w:tcPr>
            <w:tcW w:w="792" w:type="dxa"/>
            <w:tcBorders/>
            <w:tcMar>
              <w:bottom w:w="0" w:type="dxa"/>
            </w:tcMar>
            <w:vAlign w:val="center"/>
          </w:tcPr>
          <w:p>
            <w:pPr>
              <w:pStyle w:val="TableContents"/>
              <w:bidi w:val="0"/>
              <w:spacing w:lineRule="atLeast" w:line="226" w:before="0" w:after="0"/>
              <w:jc w:val="right"/>
              <w:rPr>
                <w:sz w:val="19"/>
              </w:rPr>
            </w:pPr>
            <w:r>
              <w:rPr>
                <w:sz w:val="19"/>
              </w:rPr>
              <w:t>6,209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lineRule="atLeast" w:line="226" w:before="0" w:after="0"/>
              <w:jc w:val="right"/>
              <w:rPr/>
            </w:pPr>
            <w:r>
              <w:rPr/>
              <w:t>​</w:t>
            </w:r>
          </w:p>
        </w:tc>
        <w:tc>
          <w:tcPr>
            <w:tcW w:w="891" w:type="dxa"/>
            <w:tcBorders/>
            <w:tcMar>
              <w:bottom w:w="0" w:type="dxa"/>
            </w:tcMar>
            <w:vAlign w:val="center"/>
          </w:tcPr>
          <w:p>
            <w:pPr>
              <w:pStyle w:val="TableContents"/>
              <w:bidi w:val="0"/>
              <w:spacing w:lineRule="atLeast" w:line="226" w:before="0" w:after="0"/>
              <w:jc w:val="right"/>
              <w:rPr>
                <w:sz w:val="19"/>
              </w:rPr>
            </w:pPr>
            <w:r>
              <w:rPr>
                <w:sz w:val="19"/>
              </w:rPr>
              <w:t>39,489</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lineRule="atLeast" w:line="226" w:before="0" w:after="0"/>
              <w:jc w:val="right"/>
              <w:rPr/>
            </w:pPr>
            <w:r>
              <w:rPr/>
              <w:t>​</w:t>
            </w:r>
          </w:p>
        </w:tc>
        <w:tc>
          <w:tcPr>
            <w:tcW w:w="833" w:type="dxa"/>
            <w:tcBorders/>
            <w:tcMar>
              <w:bottom w:w="0" w:type="dxa"/>
            </w:tcMar>
            <w:vAlign w:val="center"/>
          </w:tcPr>
          <w:p>
            <w:pPr>
              <w:pStyle w:val="TableContents"/>
              <w:bidi w:val="0"/>
              <w:spacing w:lineRule="atLeast" w:line="226"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26" w:before="0" w:after="0"/>
              <w:jc w:val="right"/>
              <w:rPr/>
            </w:pPr>
            <w:r>
              <w:rPr/>
              <w:t>​</w:t>
            </w:r>
          </w:p>
        </w:tc>
        <w:tc>
          <w:tcPr>
            <w:tcW w:w="849" w:type="dxa"/>
            <w:tcBorders/>
            <w:tcMar>
              <w:bottom w:w="0" w:type="dxa"/>
            </w:tcMar>
            <w:vAlign w:val="center"/>
          </w:tcPr>
          <w:p>
            <w:pPr>
              <w:pStyle w:val="TableContents"/>
              <w:bidi w:val="0"/>
              <w:spacing w:lineRule="atLeast" w:line="226"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3/1/2023</w:t>
            </w:r>
            <w:r>
              <w:rPr>
                <w:sz w:val="12"/>
              </w:rPr>
              <w:t>(2)</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13,597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86,477</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32,878</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209,104</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sz w:val="19"/>
              </w:rPr>
            </w:pPr>
            <w:r>
              <w:rPr>
                <w:sz w:val="19"/>
              </w:rPr>
              <w:t>49,317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sz w:val="19"/>
              </w:rPr>
            </w:pPr>
            <w:r>
              <w:rPr>
                <w:sz w:val="19"/>
              </w:rPr>
              <w:t>313,656</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3/5/2025</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131,334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835,284</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35" w:type="dxa"/>
            </w:tcMar>
            <w:vAlign w:val="center"/>
          </w:tcPr>
          <w:p>
            <w:pPr>
              <w:pStyle w:val="TableContents"/>
              <w:bidi w:val="0"/>
              <w:spacing w:before="0" w:after="0"/>
              <w:jc w:val="right"/>
              <w:rPr/>
            </w:pPr>
            <w:r>
              <w:rPr/>
              <w:t>​</w:t>
            </w:r>
          </w:p>
        </w:tc>
        <w:tc>
          <w:tcPr>
            <w:tcW w:w="858" w:type="dxa"/>
            <w:tcBorders>
              <w:bottom w:val="single" w:sz="2" w:space="0" w:color="BFBFBF"/>
            </w:tcBorders>
            <w:tcMar>
              <w:bottom w:w="35" w:type="dxa"/>
            </w:tcMar>
            <w:vAlign w:val="center"/>
          </w:tcPr>
          <w:p>
            <w:pPr>
              <w:pStyle w:val="TableContents"/>
              <w:bidi w:val="0"/>
              <w:spacing w:before="0" w:after="0"/>
              <w:jc w:val="right"/>
              <w:rPr>
                <w:sz w:val="19"/>
              </w:rPr>
            </w:pPr>
            <w:r>
              <w:rPr>
                <w:sz w:val="19"/>
              </w:rPr>
              <w:t>3/5/2025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35" w:type="dxa"/>
            </w:tcMar>
            <w:vAlign w:val="center"/>
          </w:tcPr>
          <w:p>
            <w:pPr>
              <w:pStyle w:val="TableContents"/>
              <w:bidi w:val="0"/>
              <w:spacing w:before="0" w:after="0"/>
              <w:jc w:val="right"/>
              <w:rPr/>
            </w:pPr>
            <w:r>
              <w:rPr/>
              <w:t>​</w:t>
            </w:r>
          </w:p>
        </w:tc>
        <w:tc>
          <w:tcPr>
            <w:tcW w:w="792" w:type="dxa"/>
            <w:tcBorders>
              <w:bottom w:val="single" w:sz="2" w:space="0" w:color="BFBFBF"/>
            </w:tcBorders>
            <w:tcMar>
              <w:bottom w:w="35" w:type="dxa"/>
            </w:tcMar>
            <w:vAlign w:val="center"/>
          </w:tcPr>
          <w:p>
            <w:pPr>
              <w:pStyle w:val="TableContents"/>
              <w:bidi w:val="0"/>
              <w:spacing w:before="0" w:after="0"/>
              <w:jc w:val="righ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tcMar>
              <w:bottom w:w="35" w:type="dxa"/>
            </w:tcMar>
            <w:vAlign w:val="center"/>
          </w:tcPr>
          <w:p>
            <w:pPr>
              <w:pStyle w:val="TableContents"/>
              <w:bidi w:val="0"/>
              <w:spacing w:before="0" w:after="0"/>
              <w:jc w:val="right"/>
              <w:rPr/>
            </w:pPr>
            <w:r>
              <w:rPr/>
              <w:t>​</w:t>
            </w:r>
          </w:p>
        </w:tc>
        <w:tc>
          <w:tcPr>
            <w:tcW w:w="891" w:type="dxa"/>
            <w:tcBorders>
              <w:bottom w:val="single" w:sz="2" w:space="0" w:color="BFBFBF"/>
            </w:tcBorders>
            <w:tcMar>
              <w:bottom w:w="35" w:type="dxa"/>
            </w:tcMar>
            <w:vAlign w:val="center"/>
          </w:tcPr>
          <w:p>
            <w:pPr>
              <w:pStyle w:val="TableContents"/>
              <w:bidi w:val="0"/>
              <w:spacing w:before="0" w:after="0"/>
              <w:jc w:val="righ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tcMar>
              <w:bottom w:w="35" w:type="dxa"/>
            </w:tcMar>
            <w:vAlign w:val="center"/>
          </w:tcPr>
          <w:p>
            <w:pPr>
              <w:pStyle w:val="TableContents"/>
              <w:bidi w:val="0"/>
              <w:spacing w:before="0" w:after="0"/>
              <w:jc w:val="right"/>
              <w:rPr/>
            </w:pPr>
            <w:r>
              <w:rPr/>
              <w:t>​</w:t>
            </w:r>
          </w:p>
        </w:tc>
        <w:tc>
          <w:tcPr>
            <w:tcW w:w="833" w:type="dxa"/>
            <w:tcBorders>
              <w:bottom w:val="single" w:sz="2" w:space="0" w:color="BFBFBF"/>
            </w:tcBorders>
            <w:tcMar>
              <w:bottom w:w="35" w:type="dxa"/>
            </w:tcMar>
            <w:vAlign w:val="center"/>
          </w:tcPr>
          <w:p>
            <w:pPr>
              <w:pStyle w:val="TableContents"/>
              <w:bidi w:val="0"/>
              <w:spacing w:before="0" w:after="0"/>
              <w:jc w:val="right"/>
              <w:rPr>
                <w:sz w:val="19"/>
              </w:rPr>
            </w:pPr>
            <w:r>
              <w:rPr>
                <w:sz w:val="19"/>
              </w:rPr>
              <w:t>131,334</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tcMar>
              <w:bottom w:w="35" w:type="dxa"/>
            </w:tcMar>
            <w:vAlign w:val="center"/>
          </w:tcPr>
          <w:p>
            <w:pPr>
              <w:pStyle w:val="TableContents"/>
              <w:bidi w:val="0"/>
              <w:spacing w:before="0" w:after="0"/>
              <w:jc w:val="right"/>
              <w:rPr/>
            </w:pPr>
            <w:r>
              <w:rPr/>
              <w:t>​</w:t>
            </w:r>
          </w:p>
        </w:tc>
        <w:tc>
          <w:tcPr>
            <w:tcW w:w="849" w:type="dxa"/>
            <w:tcBorders>
              <w:bottom w:val="single" w:sz="2" w:space="0" w:color="BFBFBF"/>
            </w:tcBorders>
            <w:tcMar>
              <w:bottom w:w="35" w:type="dxa"/>
            </w:tcMar>
            <w:vAlign w:val="center"/>
          </w:tcPr>
          <w:p>
            <w:pPr>
              <w:pStyle w:val="TableContents"/>
              <w:bidi w:val="0"/>
              <w:spacing w:before="0" w:after="0"/>
              <w:jc w:val="right"/>
              <w:rPr>
                <w:sz w:val="19"/>
              </w:rPr>
            </w:pPr>
            <w:r>
              <w:rPr>
                <w:sz w:val="19"/>
              </w:rPr>
              <w:t>835,284</w:t>
            </w:r>
          </w:p>
        </w:tc>
        <w:tc>
          <w:tcPr>
            <w:tcW w:w="118"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411" w:type="dxa"/>
            <w:vMerge w:val="restart"/>
            <w:tcBorders>
              <w:bottom w:val="single" w:sz="2" w:space="0" w:color="BFBFBF"/>
            </w:tcBorders>
            <w:tcMar>
              <w:bottom w:w="35" w:type="dxa"/>
            </w:tcMar>
            <w:vAlign w:val="center"/>
          </w:tcPr>
          <w:p>
            <w:pPr>
              <w:pStyle w:val="TableContents"/>
              <w:bidi w:val="0"/>
              <w:spacing w:before="0" w:after="0"/>
              <w:jc w:val="left"/>
              <w:rPr>
                <w:sz w:val="19"/>
              </w:rPr>
            </w:pPr>
            <w:r>
              <w:rPr>
                <w:sz w:val="19"/>
              </w:rPr>
              <w:t xml:space="preserve">Sarah C. Doran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858" w:type="dxa"/>
            <w:tcBorders/>
            <w:tcMar>
              <w:bottom w:w="0" w:type="dxa"/>
            </w:tcMar>
            <w:vAlign w:val="center"/>
          </w:tcPr>
          <w:p>
            <w:pPr>
              <w:pStyle w:val="TableContents"/>
              <w:bidi w:val="0"/>
              <w:spacing w:lineRule="atLeast" w:line="226" w:before="0" w:after="0"/>
              <w:jc w:val="right"/>
              <w:rPr>
                <w:sz w:val="19"/>
              </w:rPr>
            </w:pPr>
            <w:r>
              <w:rPr>
                <w:sz w:val="19"/>
              </w:rPr>
              <w:t>3/1/2023</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26" w:before="0" w:after="0"/>
              <w:jc w:val="right"/>
              <w:rPr/>
            </w:pPr>
            <w:r>
              <w:rPr/>
              <w:t>​</w:t>
            </w:r>
          </w:p>
        </w:tc>
        <w:tc>
          <w:tcPr>
            <w:tcW w:w="792" w:type="dxa"/>
            <w:tcBorders/>
            <w:tcMar>
              <w:bottom w:w="0" w:type="dxa"/>
            </w:tcMar>
            <w:vAlign w:val="center"/>
          </w:tcPr>
          <w:p>
            <w:pPr>
              <w:pStyle w:val="TableContents"/>
              <w:bidi w:val="0"/>
              <w:spacing w:lineRule="atLeast" w:line="226" w:before="0" w:after="0"/>
              <w:jc w:val="right"/>
              <w:rPr>
                <w:sz w:val="19"/>
              </w:rPr>
            </w:pPr>
            <w:r>
              <w:rPr>
                <w:sz w:val="19"/>
              </w:rPr>
              <w:t>3,692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lineRule="atLeast" w:line="226" w:before="0" w:after="0"/>
              <w:jc w:val="right"/>
              <w:rPr/>
            </w:pPr>
            <w:r>
              <w:rPr/>
              <w:t>​</w:t>
            </w:r>
          </w:p>
        </w:tc>
        <w:tc>
          <w:tcPr>
            <w:tcW w:w="891" w:type="dxa"/>
            <w:tcBorders/>
            <w:tcMar>
              <w:bottom w:w="0" w:type="dxa"/>
            </w:tcMar>
            <w:vAlign w:val="center"/>
          </w:tcPr>
          <w:p>
            <w:pPr>
              <w:pStyle w:val="TableContents"/>
              <w:bidi w:val="0"/>
              <w:spacing w:lineRule="atLeast" w:line="226" w:before="0" w:after="0"/>
              <w:jc w:val="right"/>
              <w:rPr>
                <w:sz w:val="19"/>
              </w:rPr>
            </w:pPr>
            <w:r>
              <w:rPr>
                <w:sz w:val="19"/>
              </w:rPr>
              <w:t>23,481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lineRule="atLeast" w:line="226" w:before="0" w:after="0"/>
              <w:jc w:val="right"/>
              <w:rPr/>
            </w:pPr>
            <w:r>
              <w:rPr/>
              <w:t>​</w:t>
            </w:r>
          </w:p>
        </w:tc>
        <w:tc>
          <w:tcPr>
            <w:tcW w:w="833" w:type="dxa"/>
            <w:tcBorders/>
            <w:tcMar>
              <w:bottom w:w="0" w:type="dxa"/>
            </w:tcMar>
            <w:vAlign w:val="center"/>
          </w:tcPr>
          <w:p>
            <w:pPr>
              <w:pStyle w:val="TableContents"/>
              <w:bidi w:val="0"/>
              <w:spacing w:lineRule="atLeast" w:line="226"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26" w:before="0" w:after="0"/>
              <w:jc w:val="right"/>
              <w:rPr/>
            </w:pPr>
            <w:r>
              <w:rPr/>
              <w:t>​</w:t>
            </w:r>
          </w:p>
        </w:tc>
        <w:tc>
          <w:tcPr>
            <w:tcW w:w="849" w:type="dxa"/>
            <w:tcBorders/>
            <w:tcMar>
              <w:bottom w:w="0" w:type="dxa"/>
            </w:tcMar>
            <w:vAlign w:val="center"/>
          </w:tcPr>
          <w:p>
            <w:pPr>
              <w:pStyle w:val="TableContents"/>
              <w:bidi w:val="0"/>
              <w:spacing w:lineRule="atLeast" w:line="226"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3/1/2023</w:t>
            </w:r>
            <w:r>
              <w:rPr>
                <w:sz w:val="12"/>
              </w:rPr>
              <w:t>(2)</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8,085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51,421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19,456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123,740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sz w:val="19"/>
              </w:rPr>
            </w:pPr>
            <w:r>
              <w:rPr>
                <w:sz w:val="19"/>
              </w:rPr>
              <w:t>29,183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sz w:val="19"/>
              </w:rPr>
            </w:pPr>
            <w:r>
              <w:rPr>
                <w:sz w:val="19"/>
              </w:rPr>
              <w:t>185,604</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3/5/2025</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77,717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494,280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35" w:type="dxa"/>
            </w:tcMar>
            <w:vAlign w:val="center"/>
          </w:tcPr>
          <w:p>
            <w:pPr>
              <w:pStyle w:val="TableContents"/>
              <w:bidi w:val="0"/>
              <w:spacing w:before="0" w:after="0"/>
              <w:jc w:val="right"/>
              <w:rPr/>
            </w:pPr>
            <w:r>
              <w:rPr/>
              <w:t>​</w:t>
            </w:r>
          </w:p>
        </w:tc>
        <w:tc>
          <w:tcPr>
            <w:tcW w:w="858" w:type="dxa"/>
            <w:tcBorders>
              <w:bottom w:val="single" w:sz="2" w:space="0" w:color="BFBFBF"/>
            </w:tcBorders>
            <w:tcMar>
              <w:bottom w:w="35" w:type="dxa"/>
            </w:tcMar>
            <w:vAlign w:val="center"/>
          </w:tcPr>
          <w:p>
            <w:pPr>
              <w:pStyle w:val="TableContents"/>
              <w:bidi w:val="0"/>
              <w:spacing w:before="0" w:after="0"/>
              <w:jc w:val="right"/>
              <w:rPr>
                <w:sz w:val="19"/>
              </w:rPr>
            </w:pPr>
            <w:r>
              <w:rPr>
                <w:sz w:val="19"/>
              </w:rPr>
              <w:t>3/5/2025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35" w:type="dxa"/>
            </w:tcMar>
            <w:vAlign w:val="center"/>
          </w:tcPr>
          <w:p>
            <w:pPr>
              <w:pStyle w:val="TableContents"/>
              <w:bidi w:val="0"/>
              <w:spacing w:before="0" w:after="0"/>
              <w:jc w:val="right"/>
              <w:rPr/>
            </w:pPr>
            <w:r>
              <w:rPr/>
              <w:t>​</w:t>
            </w:r>
          </w:p>
        </w:tc>
        <w:tc>
          <w:tcPr>
            <w:tcW w:w="792" w:type="dxa"/>
            <w:tcBorders>
              <w:bottom w:val="single" w:sz="2" w:space="0" w:color="BFBFBF"/>
            </w:tcBorders>
            <w:tcMar>
              <w:bottom w:w="35" w:type="dxa"/>
            </w:tcMar>
            <w:vAlign w:val="center"/>
          </w:tcPr>
          <w:p>
            <w:pPr>
              <w:pStyle w:val="TableContents"/>
              <w:bidi w:val="0"/>
              <w:spacing w:before="0" w:after="0"/>
              <w:jc w:val="righ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tcMar>
              <w:bottom w:w="35" w:type="dxa"/>
            </w:tcMar>
            <w:vAlign w:val="center"/>
          </w:tcPr>
          <w:p>
            <w:pPr>
              <w:pStyle w:val="TableContents"/>
              <w:bidi w:val="0"/>
              <w:spacing w:before="0" w:after="0"/>
              <w:jc w:val="right"/>
              <w:rPr/>
            </w:pPr>
            <w:r>
              <w:rPr/>
              <w:t>​</w:t>
            </w:r>
          </w:p>
        </w:tc>
        <w:tc>
          <w:tcPr>
            <w:tcW w:w="891" w:type="dxa"/>
            <w:tcBorders>
              <w:bottom w:val="single" w:sz="2" w:space="0" w:color="BFBFBF"/>
            </w:tcBorders>
            <w:tcMar>
              <w:bottom w:w="35" w:type="dxa"/>
            </w:tcMar>
            <w:vAlign w:val="center"/>
          </w:tcPr>
          <w:p>
            <w:pPr>
              <w:pStyle w:val="TableContents"/>
              <w:bidi w:val="0"/>
              <w:spacing w:before="0" w:after="0"/>
              <w:jc w:val="righ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tcMar>
              <w:bottom w:w="35" w:type="dxa"/>
            </w:tcMar>
            <w:vAlign w:val="center"/>
          </w:tcPr>
          <w:p>
            <w:pPr>
              <w:pStyle w:val="TableContents"/>
              <w:bidi w:val="0"/>
              <w:spacing w:before="0" w:after="0"/>
              <w:jc w:val="right"/>
              <w:rPr/>
            </w:pPr>
            <w:r>
              <w:rPr/>
              <w:t>​</w:t>
            </w:r>
          </w:p>
        </w:tc>
        <w:tc>
          <w:tcPr>
            <w:tcW w:w="833" w:type="dxa"/>
            <w:tcBorders>
              <w:bottom w:val="single" w:sz="2" w:space="0" w:color="BFBFBF"/>
            </w:tcBorders>
            <w:tcMar>
              <w:bottom w:w="35" w:type="dxa"/>
            </w:tcMar>
            <w:vAlign w:val="center"/>
          </w:tcPr>
          <w:p>
            <w:pPr>
              <w:pStyle w:val="TableContents"/>
              <w:bidi w:val="0"/>
              <w:spacing w:before="0" w:after="0"/>
              <w:jc w:val="right"/>
              <w:rPr>
                <w:sz w:val="19"/>
              </w:rPr>
            </w:pPr>
            <w:r>
              <w:rPr>
                <w:sz w:val="19"/>
              </w:rPr>
              <w:t>77,717</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tcMar>
              <w:bottom w:w="35" w:type="dxa"/>
            </w:tcMar>
            <w:vAlign w:val="center"/>
          </w:tcPr>
          <w:p>
            <w:pPr>
              <w:pStyle w:val="TableContents"/>
              <w:bidi w:val="0"/>
              <w:spacing w:before="0" w:after="0"/>
              <w:jc w:val="right"/>
              <w:rPr/>
            </w:pPr>
            <w:r>
              <w:rPr/>
              <w:t>​</w:t>
            </w:r>
          </w:p>
        </w:tc>
        <w:tc>
          <w:tcPr>
            <w:tcW w:w="849" w:type="dxa"/>
            <w:tcBorders>
              <w:bottom w:val="single" w:sz="2" w:space="0" w:color="BFBFBF"/>
            </w:tcBorders>
            <w:tcMar>
              <w:bottom w:w="35" w:type="dxa"/>
            </w:tcMar>
            <w:vAlign w:val="center"/>
          </w:tcPr>
          <w:p>
            <w:pPr>
              <w:pStyle w:val="TableContents"/>
              <w:bidi w:val="0"/>
              <w:spacing w:before="0" w:after="0"/>
              <w:jc w:val="right"/>
              <w:rPr>
                <w:sz w:val="19"/>
              </w:rPr>
            </w:pPr>
            <w:r>
              <w:rPr>
                <w:sz w:val="19"/>
              </w:rPr>
              <w:t>494,280</w:t>
            </w:r>
          </w:p>
        </w:tc>
        <w:tc>
          <w:tcPr>
            <w:tcW w:w="118"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411" w:type="dxa"/>
            <w:vMerge w:val="restart"/>
            <w:tcBorders>
              <w:bottom w:val="single" w:sz="2" w:space="0" w:color="BFBFBF"/>
            </w:tcBorders>
            <w:tcMar>
              <w:bottom w:w="33" w:type="dxa"/>
            </w:tcMar>
            <w:vAlign w:val="center"/>
          </w:tcPr>
          <w:p>
            <w:pPr>
              <w:pStyle w:val="TableContents"/>
              <w:bidi w:val="0"/>
              <w:spacing w:before="0" w:after="0"/>
              <w:jc w:val="left"/>
              <w:rPr>
                <w:sz w:val="19"/>
              </w:rPr>
            </w:pPr>
            <w:r>
              <w:rPr>
                <w:sz w:val="19"/>
              </w:rPr>
              <w:t xml:space="preserve">Richard J. Schmitzer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858" w:type="dxa"/>
            <w:tcBorders/>
            <w:tcMar>
              <w:bottom w:w="0" w:type="dxa"/>
            </w:tcMar>
            <w:vAlign w:val="center"/>
          </w:tcPr>
          <w:p>
            <w:pPr>
              <w:pStyle w:val="TableContents"/>
              <w:bidi w:val="0"/>
              <w:spacing w:lineRule="atLeast" w:line="226" w:before="0" w:after="0"/>
              <w:jc w:val="right"/>
              <w:rPr>
                <w:sz w:val="19"/>
              </w:rPr>
            </w:pPr>
            <w:r>
              <w:rPr>
                <w:sz w:val="19"/>
              </w:rPr>
              <w:t>3/1/2023</w:t>
            </w:r>
            <w:r>
              <w:rPr>
                <w:sz w:val="12"/>
              </w:rPr>
              <w:t>(2)</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26" w:before="0" w:after="0"/>
              <w:jc w:val="right"/>
              <w:rPr/>
            </w:pPr>
            <w:r>
              <w:rPr/>
              <w:t>​</w:t>
            </w:r>
          </w:p>
        </w:tc>
        <w:tc>
          <w:tcPr>
            <w:tcW w:w="792" w:type="dxa"/>
            <w:tcBorders/>
            <w:tcMar>
              <w:bottom w:w="0" w:type="dxa"/>
            </w:tcMar>
            <w:vAlign w:val="center"/>
          </w:tcPr>
          <w:p>
            <w:pPr>
              <w:pStyle w:val="TableContents"/>
              <w:bidi w:val="0"/>
              <w:spacing w:lineRule="atLeast" w:line="226" w:before="0" w:after="0"/>
              <w:jc w:val="right"/>
              <w:rPr>
                <w:sz w:val="19"/>
              </w:rPr>
            </w:pPr>
            <w:r>
              <w:rPr>
                <w:sz w:val="19"/>
              </w:rPr>
              <w:t>8,892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lineRule="atLeast" w:line="226" w:before="0" w:after="0"/>
              <w:jc w:val="right"/>
              <w:rPr/>
            </w:pPr>
            <w:r>
              <w:rPr/>
              <w:t>​</w:t>
            </w:r>
          </w:p>
        </w:tc>
        <w:tc>
          <w:tcPr>
            <w:tcW w:w="891" w:type="dxa"/>
            <w:tcBorders/>
            <w:tcMar>
              <w:bottom w:w="0" w:type="dxa"/>
            </w:tcMar>
            <w:vAlign w:val="center"/>
          </w:tcPr>
          <w:p>
            <w:pPr>
              <w:pStyle w:val="TableContents"/>
              <w:bidi w:val="0"/>
              <w:spacing w:lineRule="atLeast" w:line="226" w:before="0" w:after="0"/>
              <w:jc w:val="right"/>
              <w:rPr>
                <w:sz w:val="19"/>
              </w:rPr>
            </w:pPr>
            <w:r>
              <w:rPr>
                <w:sz w:val="19"/>
              </w:rPr>
              <w:t>56,553</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lineRule="atLeast" w:line="226" w:before="0" w:after="0"/>
              <w:jc w:val="right"/>
              <w:rPr/>
            </w:pPr>
            <w:r>
              <w:rPr/>
              <w:t>​</w:t>
            </w:r>
          </w:p>
        </w:tc>
        <w:tc>
          <w:tcPr>
            <w:tcW w:w="833" w:type="dxa"/>
            <w:tcBorders/>
            <w:tcMar>
              <w:bottom w:w="0" w:type="dxa"/>
            </w:tcMar>
            <w:vAlign w:val="center"/>
          </w:tcPr>
          <w:p>
            <w:pPr>
              <w:pStyle w:val="TableContents"/>
              <w:bidi w:val="0"/>
              <w:spacing w:lineRule="atLeast" w:line="226"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26" w:before="0" w:after="0"/>
              <w:jc w:val="right"/>
              <w:rPr/>
            </w:pPr>
            <w:r>
              <w:rPr/>
              <w:t>​</w:t>
            </w:r>
          </w:p>
        </w:tc>
        <w:tc>
          <w:tcPr>
            <w:tcW w:w="849" w:type="dxa"/>
            <w:tcBorders/>
            <w:tcMar>
              <w:bottom w:w="0" w:type="dxa"/>
            </w:tcMar>
            <w:vAlign w:val="center"/>
          </w:tcPr>
          <w:p>
            <w:pPr>
              <w:pStyle w:val="TableContents"/>
              <w:bidi w:val="0"/>
              <w:spacing w:lineRule="atLeast" w:line="226"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3"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sz w:val="19"/>
              </w:rPr>
            </w:pPr>
            <w:r>
              <w:rPr>
                <w:sz w:val="19"/>
              </w:rPr>
              <w:t>20,415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sz w:val="19"/>
              </w:rPr>
            </w:pPr>
            <w:r>
              <w:rPr>
                <w:sz w:val="19"/>
              </w:rPr>
              <w:t>129,839</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3"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35" w:type="dxa"/>
            </w:tcMar>
            <w:vAlign w:val="center"/>
          </w:tcPr>
          <w:p>
            <w:pPr>
              <w:pStyle w:val="TableContents"/>
              <w:bidi w:val="0"/>
              <w:spacing w:before="0" w:after="0"/>
              <w:jc w:val="right"/>
              <w:rPr/>
            </w:pPr>
            <w:r>
              <w:rPr/>
              <w:t>​</w:t>
            </w:r>
          </w:p>
        </w:tc>
        <w:tc>
          <w:tcPr>
            <w:tcW w:w="858" w:type="dxa"/>
            <w:tcBorders>
              <w:bottom w:val="single" w:sz="2" w:space="0" w:color="BFBFBF"/>
            </w:tcBorders>
            <w:tcMar>
              <w:bottom w:w="35" w:type="dxa"/>
            </w:tcMar>
            <w:vAlign w:val="center"/>
          </w:tcPr>
          <w:p>
            <w:pPr>
              <w:pStyle w:val="TableContents"/>
              <w:bidi w:val="0"/>
              <w:spacing w:before="0" w:after="0"/>
              <w:jc w:val="right"/>
              <w:rPr>
                <w:sz w:val="19"/>
              </w:rPr>
            </w:pPr>
            <w:r>
              <w:rPr>
                <w:sz w:val="19"/>
              </w:rPr>
              <w:t>3/5/2025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35" w:type="dxa"/>
            </w:tcMar>
            <w:vAlign w:val="center"/>
          </w:tcPr>
          <w:p>
            <w:pPr>
              <w:pStyle w:val="TableContents"/>
              <w:bidi w:val="0"/>
              <w:spacing w:before="0" w:after="0"/>
              <w:jc w:val="right"/>
              <w:rPr/>
            </w:pPr>
            <w:r>
              <w:rPr/>
              <w:t>​</w:t>
            </w:r>
          </w:p>
        </w:tc>
        <w:tc>
          <w:tcPr>
            <w:tcW w:w="792" w:type="dxa"/>
            <w:tcBorders>
              <w:bottom w:val="single" w:sz="2" w:space="0" w:color="BFBFBF"/>
            </w:tcBorders>
            <w:tcMar>
              <w:bottom w:w="35" w:type="dxa"/>
            </w:tcMar>
            <w:vAlign w:val="center"/>
          </w:tcPr>
          <w:p>
            <w:pPr>
              <w:pStyle w:val="TableContents"/>
              <w:bidi w:val="0"/>
              <w:spacing w:before="0" w:after="0"/>
              <w:jc w:val="righ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tcMar>
              <w:bottom w:w="35" w:type="dxa"/>
            </w:tcMar>
            <w:vAlign w:val="center"/>
          </w:tcPr>
          <w:p>
            <w:pPr>
              <w:pStyle w:val="TableContents"/>
              <w:bidi w:val="0"/>
              <w:spacing w:before="0" w:after="0"/>
              <w:jc w:val="right"/>
              <w:rPr/>
            </w:pPr>
            <w:r>
              <w:rPr/>
              <w:t>​</w:t>
            </w:r>
          </w:p>
        </w:tc>
        <w:tc>
          <w:tcPr>
            <w:tcW w:w="891" w:type="dxa"/>
            <w:tcBorders>
              <w:bottom w:val="single" w:sz="2" w:space="0" w:color="BFBFBF"/>
            </w:tcBorders>
            <w:tcMar>
              <w:bottom w:w="35" w:type="dxa"/>
            </w:tcMar>
            <w:vAlign w:val="center"/>
          </w:tcPr>
          <w:p>
            <w:pPr>
              <w:pStyle w:val="TableContents"/>
              <w:bidi w:val="0"/>
              <w:spacing w:before="0" w:after="0"/>
              <w:jc w:val="righ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tcMar>
              <w:bottom w:w="35" w:type="dxa"/>
            </w:tcMar>
            <w:vAlign w:val="center"/>
          </w:tcPr>
          <w:p>
            <w:pPr>
              <w:pStyle w:val="TableContents"/>
              <w:bidi w:val="0"/>
              <w:spacing w:before="0" w:after="0"/>
              <w:jc w:val="right"/>
              <w:rPr/>
            </w:pPr>
            <w:r>
              <w:rPr/>
              <w:t>​</w:t>
            </w:r>
          </w:p>
        </w:tc>
        <w:tc>
          <w:tcPr>
            <w:tcW w:w="833" w:type="dxa"/>
            <w:tcBorders>
              <w:bottom w:val="single" w:sz="2" w:space="0" w:color="BFBFBF"/>
            </w:tcBorders>
            <w:tcMar>
              <w:bottom w:w="35" w:type="dxa"/>
            </w:tcMar>
            <w:vAlign w:val="center"/>
          </w:tcPr>
          <w:p>
            <w:pPr>
              <w:pStyle w:val="TableContents"/>
              <w:bidi w:val="0"/>
              <w:spacing w:before="0" w:after="0"/>
              <w:jc w:val="right"/>
              <w:rPr>
                <w:sz w:val="19"/>
              </w:rPr>
            </w:pPr>
            <w:r>
              <w:rPr>
                <w:sz w:val="19"/>
              </w:rPr>
              <w:t>23,941</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tcMar>
              <w:bottom w:w="35" w:type="dxa"/>
            </w:tcMar>
            <w:vAlign w:val="center"/>
          </w:tcPr>
          <w:p>
            <w:pPr>
              <w:pStyle w:val="TableContents"/>
              <w:bidi w:val="0"/>
              <w:spacing w:before="0" w:after="0"/>
              <w:jc w:val="right"/>
              <w:rPr/>
            </w:pPr>
            <w:r>
              <w:rPr/>
              <w:t>​</w:t>
            </w:r>
          </w:p>
        </w:tc>
        <w:tc>
          <w:tcPr>
            <w:tcW w:w="849" w:type="dxa"/>
            <w:tcBorders>
              <w:bottom w:val="single" w:sz="2" w:space="0" w:color="BFBFBF"/>
            </w:tcBorders>
            <w:tcMar>
              <w:bottom w:w="35" w:type="dxa"/>
            </w:tcMar>
            <w:vAlign w:val="center"/>
          </w:tcPr>
          <w:p>
            <w:pPr>
              <w:pStyle w:val="TableContents"/>
              <w:bidi w:val="0"/>
              <w:spacing w:before="0" w:after="0"/>
              <w:jc w:val="right"/>
              <w:rPr>
                <w:sz w:val="19"/>
              </w:rPr>
            </w:pPr>
            <w:r>
              <w:rPr>
                <w:sz w:val="19"/>
              </w:rPr>
              <w:t>152,265</w:t>
            </w:r>
          </w:p>
        </w:tc>
        <w:tc>
          <w:tcPr>
            <w:tcW w:w="118"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411" w:type="dxa"/>
            <w:vMerge w:val="restart"/>
            <w:tcBorders>
              <w:bottom w:val="single" w:sz="2" w:space="0" w:color="BFBFBF"/>
            </w:tcBorders>
            <w:tcMar>
              <w:bottom w:w="35" w:type="dxa"/>
            </w:tcMar>
            <w:vAlign w:val="center"/>
          </w:tcPr>
          <w:p>
            <w:pPr>
              <w:pStyle w:val="TableContents"/>
              <w:bidi w:val="0"/>
              <w:spacing w:before="0" w:after="0"/>
              <w:jc w:val="left"/>
              <w:rPr>
                <w:sz w:val="19"/>
              </w:rPr>
            </w:pPr>
            <w:r>
              <w:rPr>
                <w:sz w:val="19"/>
              </w:rPr>
              <w:t xml:space="preserve">Michael J. Hoffmann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858" w:type="dxa"/>
            <w:tcBorders/>
            <w:tcMar>
              <w:bottom w:w="0" w:type="dxa"/>
            </w:tcMar>
            <w:vAlign w:val="center"/>
          </w:tcPr>
          <w:p>
            <w:pPr>
              <w:pStyle w:val="TableContents"/>
              <w:bidi w:val="0"/>
              <w:spacing w:lineRule="atLeast" w:line="226" w:before="0" w:after="0"/>
              <w:jc w:val="right"/>
              <w:rPr>
                <w:sz w:val="19"/>
              </w:rPr>
            </w:pPr>
            <w:r>
              <w:rPr>
                <w:sz w:val="19"/>
              </w:rPr>
              <w:t>3/1/2023</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26" w:before="0" w:after="0"/>
              <w:jc w:val="right"/>
              <w:rPr/>
            </w:pPr>
            <w:r>
              <w:rPr/>
              <w:t>​</w:t>
            </w:r>
          </w:p>
        </w:tc>
        <w:tc>
          <w:tcPr>
            <w:tcW w:w="792" w:type="dxa"/>
            <w:tcBorders/>
            <w:tcMar>
              <w:bottom w:w="0" w:type="dxa"/>
            </w:tcMar>
            <w:vAlign w:val="center"/>
          </w:tcPr>
          <w:p>
            <w:pPr>
              <w:pStyle w:val="TableContents"/>
              <w:bidi w:val="0"/>
              <w:spacing w:lineRule="atLeast" w:line="226" w:before="0" w:after="0"/>
              <w:jc w:val="right"/>
              <w:rPr>
                <w:sz w:val="19"/>
              </w:rPr>
            </w:pPr>
            <w:r>
              <w:rPr>
                <w:sz w:val="19"/>
              </w:rPr>
              <w:t>2,853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lineRule="atLeast" w:line="226" w:before="0" w:after="0"/>
              <w:jc w:val="right"/>
              <w:rPr/>
            </w:pPr>
            <w:r>
              <w:rPr/>
              <w:t>​</w:t>
            </w:r>
          </w:p>
        </w:tc>
        <w:tc>
          <w:tcPr>
            <w:tcW w:w="891" w:type="dxa"/>
            <w:tcBorders/>
            <w:tcMar>
              <w:bottom w:w="0" w:type="dxa"/>
            </w:tcMar>
            <w:vAlign w:val="center"/>
          </w:tcPr>
          <w:p>
            <w:pPr>
              <w:pStyle w:val="TableContents"/>
              <w:bidi w:val="0"/>
              <w:spacing w:lineRule="atLeast" w:line="226" w:before="0" w:after="0"/>
              <w:jc w:val="right"/>
              <w:rPr>
                <w:sz w:val="19"/>
              </w:rPr>
            </w:pPr>
            <w:r>
              <w:rPr>
                <w:sz w:val="19"/>
              </w:rPr>
              <w:t>18,145</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lineRule="atLeast" w:line="226" w:before="0" w:after="0"/>
              <w:jc w:val="right"/>
              <w:rPr/>
            </w:pPr>
            <w:r>
              <w:rPr/>
              <w:t>​</w:t>
            </w:r>
          </w:p>
        </w:tc>
        <w:tc>
          <w:tcPr>
            <w:tcW w:w="833" w:type="dxa"/>
            <w:tcBorders/>
            <w:tcMar>
              <w:bottom w:w="0" w:type="dxa"/>
            </w:tcMar>
            <w:vAlign w:val="center"/>
          </w:tcPr>
          <w:p>
            <w:pPr>
              <w:pStyle w:val="TableContents"/>
              <w:bidi w:val="0"/>
              <w:spacing w:lineRule="atLeast" w:line="226"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26" w:before="0" w:after="0"/>
              <w:jc w:val="right"/>
              <w:rPr/>
            </w:pPr>
            <w:r>
              <w:rPr/>
              <w:t>​</w:t>
            </w:r>
          </w:p>
        </w:tc>
        <w:tc>
          <w:tcPr>
            <w:tcW w:w="849" w:type="dxa"/>
            <w:tcBorders/>
            <w:tcMar>
              <w:bottom w:w="0" w:type="dxa"/>
            </w:tcMar>
            <w:vAlign w:val="center"/>
          </w:tcPr>
          <w:p>
            <w:pPr>
              <w:pStyle w:val="TableContents"/>
              <w:bidi w:val="0"/>
              <w:spacing w:lineRule="atLeast" w:line="226"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3/1/2023</w:t>
            </w:r>
            <w:r>
              <w:rPr>
                <w:sz w:val="12"/>
              </w:rPr>
              <w:t>(2)</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6,247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39,731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15,034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95,616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sz w:val="19"/>
              </w:rPr>
            </w:pPr>
            <w:r>
              <w:rPr>
                <w:sz w:val="19"/>
              </w:rPr>
              <w:t>22,551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sz w:val="19"/>
              </w:rPr>
            </w:pPr>
            <w:r>
              <w:rPr>
                <w:sz w:val="19"/>
              </w:rPr>
              <w:t>143,424</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3/5/2025</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60,054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381,943</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35" w:type="dxa"/>
            </w:tcMar>
            <w:vAlign w:val="center"/>
          </w:tcPr>
          <w:p>
            <w:pPr>
              <w:pStyle w:val="TableContents"/>
              <w:bidi w:val="0"/>
              <w:spacing w:before="0" w:after="0"/>
              <w:jc w:val="right"/>
              <w:rPr/>
            </w:pPr>
            <w:r>
              <w:rPr/>
              <w:t>​</w:t>
            </w:r>
          </w:p>
        </w:tc>
        <w:tc>
          <w:tcPr>
            <w:tcW w:w="858" w:type="dxa"/>
            <w:tcBorders>
              <w:bottom w:val="single" w:sz="2" w:space="0" w:color="BFBFBF"/>
            </w:tcBorders>
            <w:tcMar>
              <w:bottom w:w="35" w:type="dxa"/>
            </w:tcMar>
            <w:vAlign w:val="center"/>
          </w:tcPr>
          <w:p>
            <w:pPr>
              <w:pStyle w:val="TableContents"/>
              <w:bidi w:val="0"/>
              <w:spacing w:before="0" w:after="0"/>
              <w:jc w:val="right"/>
              <w:rPr>
                <w:sz w:val="19"/>
              </w:rPr>
            </w:pPr>
            <w:r>
              <w:rPr>
                <w:sz w:val="19"/>
              </w:rPr>
              <w:t>3/5/2025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35" w:type="dxa"/>
            </w:tcMar>
            <w:vAlign w:val="center"/>
          </w:tcPr>
          <w:p>
            <w:pPr>
              <w:pStyle w:val="TableContents"/>
              <w:bidi w:val="0"/>
              <w:spacing w:before="0" w:after="0"/>
              <w:jc w:val="right"/>
              <w:rPr/>
            </w:pPr>
            <w:r>
              <w:rPr/>
              <w:t>​</w:t>
            </w:r>
          </w:p>
        </w:tc>
        <w:tc>
          <w:tcPr>
            <w:tcW w:w="792" w:type="dxa"/>
            <w:tcBorders>
              <w:bottom w:val="single" w:sz="2" w:space="0" w:color="BFBFBF"/>
            </w:tcBorders>
            <w:tcMar>
              <w:bottom w:w="35" w:type="dxa"/>
            </w:tcMar>
            <w:vAlign w:val="center"/>
          </w:tcPr>
          <w:p>
            <w:pPr>
              <w:pStyle w:val="TableContents"/>
              <w:bidi w:val="0"/>
              <w:spacing w:before="0" w:after="0"/>
              <w:jc w:val="righ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tcMar>
              <w:bottom w:w="35" w:type="dxa"/>
            </w:tcMar>
            <w:vAlign w:val="center"/>
          </w:tcPr>
          <w:p>
            <w:pPr>
              <w:pStyle w:val="TableContents"/>
              <w:bidi w:val="0"/>
              <w:spacing w:before="0" w:after="0"/>
              <w:jc w:val="right"/>
              <w:rPr/>
            </w:pPr>
            <w:r>
              <w:rPr/>
              <w:t>​</w:t>
            </w:r>
          </w:p>
        </w:tc>
        <w:tc>
          <w:tcPr>
            <w:tcW w:w="891" w:type="dxa"/>
            <w:tcBorders>
              <w:bottom w:val="single" w:sz="2" w:space="0" w:color="BFBFBF"/>
            </w:tcBorders>
            <w:tcMar>
              <w:bottom w:w="35" w:type="dxa"/>
            </w:tcMar>
            <w:vAlign w:val="center"/>
          </w:tcPr>
          <w:p>
            <w:pPr>
              <w:pStyle w:val="TableContents"/>
              <w:bidi w:val="0"/>
              <w:spacing w:before="0" w:after="0"/>
              <w:jc w:val="righ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tcMar>
              <w:bottom w:w="35" w:type="dxa"/>
            </w:tcMar>
            <w:vAlign w:val="center"/>
          </w:tcPr>
          <w:p>
            <w:pPr>
              <w:pStyle w:val="TableContents"/>
              <w:bidi w:val="0"/>
              <w:spacing w:before="0" w:after="0"/>
              <w:jc w:val="right"/>
              <w:rPr/>
            </w:pPr>
            <w:r>
              <w:rPr/>
              <w:t>​</w:t>
            </w:r>
          </w:p>
        </w:tc>
        <w:tc>
          <w:tcPr>
            <w:tcW w:w="833" w:type="dxa"/>
            <w:tcBorders>
              <w:bottom w:val="single" w:sz="2" w:space="0" w:color="BFBFBF"/>
            </w:tcBorders>
            <w:tcMar>
              <w:bottom w:w="35" w:type="dxa"/>
            </w:tcMar>
            <w:vAlign w:val="center"/>
          </w:tcPr>
          <w:p>
            <w:pPr>
              <w:pStyle w:val="TableContents"/>
              <w:bidi w:val="0"/>
              <w:spacing w:before="0" w:after="0"/>
              <w:jc w:val="right"/>
              <w:rPr>
                <w:sz w:val="19"/>
              </w:rPr>
            </w:pPr>
            <w:r>
              <w:rPr>
                <w:sz w:val="19"/>
              </w:rPr>
              <w:t>60,054</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tcMar>
              <w:bottom w:w="35" w:type="dxa"/>
            </w:tcMar>
            <w:vAlign w:val="center"/>
          </w:tcPr>
          <w:p>
            <w:pPr>
              <w:pStyle w:val="TableContents"/>
              <w:bidi w:val="0"/>
              <w:spacing w:before="0" w:after="0"/>
              <w:jc w:val="right"/>
              <w:rPr/>
            </w:pPr>
            <w:r>
              <w:rPr/>
              <w:t>​</w:t>
            </w:r>
          </w:p>
        </w:tc>
        <w:tc>
          <w:tcPr>
            <w:tcW w:w="849" w:type="dxa"/>
            <w:tcBorders>
              <w:bottom w:val="single" w:sz="2" w:space="0" w:color="BFBFBF"/>
            </w:tcBorders>
            <w:tcMar>
              <w:bottom w:w="35" w:type="dxa"/>
            </w:tcMar>
            <w:vAlign w:val="center"/>
          </w:tcPr>
          <w:p>
            <w:pPr>
              <w:pStyle w:val="TableContents"/>
              <w:bidi w:val="0"/>
              <w:spacing w:before="0" w:after="0"/>
              <w:jc w:val="right"/>
              <w:rPr>
                <w:sz w:val="19"/>
              </w:rPr>
            </w:pPr>
            <w:r>
              <w:rPr>
                <w:sz w:val="19"/>
              </w:rPr>
              <w:t>381,943</w:t>
            </w:r>
          </w:p>
        </w:tc>
        <w:tc>
          <w:tcPr>
            <w:tcW w:w="118"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2" w:space="0" w:color="BFBFBF"/>
            </w:tcBorders>
            <w:vAlign w:val="center"/>
          </w:tcPr>
          <w:p>
            <w:pPr>
              <w:pStyle w:val="TableContents"/>
              <w:bidi w:val="0"/>
              <w:spacing w:before="0" w:after="283"/>
              <w:jc w:val="left"/>
              <w:rPr/>
            </w:pPr>
            <w:r>
              <w:rPr/>
              <w:t>​</w:t>
            </w:r>
          </w:p>
        </w:tc>
        <w:tc>
          <w:tcPr>
            <w:tcW w:w="1411" w:type="dxa"/>
            <w:vMerge w:val="restart"/>
            <w:tcBorders>
              <w:bottom w:val="single" w:sz="2" w:space="0" w:color="BFBFBF"/>
            </w:tcBorders>
            <w:tcMar>
              <w:bottom w:w="35" w:type="dxa"/>
            </w:tcMar>
            <w:vAlign w:val="center"/>
          </w:tcPr>
          <w:p>
            <w:pPr>
              <w:pStyle w:val="TableContents"/>
              <w:bidi w:val="0"/>
              <w:spacing w:before="0" w:after="0"/>
              <w:jc w:val="left"/>
              <w:rPr>
                <w:sz w:val="19"/>
              </w:rPr>
            </w:pPr>
            <w:r>
              <w:rPr>
                <w:sz w:val="19"/>
              </w:rPr>
              <w:t xml:space="preserve">Jeanette L. Miller </w:t>
            </w:r>
          </w:p>
        </w:tc>
        <w:tc>
          <w:tcPr>
            <w:tcW w:w="109" w:type="dxa"/>
            <w:vMerge w:val="restart"/>
            <w:tcBorders>
              <w:bottom w:val="single" w:sz="2"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858" w:type="dxa"/>
            <w:tcBorders/>
            <w:tcMar>
              <w:bottom w:w="0" w:type="dxa"/>
            </w:tcMar>
            <w:vAlign w:val="center"/>
          </w:tcPr>
          <w:p>
            <w:pPr>
              <w:pStyle w:val="TableContents"/>
              <w:bidi w:val="0"/>
              <w:spacing w:lineRule="atLeast" w:line="226" w:before="0" w:after="0"/>
              <w:jc w:val="right"/>
              <w:rPr>
                <w:sz w:val="19"/>
              </w:rPr>
            </w:pPr>
            <w:r>
              <w:rPr>
                <w:sz w:val="19"/>
              </w:rPr>
              <w:t>3/1/2023</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26" w:before="0" w:after="0"/>
              <w:jc w:val="right"/>
              <w:rPr/>
            </w:pPr>
            <w:r>
              <w:rPr/>
              <w:t>​</w:t>
            </w:r>
          </w:p>
        </w:tc>
        <w:tc>
          <w:tcPr>
            <w:tcW w:w="792" w:type="dxa"/>
            <w:tcBorders/>
            <w:tcMar>
              <w:bottom w:w="0" w:type="dxa"/>
            </w:tcMar>
            <w:vAlign w:val="center"/>
          </w:tcPr>
          <w:p>
            <w:pPr>
              <w:pStyle w:val="TableContents"/>
              <w:bidi w:val="0"/>
              <w:spacing w:lineRule="atLeast" w:line="226" w:before="0" w:after="0"/>
              <w:jc w:val="right"/>
              <w:rPr>
                <w:sz w:val="19"/>
              </w:rPr>
            </w:pPr>
            <w:r>
              <w:rPr>
                <w:sz w:val="19"/>
              </w:rPr>
              <w:t>1,426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lineRule="atLeast" w:line="226" w:before="0" w:after="0"/>
              <w:jc w:val="right"/>
              <w:rPr/>
            </w:pPr>
            <w:r>
              <w:rPr/>
              <w:t>​</w:t>
            </w:r>
          </w:p>
        </w:tc>
        <w:tc>
          <w:tcPr>
            <w:tcW w:w="891" w:type="dxa"/>
            <w:tcBorders/>
            <w:tcMar>
              <w:bottom w:w="0" w:type="dxa"/>
            </w:tcMar>
            <w:vAlign w:val="center"/>
          </w:tcPr>
          <w:p>
            <w:pPr>
              <w:pStyle w:val="TableContents"/>
              <w:bidi w:val="0"/>
              <w:spacing w:lineRule="atLeast" w:line="226" w:before="0" w:after="0"/>
              <w:jc w:val="right"/>
              <w:rPr>
                <w:sz w:val="19"/>
              </w:rPr>
            </w:pPr>
            <w:r>
              <w:rPr>
                <w:sz w:val="19"/>
              </w:rPr>
              <w:t>9,069</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lineRule="atLeast" w:line="226" w:before="0" w:after="0"/>
              <w:jc w:val="right"/>
              <w:rPr/>
            </w:pPr>
            <w:r>
              <w:rPr/>
              <w:t>​</w:t>
            </w:r>
          </w:p>
        </w:tc>
        <w:tc>
          <w:tcPr>
            <w:tcW w:w="833" w:type="dxa"/>
            <w:tcBorders/>
            <w:tcMar>
              <w:bottom w:w="0" w:type="dxa"/>
            </w:tcMar>
            <w:vAlign w:val="center"/>
          </w:tcPr>
          <w:p>
            <w:pPr>
              <w:pStyle w:val="TableContents"/>
              <w:bidi w:val="0"/>
              <w:spacing w:lineRule="atLeast" w:line="226"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26" w:before="0" w:after="0"/>
              <w:jc w:val="right"/>
              <w:rPr/>
            </w:pPr>
            <w:r>
              <w:rPr/>
              <w:t>​</w:t>
            </w:r>
          </w:p>
        </w:tc>
        <w:tc>
          <w:tcPr>
            <w:tcW w:w="849" w:type="dxa"/>
            <w:tcBorders/>
            <w:tcMar>
              <w:bottom w:w="0" w:type="dxa"/>
            </w:tcMar>
            <w:vAlign w:val="center"/>
          </w:tcPr>
          <w:p>
            <w:pPr>
              <w:pStyle w:val="TableContents"/>
              <w:bidi w:val="0"/>
              <w:spacing w:lineRule="atLeast" w:line="226"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3/1/2023</w:t>
            </w:r>
            <w:r>
              <w:rPr>
                <w:sz w:val="12"/>
              </w:rPr>
              <w:t>(2)</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3,122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19,856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9,184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58,410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sz w:val="19"/>
              </w:rPr>
            </w:pPr>
            <w:r>
              <w:rPr>
                <w:sz w:val="19"/>
              </w:rPr>
              <w:t>13,775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sz w:val="19"/>
              </w:rPr>
            </w:pPr>
            <w:r>
              <w:rPr>
                <w:sz w:val="19"/>
              </w:rPr>
              <w:t>87,609</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3/5/2025</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36,684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233,310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BFBFBF"/>
            </w:tcBorders>
            <w:vAlign w:val="center"/>
          </w:tcPr>
          <w:p>
            <w:pPr>
              <w:pStyle w:val="Normal"/>
              <w:bidi w:val="0"/>
              <w:jc w:val="left"/>
              <w:rPr/>
            </w:pPr>
            <w:r>
              <w:rPr/>
            </w:r>
          </w:p>
        </w:tc>
        <w:tc>
          <w:tcPr>
            <w:tcW w:w="1411" w:type="dxa"/>
            <w:vMerge w:val="continue"/>
            <w:tcBorders>
              <w:bottom w:val="single" w:sz="2" w:space="0" w:color="BFBFBF"/>
            </w:tcBorders>
            <w:tcMar>
              <w:bottom w:w="35" w:type="dxa"/>
            </w:tcMar>
            <w:vAlign w:val="center"/>
          </w:tcPr>
          <w:p>
            <w:pPr>
              <w:pStyle w:val="Normal"/>
              <w:bidi w:val="0"/>
              <w:jc w:val="left"/>
              <w:rPr/>
            </w:pPr>
            <w:r>
              <w:rPr/>
            </w:r>
          </w:p>
        </w:tc>
        <w:tc>
          <w:tcPr>
            <w:tcW w:w="109" w:type="dxa"/>
            <w:vMerge w:val="continue"/>
            <w:tcBorders>
              <w:bottom w:val="single" w:sz="2"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35" w:type="dxa"/>
            </w:tcMar>
            <w:vAlign w:val="center"/>
          </w:tcPr>
          <w:p>
            <w:pPr>
              <w:pStyle w:val="TableContents"/>
              <w:bidi w:val="0"/>
              <w:spacing w:before="0" w:after="0"/>
              <w:jc w:val="right"/>
              <w:rPr/>
            </w:pPr>
            <w:r>
              <w:rPr/>
              <w:t>​</w:t>
            </w:r>
          </w:p>
        </w:tc>
        <w:tc>
          <w:tcPr>
            <w:tcW w:w="858" w:type="dxa"/>
            <w:tcBorders>
              <w:bottom w:val="single" w:sz="2" w:space="0" w:color="BFBFBF"/>
            </w:tcBorders>
            <w:tcMar>
              <w:bottom w:w="35" w:type="dxa"/>
            </w:tcMar>
            <w:vAlign w:val="center"/>
          </w:tcPr>
          <w:p>
            <w:pPr>
              <w:pStyle w:val="TableContents"/>
              <w:bidi w:val="0"/>
              <w:spacing w:before="0" w:after="0"/>
              <w:jc w:val="right"/>
              <w:rPr>
                <w:sz w:val="19"/>
              </w:rPr>
            </w:pPr>
            <w:r>
              <w:rPr>
                <w:sz w:val="19"/>
              </w:rPr>
              <w:t>3/5/2025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35" w:type="dxa"/>
            </w:tcMar>
            <w:vAlign w:val="center"/>
          </w:tcPr>
          <w:p>
            <w:pPr>
              <w:pStyle w:val="TableContents"/>
              <w:bidi w:val="0"/>
              <w:spacing w:before="0" w:after="0"/>
              <w:jc w:val="right"/>
              <w:rPr/>
            </w:pPr>
            <w:r>
              <w:rPr/>
              <w:t>​</w:t>
            </w:r>
          </w:p>
        </w:tc>
        <w:tc>
          <w:tcPr>
            <w:tcW w:w="792" w:type="dxa"/>
            <w:tcBorders>
              <w:bottom w:val="single" w:sz="2" w:space="0" w:color="BFBFBF"/>
            </w:tcBorders>
            <w:tcMar>
              <w:bottom w:w="35" w:type="dxa"/>
            </w:tcMar>
            <w:vAlign w:val="center"/>
          </w:tcPr>
          <w:p>
            <w:pPr>
              <w:pStyle w:val="TableContents"/>
              <w:bidi w:val="0"/>
              <w:spacing w:before="0" w:after="0"/>
              <w:jc w:val="righ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24" w:type="dxa"/>
            <w:tcBorders>
              <w:bottom w:val="single" w:sz="2" w:space="0" w:color="BFBFBF"/>
            </w:tcBorders>
            <w:tcMar>
              <w:bottom w:w="35" w:type="dxa"/>
            </w:tcMar>
            <w:vAlign w:val="center"/>
          </w:tcPr>
          <w:p>
            <w:pPr>
              <w:pStyle w:val="TableContents"/>
              <w:bidi w:val="0"/>
              <w:spacing w:before="0" w:after="0"/>
              <w:jc w:val="right"/>
              <w:rPr/>
            </w:pPr>
            <w:r>
              <w:rPr/>
              <w:t>​</w:t>
            </w:r>
          </w:p>
        </w:tc>
        <w:tc>
          <w:tcPr>
            <w:tcW w:w="891" w:type="dxa"/>
            <w:tcBorders>
              <w:bottom w:val="single" w:sz="2" w:space="0" w:color="BFBFBF"/>
            </w:tcBorders>
            <w:tcMar>
              <w:bottom w:w="35" w:type="dxa"/>
            </w:tcMar>
            <w:vAlign w:val="center"/>
          </w:tcPr>
          <w:p>
            <w:pPr>
              <w:pStyle w:val="TableContents"/>
              <w:bidi w:val="0"/>
              <w:spacing w:before="0" w:after="0"/>
              <w:jc w:val="right"/>
              <w:rPr/>
            </w:pPr>
            <w:r>
              <w:rPr/>
              <w:t>—</w:t>
            </w:r>
          </w:p>
        </w:tc>
        <w:tc>
          <w:tcPr>
            <w:tcW w:w="12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16" w:type="dxa"/>
            <w:tcBorders>
              <w:bottom w:val="single" w:sz="2" w:space="0" w:color="BFBFBF"/>
            </w:tcBorders>
            <w:tcMar>
              <w:bottom w:w="35" w:type="dxa"/>
            </w:tcMar>
            <w:vAlign w:val="center"/>
          </w:tcPr>
          <w:p>
            <w:pPr>
              <w:pStyle w:val="TableContents"/>
              <w:bidi w:val="0"/>
              <w:spacing w:before="0" w:after="0"/>
              <w:jc w:val="right"/>
              <w:rPr/>
            </w:pPr>
            <w:r>
              <w:rPr/>
              <w:t>​</w:t>
            </w:r>
          </w:p>
        </w:tc>
        <w:tc>
          <w:tcPr>
            <w:tcW w:w="833" w:type="dxa"/>
            <w:tcBorders>
              <w:bottom w:val="single" w:sz="2" w:space="0" w:color="BFBFBF"/>
            </w:tcBorders>
            <w:tcMar>
              <w:bottom w:w="35" w:type="dxa"/>
            </w:tcMar>
            <w:vAlign w:val="center"/>
          </w:tcPr>
          <w:p>
            <w:pPr>
              <w:pStyle w:val="TableContents"/>
              <w:bidi w:val="0"/>
              <w:spacing w:before="0" w:after="0"/>
              <w:jc w:val="right"/>
              <w:rPr>
                <w:sz w:val="19"/>
              </w:rPr>
            </w:pPr>
            <w:r>
              <w:rPr>
                <w:sz w:val="19"/>
              </w:rPr>
              <w:t>36,684</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vAlign w:val="center"/>
          </w:tcPr>
          <w:p>
            <w:pPr>
              <w:pStyle w:val="TableContents"/>
              <w:bidi w:val="0"/>
              <w:spacing w:before="0" w:after="283"/>
              <w:jc w:val="left"/>
              <w:rPr/>
            </w:pPr>
            <w:r>
              <w:rPr/>
              <w:t>​</w:t>
            </w:r>
          </w:p>
        </w:tc>
        <w:tc>
          <w:tcPr>
            <w:tcW w:w="118" w:type="dxa"/>
            <w:tcBorders>
              <w:bottom w:val="single" w:sz="2" w:space="0" w:color="BFBFBF"/>
            </w:tcBorders>
            <w:tcMar>
              <w:bottom w:w="35" w:type="dxa"/>
            </w:tcMar>
            <w:vAlign w:val="center"/>
          </w:tcPr>
          <w:p>
            <w:pPr>
              <w:pStyle w:val="TableContents"/>
              <w:bidi w:val="0"/>
              <w:spacing w:before="0" w:after="0"/>
              <w:jc w:val="right"/>
              <w:rPr/>
            </w:pPr>
            <w:r>
              <w:rPr/>
              <w:t>​</w:t>
            </w:r>
          </w:p>
        </w:tc>
        <w:tc>
          <w:tcPr>
            <w:tcW w:w="849" w:type="dxa"/>
            <w:tcBorders>
              <w:bottom w:val="single" w:sz="2" w:space="0" w:color="BFBFBF"/>
            </w:tcBorders>
            <w:tcMar>
              <w:bottom w:w="35" w:type="dxa"/>
            </w:tcMar>
            <w:vAlign w:val="center"/>
          </w:tcPr>
          <w:p>
            <w:pPr>
              <w:pStyle w:val="TableContents"/>
              <w:bidi w:val="0"/>
              <w:spacing w:before="0" w:after="0"/>
              <w:jc w:val="right"/>
              <w:rPr>
                <w:sz w:val="19"/>
              </w:rPr>
            </w:pPr>
            <w:r>
              <w:rPr>
                <w:sz w:val="19"/>
              </w:rPr>
              <w:t>233,310</w:t>
            </w:r>
          </w:p>
        </w:tc>
        <w:tc>
          <w:tcPr>
            <w:tcW w:w="118" w:type="dxa"/>
            <w:tcBorders>
              <w:bottom w:val="single" w:sz="2" w:space="0" w:color="BFBFBF"/>
            </w:tcBorders>
            <w:vAlign w:val="center"/>
          </w:tcPr>
          <w:p>
            <w:pPr>
              <w:pStyle w:val="TableContents"/>
              <w:bidi w:val="0"/>
              <w:spacing w:before="0" w:after="283"/>
              <w:jc w:val="left"/>
              <w:rPr/>
            </w:pPr>
            <w:r>
              <w:rPr/>
              <w:t>​</w:t>
            </w:r>
          </w:p>
        </w:tc>
        <w:tc>
          <w:tcPr>
            <w:tcW w:w="161" w:type="dxa"/>
            <w:tcBorders>
              <w:bottom w:val="single" w:sz="2" w:space="0" w:color="BFBFBF"/>
            </w:tcBorders>
            <w:vAlign w:val="center"/>
          </w:tcPr>
          <w:p>
            <w:pPr>
              <w:pStyle w:val="TableContents"/>
              <w:bidi w:val="0"/>
              <w:spacing w:before="0" w:after="283"/>
              <w:jc w:val="left"/>
              <w:rPr/>
            </w:pPr>
            <w:r>
              <w:rPr/>
              <w:t>​</w:t>
            </w:r>
          </w:p>
        </w:tc>
      </w:tr>
      <w:tr>
        <w:trPr/>
        <w:tc>
          <w:tcPr>
            <w:tcW w:w="124" w:type="dxa"/>
            <w:vMerge w:val="restart"/>
            <w:tcBorders>
              <w:bottom w:val="single" w:sz="6" w:space="0" w:color="BFBFBF"/>
            </w:tcBorders>
            <w:vAlign w:val="center"/>
          </w:tcPr>
          <w:p>
            <w:pPr>
              <w:pStyle w:val="TableContents"/>
              <w:bidi w:val="0"/>
              <w:spacing w:before="0" w:after="283"/>
              <w:jc w:val="left"/>
              <w:rPr/>
            </w:pPr>
            <w:r>
              <w:rPr/>
              <w:t>​</w:t>
            </w:r>
          </w:p>
        </w:tc>
        <w:tc>
          <w:tcPr>
            <w:tcW w:w="1411" w:type="dxa"/>
            <w:vMerge w:val="restart"/>
            <w:tcBorders>
              <w:bottom w:val="single" w:sz="6" w:space="0" w:color="BFBFBF"/>
            </w:tcBorders>
            <w:tcMar>
              <w:bottom w:w="35" w:type="dxa"/>
            </w:tcMar>
            <w:vAlign w:val="center"/>
          </w:tcPr>
          <w:p>
            <w:pPr>
              <w:pStyle w:val="TableContents"/>
              <w:bidi w:val="0"/>
              <w:spacing w:before="0" w:after="0"/>
              <w:jc w:val="left"/>
              <w:rPr>
                <w:sz w:val="19"/>
              </w:rPr>
            </w:pPr>
            <w:r>
              <w:rPr>
                <w:sz w:val="19"/>
              </w:rPr>
              <w:t xml:space="preserve">Todd R. Sutherland </w:t>
            </w:r>
          </w:p>
        </w:tc>
        <w:tc>
          <w:tcPr>
            <w:tcW w:w="109" w:type="dxa"/>
            <w:vMerge w:val="restart"/>
            <w:tcBorders>
              <w:bottom w:val="single" w:sz="6" w:space="0" w:color="BFBFBF"/>
            </w:tcBorders>
            <w:vAlign w:val="center"/>
          </w:tcPr>
          <w:p>
            <w:pPr>
              <w:pStyle w:val="TableContents"/>
              <w:bidi w:val="0"/>
              <w:spacing w:before="0" w:after="283"/>
              <w:jc w:val="left"/>
              <w:rPr/>
            </w:pPr>
            <w:r>
              <w:rPr/>
              <w:t>​</w:t>
            </w:r>
          </w:p>
        </w:tc>
        <w:tc>
          <w:tcPr>
            <w:tcW w:w="109" w:type="dxa"/>
            <w:vMerge w:val="restart"/>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6" w:before="0" w:after="0"/>
              <w:jc w:val="right"/>
              <w:rPr/>
            </w:pPr>
            <w:r>
              <w:rPr/>
              <w:t>​</w:t>
            </w:r>
          </w:p>
        </w:tc>
        <w:tc>
          <w:tcPr>
            <w:tcW w:w="858" w:type="dxa"/>
            <w:tcBorders/>
            <w:tcMar>
              <w:bottom w:w="0" w:type="dxa"/>
            </w:tcMar>
            <w:vAlign w:val="center"/>
          </w:tcPr>
          <w:p>
            <w:pPr>
              <w:pStyle w:val="TableContents"/>
              <w:bidi w:val="0"/>
              <w:spacing w:lineRule="atLeast" w:line="226" w:before="0" w:after="0"/>
              <w:jc w:val="right"/>
              <w:rPr>
                <w:sz w:val="19"/>
              </w:rPr>
            </w:pPr>
            <w:r>
              <w:rPr>
                <w:sz w:val="19"/>
              </w:rPr>
              <w:t>7/27/2023</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26" w:before="0" w:after="0"/>
              <w:jc w:val="right"/>
              <w:rPr/>
            </w:pPr>
            <w:r>
              <w:rPr/>
              <w:t>​</w:t>
            </w:r>
          </w:p>
        </w:tc>
        <w:tc>
          <w:tcPr>
            <w:tcW w:w="792" w:type="dxa"/>
            <w:tcBorders/>
            <w:tcMar>
              <w:bottom w:w="0" w:type="dxa"/>
            </w:tcMar>
            <w:vAlign w:val="center"/>
          </w:tcPr>
          <w:p>
            <w:pPr>
              <w:pStyle w:val="TableContents"/>
              <w:bidi w:val="0"/>
              <w:spacing w:lineRule="atLeast" w:line="226" w:before="0" w:after="0"/>
              <w:jc w:val="right"/>
              <w:rPr>
                <w:sz w:val="19"/>
              </w:rPr>
            </w:pPr>
            <w:r>
              <w:rPr>
                <w:sz w:val="19"/>
              </w:rPr>
              <w:t>3,111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lineRule="atLeast" w:line="226" w:before="0" w:after="0"/>
              <w:jc w:val="right"/>
              <w:rPr/>
            </w:pPr>
            <w:r>
              <w:rPr/>
              <w:t>​</w:t>
            </w:r>
          </w:p>
        </w:tc>
        <w:tc>
          <w:tcPr>
            <w:tcW w:w="891" w:type="dxa"/>
            <w:tcBorders/>
            <w:tcMar>
              <w:bottom w:w="0" w:type="dxa"/>
            </w:tcMar>
            <w:vAlign w:val="center"/>
          </w:tcPr>
          <w:p>
            <w:pPr>
              <w:pStyle w:val="TableContents"/>
              <w:bidi w:val="0"/>
              <w:spacing w:lineRule="atLeast" w:line="226" w:before="0" w:after="0"/>
              <w:jc w:val="right"/>
              <w:rPr>
                <w:sz w:val="19"/>
              </w:rPr>
            </w:pPr>
            <w:r>
              <w:rPr>
                <w:sz w:val="19"/>
              </w:rPr>
              <w:t>19,786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lineRule="atLeast" w:line="226" w:before="0" w:after="0"/>
              <w:jc w:val="right"/>
              <w:rPr/>
            </w:pPr>
            <w:r>
              <w:rPr/>
              <w:t>​</w:t>
            </w:r>
          </w:p>
        </w:tc>
        <w:tc>
          <w:tcPr>
            <w:tcW w:w="833" w:type="dxa"/>
            <w:tcBorders/>
            <w:tcMar>
              <w:bottom w:w="0" w:type="dxa"/>
            </w:tcMar>
            <w:vAlign w:val="center"/>
          </w:tcPr>
          <w:p>
            <w:pPr>
              <w:pStyle w:val="TableContents"/>
              <w:bidi w:val="0"/>
              <w:spacing w:lineRule="atLeast" w:line="226"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26" w:before="0" w:after="0"/>
              <w:jc w:val="right"/>
              <w:rPr/>
            </w:pPr>
            <w:r>
              <w:rPr/>
              <w:t>​</w:t>
            </w:r>
          </w:p>
        </w:tc>
        <w:tc>
          <w:tcPr>
            <w:tcW w:w="849" w:type="dxa"/>
            <w:tcBorders/>
            <w:tcMar>
              <w:bottom w:w="0" w:type="dxa"/>
            </w:tcMar>
            <w:vAlign w:val="center"/>
          </w:tcPr>
          <w:p>
            <w:pPr>
              <w:pStyle w:val="TableContents"/>
              <w:bidi w:val="0"/>
              <w:spacing w:lineRule="atLeast" w:line="226"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BFBFBF"/>
            </w:tcBorders>
            <w:vAlign w:val="center"/>
          </w:tcPr>
          <w:p>
            <w:pPr>
              <w:pStyle w:val="Normal"/>
              <w:bidi w:val="0"/>
              <w:jc w:val="left"/>
              <w:rPr/>
            </w:pPr>
            <w:r>
              <w:rPr/>
            </w:r>
          </w:p>
        </w:tc>
        <w:tc>
          <w:tcPr>
            <w:tcW w:w="1411" w:type="dxa"/>
            <w:vMerge w:val="continue"/>
            <w:tcBorders>
              <w:bottom w:val="single" w:sz="6" w:space="0" w:color="BFBFBF"/>
            </w:tcBorders>
            <w:tcMar>
              <w:bottom w:w="35" w:type="dxa"/>
            </w:tcMar>
            <w:vAlign w:val="center"/>
          </w:tcPr>
          <w:p>
            <w:pPr>
              <w:pStyle w:val="Normal"/>
              <w:bidi w:val="0"/>
              <w:jc w:val="left"/>
              <w:rPr/>
            </w:pPr>
            <w:r>
              <w:rPr/>
            </w:r>
          </w:p>
        </w:tc>
        <w:tc>
          <w:tcPr>
            <w:tcW w:w="109" w:type="dxa"/>
            <w:vMerge w:val="continue"/>
            <w:tcBorders>
              <w:bottom w:val="single" w:sz="6" w:space="0" w:color="BFBFBF"/>
            </w:tcBorders>
            <w:vAlign w:val="center"/>
          </w:tcPr>
          <w:p>
            <w:pPr>
              <w:pStyle w:val="Normal"/>
              <w:bidi w:val="0"/>
              <w:jc w:val="left"/>
              <w:rPr/>
            </w:pPr>
            <w:r>
              <w:rPr/>
            </w:r>
          </w:p>
        </w:tc>
        <w:tc>
          <w:tcPr>
            <w:tcW w:w="109" w:type="dxa"/>
            <w:vMerge w:val="continue"/>
            <w:tcBorders>
              <w:bottom w:val="single" w:sz="2" w:space="0" w:color="BFBFBF"/>
            </w:tcBorders>
            <w:shd w:fill="BFBFBF"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58" w:type="dxa"/>
            <w:tcBorders/>
            <w:tcMar>
              <w:bottom w:w="0" w:type="dxa"/>
            </w:tcMar>
            <w:vAlign w:val="center"/>
          </w:tcPr>
          <w:p>
            <w:pPr>
              <w:pStyle w:val="TableContents"/>
              <w:bidi w:val="0"/>
              <w:spacing w:before="0" w:after="0"/>
              <w:jc w:val="right"/>
              <w:rPr>
                <w:sz w:val="19"/>
              </w:rPr>
            </w:pPr>
            <w:r>
              <w:rPr>
                <w:sz w:val="19"/>
              </w:rPr>
              <w:t>8/6/2025</w:t>
            </w:r>
            <w:r>
              <w:rPr>
                <w:sz w:val="12"/>
              </w:rPr>
              <w:t>(1)</w:t>
            </w:r>
            <w:r>
              <w:rPr>
                <w:sz w:val="19"/>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right"/>
              <w:rPr/>
            </w:pPr>
            <w:r>
              <w:rPr/>
              <w:t>​</w:t>
            </w:r>
          </w:p>
        </w:tc>
        <w:tc>
          <w:tcPr>
            <w:tcW w:w="792" w:type="dxa"/>
            <w:tcBorders/>
            <w:tcMar>
              <w:bottom w:w="0" w:type="dxa"/>
            </w:tcMar>
            <w:vAlign w:val="center"/>
          </w:tcPr>
          <w:p>
            <w:pPr>
              <w:pStyle w:val="TableContents"/>
              <w:bidi w:val="0"/>
              <w:spacing w:before="0" w:after="0"/>
              <w:jc w:val="right"/>
              <w:rPr>
                <w:sz w:val="19"/>
              </w:rPr>
            </w:pPr>
            <w:r>
              <w:rPr>
                <w:sz w:val="19"/>
              </w:rPr>
              <w:t>42,955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0"/>
              <w:jc w:val="right"/>
              <w:rPr/>
            </w:pPr>
            <w:r>
              <w:rPr/>
              <w:t>​</w:t>
            </w:r>
          </w:p>
        </w:tc>
        <w:tc>
          <w:tcPr>
            <w:tcW w:w="891" w:type="dxa"/>
            <w:tcBorders/>
            <w:tcMar>
              <w:bottom w:w="0" w:type="dxa"/>
            </w:tcMar>
            <w:vAlign w:val="center"/>
          </w:tcPr>
          <w:p>
            <w:pPr>
              <w:pStyle w:val="TableContents"/>
              <w:bidi w:val="0"/>
              <w:spacing w:before="0" w:after="0"/>
              <w:jc w:val="right"/>
              <w:rPr>
                <w:sz w:val="19"/>
              </w:rPr>
            </w:pPr>
            <w:r>
              <w:rPr>
                <w:sz w:val="19"/>
              </w:rPr>
              <w:t>273,194</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0"/>
              <w:jc w:val="right"/>
              <w:rPr/>
            </w:pPr>
            <w:r>
              <w:rPr/>
              <w:t>​</w:t>
            </w:r>
          </w:p>
        </w:tc>
        <w:tc>
          <w:tcPr>
            <w:tcW w:w="833" w:type="dxa"/>
            <w:tcBorders/>
            <w:tcMar>
              <w:bottom w:w="0" w:type="dxa"/>
            </w:tcMar>
            <w:vAlign w:val="center"/>
          </w:tcPr>
          <w:p>
            <w:pPr>
              <w:pStyle w:val="TableContents"/>
              <w:bidi w:val="0"/>
              <w:spacing w:before="0" w:after="0"/>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0"/>
              <w:jc w:val="right"/>
              <w:rPr/>
            </w:pPr>
            <w:r>
              <w:rPr/>
              <w:t>​</w:t>
            </w:r>
          </w:p>
        </w:tc>
        <w:tc>
          <w:tcPr>
            <w:tcW w:w="849" w:type="dxa"/>
            <w:tcBorders/>
            <w:tcMar>
              <w:bottom w:w="0" w:type="dxa"/>
            </w:tcMar>
            <w:vAlign w:val="center"/>
          </w:tcPr>
          <w:p>
            <w:pPr>
              <w:pStyle w:val="TableContents"/>
              <w:bidi w:val="0"/>
              <w:spacing w:before="0" w:after="0"/>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3"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Represents the number of Service-Based RSUs granted to each of our named executive officers pursuant to the 2014 LTIP, which vest in equal annual installments over three years based on the named executive officers continued service with the Company. The vesting dates for each unvested Service-Based RSU is as follows: for awards granted in 2023: March 1, 2026 for the awards granted </w:t>
      </w:r>
      <w:r>
        <mc:AlternateContent>
          <mc:Choice Requires="wps">
            <w:drawing>
              <wp:anchor behindDoc="0" distT="78105"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6"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5pt;mso-wrap-distance-bottom:0pt;margin-top:6.1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37</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OEAS"/>
      <w:bookmarkEnd w:id="29"/>
      <w:r>
        <w:rPr>
          <w:rFonts w:ascii="calibri;arial;sans-serif" w:hAnsi="calibri;arial;sans-serif"/>
          <w:b w:val="false"/>
          <w:i w:val="false"/>
          <w:caps w:val="false"/>
          <w:smallCaps w:val="false"/>
          <w:color w:val="000000"/>
          <w:sz w:val="16"/>
        </w:rPr>
        <w:t>​</w:t>
      </w:r>
      <w:bookmarkStart w:id="30" w:name="tPBND"/>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March 1, 2023 and May 4, 2026 for Mr. Sutherland’s award granted on July 27, 2023; for awards granted in 2024: March 1 of each the years 2026 and 2027; and for awards granted in 2025: March 5 of each of the years 2026 through 2028 for the awards granted on March 5, 2025 and August 6 of each of the years 2026 through 2028 for Mr. Sutherland’s award granted on August 6, 2025. The vesting of the Service-Based RSUs may be accelerated or otherwise subject to special treatment in the circumstances described in the section below titled “Potential Payments upon Termination or Change in Control — Equity Awards.”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the number of PRSUs earned by Mr. D’Orazio, Ms. Doran, Mr. Schmitzer, Mr. Hoffmann and Ms. Miller, which PRSUs were granted in 2023 pursuant to the 2014 LTIP with a performance period of January 1, 2023 through December 31, 2025 and which vested on March 2, 2026 based on the named executive officers’ continued employment on such date.</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7"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Market value is determined based on the number of shares of common stock indicated multiplied by the closing price of the Company’s common stock of  $6.36 on December 31, 2025, as reported by the Nasdaq Stock Market.</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8"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the number of PRSUs based on achievement of target level performance for the applicable three-year performance period. The PRSUs vest following the end of a three-year performance period beginning on the first anniversary of the grant date, based upon the level of achievement of specified performance metrics, and the number of shares that ultimately vest may range from 0 to 200% of the target depending on actual performance during the applicable performance period. See “Compensation Discussion and Analysis IV. Compensation Program Components — Long-Term Incentives” for further detail. The vesting of the PRSUs may be accelerated or otherwise subject to special treatment in the circumstances described in the section below titled “Potential Payments upon Termination or Change in Control — Equity Awards.”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9"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(4)</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Market value is determined based on target level performance multiplied by the closing price of the Company’s common stock of  $6.36 on December 31, 2025, as reported by the Nasdaq Stock Market.</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0"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(5)</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Option Exercises and Stock Vested</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presents certain information concerning the vesting of stock awards held by our named executive officers during 2025. There were no stock option exercises during 2025, and no stock options were outstanding as of December 31, 2025.</w:t>
      </w:r>
      <w:r>
        <w:rPr>
          <w:rFonts w:ascii="Arial Narrow;Arial;Helvetica;sans-serif" w:hAnsi="Arial Narrow;Arial;Helvetica;sans-serif"/>
          <w:b w:val="false"/>
          <w:i w:val="false"/>
          <w:caps w:val="false"/>
          <w:smallCaps w:val="false"/>
          <w:color w:val="000000"/>
          <w:spacing w:val="4"/>
          <w:sz w:val="19"/>
        </w:rPr>
        <w:t xml:space="preserve"> </w:t>
      </w:r>
    </w:p>
    <w:tbl>
      <w:tblPr>
        <w:tblW w:w="8341" w:type="dxa"/>
        <w:jc w:val="left"/>
        <w:tblInd w:w="920" w:type="dxa"/>
        <w:tblLayout w:type="fixed"/>
        <w:tblCellMar>
          <w:top w:w="0" w:type="dxa"/>
          <w:left w:w="0" w:type="dxa"/>
          <w:bottom w:w="28" w:type="dxa"/>
          <w:right w:w="0" w:type="dxa"/>
        </w:tblCellMar>
      </w:tblPr>
      <w:tblGrid>
        <w:gridCol w:w="124"/>
        <w:gridCol w:w="2176"/>
        <w:gridCol w:w="109"/>
        <w:gridCol w:w="109"/>
        <w:gridCol w:w="109"/>
        <w:gridCol w:w="300"/>
        <w:gridCol w:w="300"/>
        <w:gridCol w:w="2122"/>
        <w:gridCol w:w="307"/>
        <w:gridCol w:w="109"/>
        <w:gridCol w:w="109"/>
        <w:gridCol w:w="109"/>
        <w:gridCol w:w="197"/>
        <w:gridCol w:w="197"/>
        <w:gridCol w:w="1609"/>
        <w:gridCol w:w="20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176"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NAME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3029"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NUMBER OF SHARES</w:t>
              <w:br/>
              <w:t>ACQUIRED ON VESTING</w:t>
            </w:r>
            <w:r>
              <w:rPr>
                <w:sz w:val="11"/>
              </w:rPr>
              <w:t>(1)</w:t>
            </w:r>
            <w:r>
              <w:rPr/>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204"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VALUE REALIZED</w:t>
              <w:br/>
              <w:t>ON VESTING</w:t>
            </w:r>
            <w:r>
              <w:rPr>
                <w:sz w:val="11"/>
              </w:rPr>
              <w:t>(2)</w:t>
            </w:r>
            <w:r>
              <w:rPr/>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tcMar>
              <w:bottom w:w="65" w:type="dxa"/>
            </w:tcMar>
            <w:vAlign w:val="center"/>
          </w:tcPr>
          <w:p>
            <w:pPr>
              <w:pStyle w:val="TableContents"/>
              <w:bidi w:val="0"/>
              <w:spacing w:before="0" w:after="283"/>
              <w:jc w:val="right"/>
              <w:rPr/>
            </w:pPr>
            <w:r>
              <w:rPr/>
              <w:t>​</w:t>
            </w:r>
          </w:p>
        </w:tc>
        <w:tc>
          <w:tcPr>
            <w:tcW w:w="2122" w:type="dxa"/>
            <w:tcBorders>
              <w:bottom w:val="single" w:sz="2" w:space="0" w:color="BFBFBF"/>
            </w:tcBorders>
            <w:tcMar>
              <w:bottom w:w="65" w:type="dxa"/>
            </w:tcMar>
            <w:vAlign w:val="center"/>
          </w:tcPr>
          <w:p>
            <w:pPr>
              <w:pStyle w:val="TableContents"/>
              <w:bidi w:val="0"/>
              <w:spacing w:before="0" w:after="283"/>
              <w:jc w:val="right"/>
              <w:rPr/>
            </w:pPr>
            <w:r>
              <w:rPr/>
              <w:t>56,977</w:t>
            </w:r>
          </w:p>
        </w:tc>
        <w:tc>
          <w:tcPr>
            <w:tcW w:w="30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tcMar>
              <w:bottom w:w="65" w:type="dxa"/>
            </w:tcMar>
            <w:vAlign w:val="center"/>
          </w:tcPr>
          <w:p>
            <w:pPr>
              <w:pStyle w:val="TableContents"/>
              <w:bidi w:val="0"/>
              <w:spacing w:before="0" w:after="283"/>
              <w:jc w:val="right"/>
              <w:rPr/>
            </w:pPr>
            <w:r>
              <w:rPr/>
              <w:t>​</w:t>
            </w:r>
          </w:p>
        </w:tc>
        <w:tc>
          <w:tcPr>
            <w:tcW w:w="1609" w:type="dxa"/>
            <w:tcBorders>
              <w:bottom w:val="single" w:sz="2" w:space="0" w:color="BFBFBF"/>
            </w:tcBorders>
            <w:tcMar>
              <w:bottom w:w="65" w:type="dxa"/>
            </w:tcMar>
            <w:vAlign w:val="center"/>
          </w:tcPr>
          <w:p>
            <w:pPr>
              <w:pStyle w:val="TableContents"/>
              <w:bidi w:val="0"/>
              <w:spacing w:before="0" w:after="283"/>
              <w:jc w:val="right"/>
              <w:rPr/>
            </w:pPr>
            <w:r>
              <w:rPr/>
              <w:t>311,678</w:t>
            </w:r>
          </w:p>
        </w:tc>
        <w:tc>
          <w:tcPr>
            <w:tcW w:w="201"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tcMar>
              <w:bottom w:w="65" w:type="dxa"/>
            </w:tcMar>
            <w:vAlign w:val="center"/>
          </w:tcPr>
          <w:p>
            <w:pPr>
              <w:pStyle w:val="TableContents"/>
              <w:bidi w:val="0"/>
              <w:spacing w:before="0" w:after="283"/>
              <w:jc w:val="right"/>
              <w:rPr/>
            </w:pPr>
            <w:r>
              <w:rPr/>
              <w:t>​</w:t>
            </w:r>
          </w:p>
        </w:tc>
        <w:tc>
          <w:tcPr>
            <w:tcW w:w="2122" w:type="dxa"/>
            <w:tcBorders>
              <w:bottom w:val="single" w:sz="2" w:space="0" w:color="BFBFBF"/>
            </w:tcBorders>
            <w:tcMar>
              <w:bottom w:w="65" w:type="dxa"/>
            </w:tcMar>
            <w:vAlign w:val="center"/>
          </w:tcPr>
          <w:p>
            <w:pPr>
              <w:pStyle w:val="TableContents"/>
              <w:bidi w:val="0"/>
              <w:spacing w:before="0" w:after="283"/>
              <w:jc w:val="right"/>
              <w:rPr/>
            </w:pPr>
            <w:r>
              <w:rPr/>
              <w:t>31,102</w:t>
            </w:r>
          </w:p>
        </w:tc>
        <w:tc>
          <w:tcPr>
            <w:tcW w:w="30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tcMar>
              <w:bottom w:w="65" w:type="dxa"/>
            </w:tcMar>
            <w:vAlign w:val="center"/>
          </w:tcPr>
          <w:p>
            <w:pPr>
              <w:pStyle w:val="TableContents"/>
              <w:bidi w:val="0"/>
              <w:spacing w:before="0" w:after="283"/>
              <w:jc w:val="right"/>
              <w:rPr/>
            </w:pPr>
            <w:r>
              <w:rPr/>
              <w:t>​</w:t>
            </w:r>
          </w:p>
        </w:tc>
        <w:tc>
          <w:tcPr>
            <w:tcW w:w="1609" w:type="dxa"/>
            <w:tcBorders>
              <w:bottom w:val="single" w:sz="2" w:space="0" w:color="BFBFBF"/>
            </w:tcBorders>
            <w:tcMar>
              <w:bottom w:w="65" w:type="dxa"/>
            </w:tcMar>
            <w:vAlign w:val="center"/>
          </w:tcPr>
          <w:p>
            <w:pPr>
              <w:pStyle w:val="TableContents"/>
              <w:bidi w:val="0"/>
              <w:spacing w:before="0" w:after="283"/>
              <w:jc w:val="right"/>
              <w:rPr/>
            </w:pPr>
            <w:r>
              <w:rPr/>
              <w:t>171,580</w:t>
            </w:r>
          </w:p>
        </w:tc>
        <w:tc>
          <w:tcPr>
            <w:tcW w:w="201"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tcMar>
              <w:bottom w:w="65" w:type="dxa"/>
            </w:tcMar>
            <w:vAlign w:val="center"/>
          </w:tcPr>
          <w:p>
            <w:pPr>
              <w:pStyle w:val="TableContents"/>
              <w:bidi w:val="0"/>
              <w:spacing w:before="0" w:after="283"/>
              <w:jc w:val="right"/>
              <w:rPr/>
            </w:pPr>
            <w:r>
              <w:rPr/>
              <w:t>​</w:t>
            </w:r>
          </w:p>
        </w:tc>
        <w:tc>
          <w:tcPr>
            <w:tcW w:w="2122" w:type="dxa"/>
            <w:tcBorders>
              <w:bottom w:val="single" w:sz="2" w:space="0" w:color="BFBFBF"/>
            </w:tcBorders>
            <w:tcMar>
              <w:bottom w:w="65" w:type="dxa"/>
            </w:tcMar>
            <w:vAlign w:val="center"/>
          </w:tcPr>
          <w:p>
            <w:pPr>
              <w:pStyle w:val="TableContents"/>
              <w:bidi w:val="0"/>
              <w:spacing w:before="0" w:after="283"/>
              <w:jc w:val="right"/>
              <w:rPr/>
            </w:pPr>
            <w:r>
              <w:rPr/>
              <w:t>81,192</w:t>
            </w:r>
          </w:p>
        </w:tc>
        <w:tc>
          <w:tcPr>
            <w:tcW w:w="30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tcMar>
              <w:bottom w:w="65" w:type="dxa"/>
            </w:tcMar>
            <w:vAlign w:val="center"/>
          </w:tcPr>
          <w:p>
            <w:pPr>
              <w:pStyle w:val="TableContents"/>
              <w:bidi w:val="0"/>
              <w:spacing w:before="0" w:after="283"/>
              <w:jc w:val="right"/>
              <w:rPr/>
            </w:pPr>
            <w:r>
              <w:rPr/>
              <w:t>​</w:t>
            </w:r>
          </w:p>
        </w:tc>
        <w:tc>
          <w:tcPr>
            <w:tcW w:w="1609" w:type="dxa"/>
            <w:tcBorders>
              <w:bottom w:val="single" w:sz="2" w:space="0" w:color="BFBFBF"/>
            </w:tcBorders>
            <w:tcMar>
              <w:bottom w:w="65" w:type="dxa"/>
            </w:tcMar>
            <w:vAlign w:val="center"/>
          </w:tcPr>
          <w:p>
            <w:pPr>
              <w:pStyle w:val="TableContents"/>
              <w:bidi w:val="0"/>
              <w:spacing w:before="0" w:after="283"/>
              <w:jc w:val="right"/>
              <w:rPr/>
            </w:pPr>
            <w:r>
              <w:rPr/>
              <w:t>440,646</w:t>
            </w:r>
          </w:p>
        </w:tc>
        <w:tc>
          <w:tcPr>
            <w:tcW w:w="201"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tcMar>
              <w:bottom w:w="65" w:type="dxa"/>
            </w:tcMar>
            <w:vAlign w:val="center"/>
          </w:tcPr>
          <w:p>
            <w:pPr>
              <w:pStyle w:val="TableContents"/>
              <w:bidi w:val="0"/>
              <w:spacing w:before="0" w:after="283"/>
              <w:jc w:val="right"/>
              <w:rPr/>
            </w:pPr>
            <w:r>
              <w:rPr/>
              <w:t>​</w:t>
            </w:r>
          </w:p>
        </w:tc>
        <w:tc>
          <w:tcPr>
            <w:tcW w:w="2122" w:type="dxa"/>
            <w:tcBorders>
              <w:bottom w:val="single" w:sz="2" w:space="0" w:color="BFBFBF"/>
            </w:tcBorders>
            <w:tcMar>
              <w:bottom w:w="65" w:type="dxa"/>
            </w:tcMar>
            <w:vAlign w:val="center"/>
          </w:tcPr>
          <w:p>
            <w:pPr>
              <w:pStyle w:val="TableContents"/>
              <w:bidi w:val="0"/>
              <w:spacing w:before="0" w:after="283"/>
              <w:jc w:val="right"/>
              <w:rPr/>
            </w:pPr>
            <w:r>
              <w:rPr/>
              <w:t>22,471</w:t>
            </w:r>
          </w:p>
        </w:tc>
        <w:tc>
          <w:tcPr>
            <w:tcW w:w="30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tcMar>
              <w:bottom w:w="65" w:type="dxa"/>
            </w:tcMar>
            <w:vAlign w:val="center"/>
          </w:tcPr>
          <w:p>
            <w:pPr>
              <w:pStyle w:val="TableContents"/>
              <w:bidi w:val="0"/>
              <w:spacing w:before="0" w:after="283"/>
              <w:jc w:val="right"/>
              <w:rPr/>
            </w:pPr>
            <w:r>
              <w:rPr/>
              <w:t>​</w:t>
            </w:r>
          </w:p>
        </w:tc>
        <w:tc>
          <w:tcPr>
            <w:tcW w:w="1609" w:type="dxa"/>
            <w:tcBorders>
              <w:bottom w:val="single" w:sz="2" w:space="0" w:color="BFBFBF"/>
            </w:tcBorders>
            <w:tcMar>
              <w:bottom w:w="65" w:type="dxa"/>
            </w:tcMar>
            <w:vAlign w:val="center"/>
          </w:tcPr>
          <w:p>
            <w:pPr>
              <w:pStyle w:val="TableContents"/>
              <w:bidi w:val="0"/>
              <w:spacing w:before="0" w:after="283"/>
              <w:jc w:val="right"/>
              <w:rPr/>
            </w:pPr>
            <w:r>
              <w:rPr/>
              <w:t>124,850</w:t>
            </w:r>
          </w:p>
        </w:tc>
        <w:tc>
          <w:tcPr>
            <w:tcW w:w="201"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tcMar>
              <w:bottom w:w="65" w:type="dxa"/>
            </w:tcMar>
            <w:vAlign w:val="center"/>
          </w:tcPr>
          <w:p>
            <w:pPr>
              <w:pStyle w:val="TableContents"/>
              <w:bidi w:val="0"/>
              <w:spacing w:before="0" w:after="283"/>
              <w:jc w:val="right"/>
              <w:rPr/>
            </w:pPr>
            <w:r>
              <w:rPr/>
              <w:t>​</w:t>
            </w:r>
          </w:p>
        </w:tc>
        <w:tc>
          <w:tcPr>
            <w:tcW w:w="2122" w:type="dxa"/>
            <w:tcBorders>
              <w:bottom w:val="single" w:sz="2" w:space="0" w:color="BFBFBF"/>
            </w:tcBorders>
            <w:tcMar>
              <w:bottom w:w="65" w:type="dxa"/>
            </w:tcMar>
            <w:vAlign w:val="center"/>
          </w:tcPr>
          <w:p>
            <w:pPr>
              <w:pStyle w:val="TableContents"/>
              <w:bidi w:val="0"/>
              <w:spacing w:before="0" w:after="283"/>
              <w:jc w:val="right"/>
              <w:rPr/>
            </w:pPr>
            <w:r>
              <w:rPr/>
              <w:t>12,493</w:t>
            </w:r>
          </w:p>
        </w:tc>
        <w:tc>
          <w:tcPr>
            <w:tcW w:w="30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tcMar>
              <w:bottom w:w="65" w:type="dxa"/>
            </w:tcMar>
            <w:vAlign w:val="center"/>
          </w:tcPr>
          <w:p>
            <w:pPr>
              <w:pStyle w:val="TableContents"/>
              <w:bidi w:val="0"/>
              <w:spacing w:before="0" w:after="283"/>
              <w:jc w:val="right"/>
              <w:rPr/>
            </w:pPr>
            <w:r>
              <w:rPr/>
              <w:t>​</w:t>
            </w:r>
          </w:p>
        </w:tc>
        <w:tc>
          <w:tcPr>
            <w:tcW w:w="1609" w:type="dxa"/>
            <w:tcBorders>
              <w:bottom w:val="single" w:sz="2" w:space="0" w:color="BFBFBF"/>
            </w:tcBorders>
            <w:tcMar>
              <w:bottom w:w="65" w:type="dxa"/>
            </w:tcMar>
            <w:vAlign w:val="center"/>
          </w:tcPr>
          <w:p>
            <w:pPr>
              <w:pStyle w:val="TableContents"/>
              <w:bidi w:val="0"/>
              <w:spacing w:before="0" w:after="283"/>
              <w:jc w:val="right"/>
              <w:rPr/>
            </w:pPr>
            <w:r>
              <w:rPr/>
              <w:t>68,646</w:t>
            </w:r>
          </w:p>
        </w:tc>
        <w:tc>
          <w:tcPr>
            <w:tcW w:w="201"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76" w:type="dxa"/>
            <w:tcBorders>
              <w:bottom w:val="single" w:sz="2" w:space="0" w:color="BFBFBF"/>
            </w:tcBorders>
            <w:tcMar>
              <w:bottom w:w="65" w:type="dxa"/>
            </w:tcMar>
            <w:vAlign w:val="center"/>
          </w:tcPr>
          <w:p>
            <w:pPr>
              <w:pStyle w:val="TableContents"/>
              <w:bidi w:val="0"/>
              <w:spacing w:before="0" w:after="283"/>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vAlign w:val="center"/>
          </w:tcPr>
          <w:p>
            <w:pPr>
              <w:pStyle w:val="TableContents"/>
              <w:bidi w:val="0"/>
              <w:spacing w:before="0" w:after="283"/>
              <w:jc w:val="left"/>
              <w:rPr/>
            </w:pPr>
            <w:r>
              <w:rPr/>
              <w:t>​</w:t>
            </w:r>
          </w:p>
        </w:tc>
        <w:tc>
          <w:tcPr>
            <w:tcW w:w="300" w:type="dxa"/>
            <w:tcBorders>
              <w:bottom w:val="single" w:sz="2" w:space="0" w:color="BFBFBF"/>
            </w:tcBorders>
            <w:tcMar>
              <w:bottom w:w="65" w:type="dxa"/>
            </w:tcMar>
            <w:vAlign w:val="center"/>
          </w:tcPr>
          <w:p>
            <w:pPr>
              <w:pStyle w:val="TableContents"/>
              <w:bidi w:val="0"/>
              <w:spacing w:before="0" w:after="283"/>
              <w:jc w:val="right"/>
              <w:rPr/>
            </w:pPr>
            <w:r>
              <w:rPr/>
              <w:t>​</w:t>
            </w:r>
          </w:p>
        </w:tc>
        <w:tc>
          <w:tcPr>
            <w:tcW w:w="2122" w:type="dxa"/>
            <w:tcBorders>
              <w:bottom w:val="single" w:sz="2" w:space="0" w:color="BFBFBF"/>
            </w:tcBorders>
            <w:tcMar>
              <w:bottom w:w="65" w:type="dxa"/>
            </w:tcMar>
            <w:vAlign w:val="center"/>
          </w:tcPr>
          <w:p>
            <w:pPr>
              <w:pStyle w:val="TableContents"/>
              <w:bidi w:val="0"/>
              <w:spacing w:before="0" w:after="283"/>
              <w:jc w:val="right"/>
              <w:rPr/>
            </w:pPr>
            <w:r>
              <w:rPr/>
              <w:t>3,110</w:t>
            </w:r>
          </w:p>
        </w:tc>
        <w:tc>
          <w:tcPr>
            <w:tcW w:w="30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vAlign w:val="center"/>
          </w:tcPr>
          <w:p>
            <w:pPr>
              <w:pStyle w:val="TableContents"/>
              <w:bidi w:val="0"/>
              <w:spacing w:before="0" w:after="283"/>
              <w:jc w:val="left"/>
              <w:rPr/>
            </w:pPr>
            <w:r>
              <w:rPr/>
              <w:t>​</w:t>
            </w:r>
          </w:p>
        </w:tc>
        <w:tc>
          <w:tcPr>
            <w:tcW w:w="197" w:type="dxa"/>
            <w:tcBorders>
              <w:bottom w:val="single" w:sz="2" w:space="0" w:color="BFBFBF"/>
            </w:tcBorders>
            <w:tcMar>
              <w:bottom w:w="65" w:type="dxa"/>
            </w:tcMar>
            <w:vAlign w:val="center"/>
          </w:tcPr>
          <w:p>
            <w:pPr>
              <w:pStyle w:val="TableContents"/>
              <w:bidi w:val="0"/>
              <w:spacing w:before="0" w:after="283"/>
              <w:jc w:val="right"/>
              <w:rPr/>
            </w:pPr>
            <w:r>
              <w:rPr/>
              <w:t>​</w:t>
            </w:r>
          </w:p>
        </w:tc>
        <w:tc>
          <w:tcPr>
            <w:tcW w:w="1609" w:type="dxa"/>
            <w:tcBorders>
              <w:bottom w:val="single" w:sz="2" w:space="0" w:color="BFBFBF"/>
            </w:tcBorders>
            <w:tcMar>
              <w:bottom w:w="65" w:type="dxa"/>
            </w:tcMar>
            <w:vAlign w:val="center"/>
          </w:tcPr>
          <w:p>
            <w:pPr>
              <w:pStyle w:val="TableContents"/>
              <w:bidi w:val="0"/>
              <w:spacing w:before="0" w:after="283"/>
              <w:jc w:val="right"/>
              <w:rPr/>
            </w:pPr>
            <w:r>
              <w:rPr/>
              <w:t>14,897</w:t>
            </w:r>
          </w:p>
        </w:tc>
        <w:tc>
          <w:tcPr>
            <w:tcW w:w="201"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3"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each of our named executive officers, other than Messrs. Schmitzer and Sutherland, this amount represents (a) Service-Based RSUs granted in each of 2024, 2023 and 2022 that vested on March 1, 2025 and March 2, 2025, and (b) the PRSUs granted in 2023 that satisfied the applicable performance conditions as of December 31, 2025 and were settled on March 2, 2026. For Mr. Sutherland, this amount represents the Service-Based RSUs granted in 2023 that vested on May 4, 2025. For Mr. Schmitzer, this number represents the Service-Based RSUs granted in each of 2024, 2023 and 2022 that vested on March 1, 2025 and March 2, 2025, the portion of the Service-Based RSUs granted in each of 2025, 2024 and 2023 that became vested as of his retirement date, and the pro-rated portion of the PRSUs granted in 2023 that satisfied the applicable performance conditions as of December 31, 2025 and were settled on March 2, 2026.</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8105"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1"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5pt;mso-wrap-distance-bottom:0pt;margin-top:6.1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24"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value realized is determined based on the closing sales price of our common stock on the vesting date as reported on the Nasdaq Stock Market, multiplied by the number of shares of common stock underlying the Service-Based RSUs and PRSUs that vested.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1524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2"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Pension Benefits &amp; Nonqualified Deferred Compensation</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do not provide a pension plan for any of our employees and no named executive officers participated in a nonqualified deferred compensation plan during 2025.</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38</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VP"/>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Pay versus Performance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and Human Capital Committee did not consider the pay versus performance disclosure below in making its pay decisions for any of the years shown.</w:t>
      </w:r>
      <w:r>
        <w:rPr>
          <w:rFonts w:ascii="Arial Narrow;Arial;Helvetica;sans-serif" w:hAnsi="Arial Narrow;Arial;Helvetica;sans-serif"/>
          <w:b w:val="false"/>
          <w:i w:val="false"/>
          <w:caps w:val="false"/>
          <w:smallCaps w:val="false"/>
          <w:color w:val="000000"/>
          <w:spacing w:val="4"/>
          <w:sz w:val="19"/>
        </w:rPr>
        <w:t xml:space="preserve"> </w:t>
      </w:r>
    </w:p>
    <w:tbl>
      <w:tblPr>
        <w:tblW w:w="19343" w:type="dxa"/>
        <w:jc w:val="left"/>
        <w:tblInd w:w="920" w:type="dxa"/>
        <w:tblLayout w:type="fixed"/>
        <w:tblCellMar>
          <w:top w:w="0" w:type="dxa"/>
          <w:left w:w="0" w:type="dxa"/>
          <w:bottom w:w="28" w:type="dxa"/>
          <w:right w:w="0" w:type="dxa"/>
        </w:tblCellMar>
      </w:tblPr>
      <w:tblGrid>
        <w:gridCol w:w="124"/>
        <w:gridCol w:w="781"/>
        <w:gridCol w:w="109"/>
        <w:gridCol w:w="109"/>
        <w:gridCol w:w="109"/>
        <w:gridCol w:w="158"/>
        <w:gridCol w:w="158"/>
        <w:gridCol w:w="1550"/>
        <w:gridCol w:w="160"/>
        <w:gridCol w:w="109"/>
        <w:gridCol w:w="109"/>
        <w:gridCol w:w="109"/>
        <w:gridCol w:w="158"/>
        <w:gridCol w:w="158"/>
        <w:gridCol w:w="1550"/>
        <w:gridCol w:w="160"/>
        <w:gridCol w:w="109"/>
        <w:gridCol w:w="109"/>
        <w:gridCol w:w="109"/>
        <w:gridCol w:w="158"/>
        <w:gridCol w:w="158"/>
        <w:gridCol w:w="1550"/>
        <w:gridCol w:w="160"/>
        <w:gridCol w:w="109"/>
        <w:gridCol w:w="109"/>
        <w:gridCol w:w="109"/>
        <w:gridCol w:w="158"/>
        <w:gridCol w:w="158"/>
        <w:gridCol w:w="1550"/>
        <w:gridCol w:w="160"/>
        <w:gridCol w:w="109"/>
        <w:gridCol w:w="109"/>
        <w:gridCol w:w="109"/>
        <w:gridCol w:w="215"/>
        <w:gridCol w:w="215"/>
        <w:gridCol w:w="1275"/>
        <w:gridCol w:w="216"/>
        <w:gridCol w:w="109"/>
        <w:gridCol w:w="109"/>
        <w:gridCol w:w="109"/>
        <w:gridCol w:w="191"/>
        <w:gridCol w:w="191"/>
        <w:gridCol w:w="1346"/>
        <w:gridCol w:w="193"/>
        <w:gridCol w:w="109"/>
        <w:gridCol w:w="109"/>
        <w:gridCol w:w="109"/>
        <w:gridCol w:w="157"/>
        <w:gridCol w:w="157"/>
        <w:gridCol w:w="1388"/>
        <w:gridCol w:w="159"/>
        <w:gridCol w:w="109"/>
        <w:gridCol w:w="109"/>
        <w:gridCol w:w="109"/>
        <w:gridCol w:w="157"/>
        <w:gridCol w:w="157"/>
        <w:gridCol w:w="1388"/>
        <w:gridCol w:w="159"/>
        <w:gridCol w:w="154"/>
      </w:tblGrid>
      <w:tr>
        <w:trPr/>
        <w:tc>
          <w:tcPr>
            <w:tcW w:w="124"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781" w:type="dxa"/>
            <w:vMerge w:val="restart"/>
            <w:tcBorders>
              <w:bottom w:val="single" w:sz="12" w:space="0" w:color="3F3F3F"/>
            </w:tcBorders>
            <w:shd w:fill="F2F2F2" w:val="clear"/>
            <w:tcMar>
              <w:bottom w:w="132" w:type="dxa"/>
            </w:tcMar>
            <w:vAlign w:val="center"/>
          </w:tcPr>
          <w:p>
            <w:pPr>
              <w:pStyle w:val="TableContents"/>
              <w:bidi w:val="0"/>
              <w:spacing w:lineRule="atLeast" w:line="164" w:before="0" w:after="0"/>
              <w:jc w:val="left"/>
              <w:rPr/>
            </w:pPr>
            <w:r>
              <w:rPr/>
              <w:t xml:space="preserve">YEAR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vMerge w:val="restart"/>
            <w:tcBorders>
              <w:bottom w:val="single" w:sz="12" w:space="0" w:color="3F3F3F"/>
            </w:tcBorders>
            <w:shd w:fill="F2F2F2" w:val="clear"/>
            <w:tcMar>
              <w:bottom w:w="132" w:type="dxa"/>
            </w:tcMar>
            <w:vAlign w:val="center"/>
          </w:tcPr>
          <w:p>
            <w:pPr>
              <w:pStyle w:val="TableContents"/>
              <w:bidi w:val="0"/>
              <w:spacing w:lineRule="atLeast" w:line="142" w:before="0" w:after="0"/>
              <w:jc w:val="center"/>
              <w:rPr/>
            </w:pPr>
            <w:r>
              <w:rPr/>
              <w:t>SUMMARY</w:t>
              <w:br/>
              <w:t>COMPENSATION</w:t>
              <w:br/>
              <w:t>TABLE TOTAL</w:t>
              <w:br/>
              <w:t>FOR PEO</w:t>
            </w:r>
            <w:r>
              <w:rPr>
                <w:sz w:val="9"/>
              </w:rPr>
              <w:t>(1)(2)</w:t>
            </w:r>
            <w:r>
              <w:rPr/>
              <w:br/>
              <w:t xml:space="preserv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vMerge w:val="restart"/>
            <w:tcBorders>
              <w:bottom w:val="single" w:sz="12" w:space="0" w:color="3F3F3F"/>
            </w:tcBorders>
            <w:shd w:fill="F2F2F2" w:val="clear"/>
            <w:tcMar>
              <w:bottom w:w="132" w:type="dxa"/>
            </w:tcMar>
            <w:vAlign w:val="center"/>
          </w:tcPr>
          <w:p>
            <w:pPr>
              <w:pStyle w:val="TableContents"/>
              <w:bidi w:val="0"/>
              <w:spacing w:lineRule="atLeast" w:line="142" w:before="0" w:after="0"/>
              <w:jc w:val="center"/>
              <w:rPr/>
            </w:pPr>
            <w:r>
              <w:rPr/>
              <w:t>COMPENSATION</w:t>
              <w:br/>
              <w:t>ACTUALLY PAID</w:t>
              <w:br/>
              <w:t>TO PEO</w:t>
            </w:r>
            <w:r>
              <w:rPr>
                <w:sz w:val="9"/>
              </w:rPr>
              <w:t>(1)(3)(4)</w:t>
            </w:r>
            <w:r>
              <w:rPr/>
              <w:br/>
              <w:t xml:space="preserv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vMerge w:val="restart"/>
            <w:tcBorders>
              <w:bottom w:val="single" w:sz="12" w:space="0" w:color="3F3F3F"/>
            </w:tcBorders>
            <w:shd w:fill="F2F2F2" w:val="clear"/>
            <w:tcMar>
              <w:bottom w:w="132" w:type="dxa"/>
            </w:tcMar>
            <w:vAlign w:val="center"/>
          </w:tcPr>
          <w:p>
            <w:pPr>
              <w:pStyle w:val="TableContents"/>
              <w:bidi w:val="0"/>
              <w:spacing w:lineRule="atLeast" w:line="142" w:before="0" w:after="0"/>
              <w:jc w:val="center"/>
              <w:rPr/>
            </w:pPr>
            <w:r>
              <w:rPr/>
              <w:t>AVERAGE</w:t>
              <w:br/>
              <w:t>SUMMARY</w:t>
              <w:br/>
              <w:t>COMPENSATION</w:t>
              <w:br/>
              <w:t>TABLE TOTAL</w:t>
              <w:br/>
              <w:t>FOR NON-PEO</w:t>
              <w:br/>
              <w:t>NEOS</w:t>
            </w:r>
            <w:r>
              <w:rPr>
                <w:sz w:val="9"/>
              </w:rPr>
              <w:t>(1)(2)</w:t>
            </w:r>
            <w:r>
              <w:rPr/>
              <w:br/>
              <w:t xml:space="preserv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vMerge w:val="restart"/>
            <w:tcBorders>
              <w:bottom w:val="single" w:sz="12" w:space="0" w:color="3F3F3F"/>
            </w:tcBorders>
            <w:shd w:fill="F2F2F2" w:val="clear"/>
            <w:tcMar>
              <w:bottom w:w="132" w:type="dxa"/>
            </w:tcMar>
            <w:vAlign w:val="center"/>
          </w:tcPr>
          <w:p>
            <w:pPr>
              <w:pStyle w:val="TableContents"/>
              <w:bidi w:val="0"/>
              <w:spacing w:lineRule="atLeast" w:line="142" w:before="0" w:after="0"/>
              <w:jc w:val="center"/>
              <w:rPr/>
            </w:pPr>
            <w:r>
              <w:rPr/>
              <w:t>AVERAGE</w:t>
              <w:br/>
              <w:t>COMPENSATION</w:t>
              <w:br/>
              <w:t>ACTUALLY PAID</w:t>
              <w:br/>
              <w:t>TO NON-PEO</w:t>
              <w:br/>
              <w:t>NEOS</w:t>
            </w:r>
            <w:r>
              <w:rPr>
                <w:sz w:val="9"/>
              </w:rPr>
              <w:t>(1)(3)(4)</w:t>
            </w:r>
            <w:r>
              <w:rPr/>
              <w:br/>
              <w:t xml:space="preserve">($)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4169" w:type="dxa"/>
            <w:gridSpan w:val="11"/>
            <w:tcBorders>
              <w:bottom w:val="single" w:sz="12" w:space="0" w:color="3F3F3F"/>
            </w:tcBorders>
            <w:shd w:fill="F2F2F2" w:val="clear"/>
            <w:tcMar>
              <w:bottom w:w="132" w:type="dxa"/>
            </w:tcMar>
            <w:vAlign w:val="center"/>
          </w:tcPr>
          <w:p>
            <w:pPr>
              <w:pStyle w:val="TableContents"/>
              <w:bidi w:val="0"/>
              <w:spacing w:lineRule="atLeast" w:line="142" w:before="0" w:after="0"/>
              <w:jc w:val="center"/>
              <w:rPr/>
            </w:pPr>
            <w:r>
              <w:rPr/>
              <w:t>VALUE OF INITIAL FIXED</w:t>
              <w:br/>
              <w:t>$100 INVESTMENT BASED ON:</w:t>
            </w:r>
            <w:r>
              <w:rPr>
                <w:sz w:val="9"/>
              </w:rPr>
              <w:t>(5)</w:t>
            </w:r>
            <w:r>
              <w:rP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vMerge w:val="restart"/>
            <w:tcBorders>
              <w:bottom w:val="single" w:sz="12" w:space="0" w:color="3F3F3F"/>
            </w:tcBorders>
            <w:shd w:fill="F2F2F2" w:val="clear"/>
            <w:tcMar>
              <w:bottom w:w="132" w:type="dxa"/>
            </w:tcMar>
            <w:vAlign w:val="center"/>
          </w:tcPr>
          <w:p>
            <w:pPr>
              <w:pStyle w:val="TableContents"/>
              <w:bidi w:val="0"/>
              <w:spacing w:lineRule="atLeast" w:line="142" w:before="0" w:after="0"/>
              <w:jc w:val="center"/>
              <w:rPr/>
            </w:pPr>
            <w:r>
              <w:rPr/>
              <w:t>NET INCOME</w:t>
            </w:r>
            <w:r>
              <w:rPr>
                <w:sz w:val="9"/>
              </w:rPr>
              <w:t>(6)</w:t>
            </w:r>
            <w:r>
              <w:rPr/>
              <w:br/>
              <w:t xml:space="preserve">($ THOUSANDS) </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09" w:type="dxa"/>
            <w:vMerge w:val="restart"/>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restart"/>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vMerge w:val="restart"/>
            <w:tcBorders>
              <w:bottom w:val="single" w:sz="12" w:space="0" w:color="3F3F3F"/>
            </w:tcBorders>
            <w:shd w:fill="F2F2F2" w:val="clear"/>
            <w:tcMar>
              <w:bottom w:w="132" w:type="dxa"/>
            </w:tcMar>
            <w:vAlign w:val="center"/>
          </w:tcPr>
          <w:p>
            <w:pPr>
              <w:pStyle w:val="TableContents"/>
              <w:bidi w:val="0"/>
              <w:spacing w:lineRule="atLeast" w:line="142" w:before="0" w:after="0"/>
              <w:jc w:val="center"/>
              <w:rPr/>
            </w:pPr>
            <w:r>
              <w:rPr/>
              <w:t>ADJUSTED</w:t>
              <w:br/>
              <w:t>EBIT</w:t>
            </w:r>
            <w:r>
              <w:rPr>
                <w:sz w:val="9"/>
              </w:rPr>
              <w:t>(7)</w:t>
            </w:r>
            <w:r>
              <w:rPr/>
              <w:br/>
              <w:t xml:space="preserve">($ THOUSANDS) </w:t>
            </w:r>
          </w:p>
        </w:tc>
        <w:tc>
          <w:tcPr>
            <w:tcW w:w="154" w:type="dxa"/>
            <w:vMerge w:val="restart"/>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12" w:space="0" w:color="3F3F3F"/>
            </w:tcBorders>
            <w:shd w:fill="F2F2F2" w:val="clear"/>
            <w:vAlign w:val="center"/>
          </w:tcPr>
          <w:p>
            <w:pPr>
              <w:pStyle w:val="Normal"/>
              <w:bidi w:val="0"/>
              <w:jc w:val="left"/>
              <w:rPr/>
            </w:pPr>
            <w:r>
              <w:rPr/>
            </w:r>
          </w:p>
        </w:tc>
        <w:tc>
          <w:tcPr>
            <w:tcW w:w="781" w:type="dxa"/>
            <w:vMerge w:val="continue"/>
            <w:tcBorders>
              <w:bottom w:val="single" w:sz="12" w:space="0" w:color="3F3F3F"/>
            </w:tcBorders>
            <w:shd w:fill="F2F2F2" w:val="clear"/>
            <w:tcMar>
              <w:bottom w:w="132"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BFBFBF"/>
            </w:tcBorders>
            <w:shd w:fill="BFBFBF" w:val="cle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2026" w:type="dxa"/>
            <w:gridSpan w:val="4"/>
            <w:vMerge w:val="continue"/>
            <w:tcBorders>
              <w:bottom w:val="single" w:sz="12" w:space="0" w:color="3F3F3F"/>
            </w:tcBorders>
            <w:shd w:fill="F2F2F2" w:val="clear"/>
            <w:tcMar>
              <w:bottom w:w="132" w:type="dxa"/>
            </w:tcMar>
            <w:vAlign w:val="center"/>
          </w:tcPr>
          <w:p>
            <w:pPr>
              <w:pStyle w:val="Normal"/>
              <w:bidi w:val="0"/>
              <w:jc w:val="left"/>
              <w:rPr/>
            </w:pPr>
            <w:r>
              <w:rPr/>
            </w:r>
          </w:p>
        </w:tc>
        <w:tc>
          <w:tcPr>
            <w:tcW w:w="109" w:type="dxa"/>
            <w:vMerge w:val="continue"/>
            <w:tcBorders>
              <w:bottom w:val="single" w:sz="12" w:space="0" w:color="3F3F3F"/>
            </w:tcBorders>
            <w:shd w:fill="F2F2F2" w:val="clear"/>
            <w:tcMar>
              <w:bottom w:w="132"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BFBFBF"/>
            </w:tcBorders>
            <w:shd w:fill="BFBFBF" w:val="clear"/>
            <w:vAlign w:val="center"/>
          </w:tcPr>
          <w:p>
            <w:pPr>
              <w:pStyle w:val="Normal"/>
              <w:bidi w:val="0"/>
              <w:jc w:val="left"/>
              <w:rPr/>
            </w:pPr>
            <w:r>
              <w:rPr/>
            </w:r>
          </w:p>
        </w:tc>
        <w:tc>
          <w:tcPr>
            <w:tcW w:w="2026" w:type="dxa"/>
            <w:gridSpan w:val="4"/>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3F3F3F"/>
            </w:tcBorders>
            <w:shd w:fill="F2F2F2" w:val="clear"/>
            <w:tcMar>
              <w:bottom w:w="132"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2026" w:type="dxa"/>
            <w:gridSpan w:val="4"/>
            <w:vMerge w:val="continue"/>
            <w:tcBorders>
              <w:bottom w:val="single" w:sz="12" w:space="0" w:color="BFBFBF"/>
            </w:tcBorders>
            <w:shd w:fill="BFBFBF" w:val="cle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BFBFBF"/>
            </w:tcBorders>
            <w:shd w:fill="BFBFBF" w:val="cle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2026" w:type="dxa"/>
            <w:gridSpan w:val="4"/>
            <w:vMerge w:val="continue"/>
            <w:tcBorders>
              <w:bottom w:val="single" w:sz="12" w:space="0" w:color="3F3F3F"/>
            </w:tcBorders>
            <w:shd w:fill="F2F2F2" w:val="clear"/>
            <w:tcMar>
              <w:bottom w:w="132"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BFBFBF"/>
            </w:tcBorders>
            <w:shd w:fill="BFBFBF" w:val="clear"/>
            <w:vAlign w:val="center"/>
          </w:tcPr>
          <w:p>
            <w:pPr>
              <w:pStyle w:val="Normal"/>
              <w:bidi w:val="0"/>
              <w:jc w:val="left"/>
              <w:rPr/>
            </w:pPr>
            <w:r>
              <w:rPr/>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32" w:type="dxa"/>
            </w:tcMar>
            <w:vAlign w:val="center"/>
          </w:tcPr>
          <w:p>
            <w:pPr>
              <w:pStyle w:val="TableContents"/>
              <w:bidi w:val="0"/>
              <w:spacing w:lineRule="atLeast" w:line="164" w:before="0" w:after="0"/>
              <w:jc w:val="center"/>
              <w:rPr/>
            </w:pPr>
            <w:r>
              <w:rPr/>
              <w:t>TOTAL</w:t>
              <w:br/>
              <w:t>SHAREHOLDER</w:t>
              <w:br/>
              <w:t>RETURN</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32" w:type="dxa"/>
            </w:tcMar>
            <w:vAlign w:val="center"/>
          </w:tcPr>
          <w:p>
            <w:pPr>
              <w:pStyle w:val="TableContents"/>
              <w:bidi w:val="0"/>
              <w:spacing w:lineRule="atLeast" w:line="164" w:before="0" w:after="0"/>
              <w:jc w:val="center"/>
              <w:rPr/>
            </w:pPr>
            <w:r>
              <w:rPr/>
              <w:t>PEER GROUP</w:t>
              <w:br/>
              <w:t>TOTAL</w:t>
              <w:br/>
              <w:t>SHAREHOLDER</w:t>
              <w:br/>
              <w:t>RETURN</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861" w:type="dxa"/>
            <w:gridSpan w:val="4"/>
            <w:vMerge w:val="continue"/>
            <w:tcBorders>
              <w:bottom w:val="single" w:sz="12" w:space="0" w:color="3F3F3F"/>
            </w:tcBorders>
            <w:shd w:fill="F2F2F2" w:val="clear"/>
            <w:tcMar>
              <w:bottom w:w="132" w:type="dxa"/>
            </w:tcMar>
            <w:vAlign w:val="center"/>
          </w:tcPr>
          <w:p>
            <w:pPr>
              <w:pStyle w:val="Normal"/>
              <w:bidi w:val="0"/>
              <w:jc w:val="left"/>
              <w:rPr/>
            </w:pPr>
            <w:r>
              <w:rPr/>
            </w:r>
          </w:p>
        </w:tc>
        <w:tc>
          <w:tcPr>
            <w:tcW w:w="109" w:type="dxa"/>
            <w:vMerge w:val="continue"/>
            <w:tcBorders>
              <w:bottom w:val="single" w:sz="12" w:space="0" w:color="3F3F3F"/>
            </w:tcBorders>
            <w:shd w:fill="F2F2F2" w:val="clear"/>
            <w:tcMar>
              <w:bottom w:w="132" w:type="dxa"/>
            </w:tcM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09" w:type="dxa"/>
            <w:vMerge w:val="continue"/>
            <w:tcBorders>
              <w:bottom w:val="single" w:sz="12" w:space="0" w:color="3F3F3F"/>
            </w:tcBorders>
            <w:shd w:fill="F2F2F2" w:val="clear"/>
            <w:vAlign w:val="center"/>
          </w:tcPr>
          <w:p>
            <w:pPr>
              <w:pStyle w:val="Normal"/>
              <w:bidi w:val="0"/>
              <w:jc w:val="left"/>
              <w:rPr/>
            </w:pPr>
            <w:r>
              <w:rPr/>
            </w:r>
          </w:p>
        </w:tc>
        <w:tc>
          <w:tcPr>
            <w:tcW w:w="1861" w:type="dxa"/>
            <w:gridSpan w:val="4"/>
            <w:vMerge w:val="continue"/>
            <w:tcBorders>
              <w:bottom w:val="single" w:sz="12" w:space="0" w:color="3F3F3F"/>
            </w:tcBorders>
            <w:shd w:fill="F2F2F2" w:val="clear"/>
            <w:tcMar>
              <w:bottom w:w="132" w:type="dxa"/>
            </w:tcMar>
            <w:vAlign w:val="center"/>
          </w:tcPr>
          <w:p>
            <w:pPr>
              <w:pStyle w:val="Normal"/>
              <w:bidi w:val="0"/>
              <w:jc w:val="left"/>
              <w:rPr/>
            </w:pPr>
            <w:r>
              <w:rPr/>
            </w:r>
          </w:p>
        </w:tc>
        <w:tc>
          <w:tcPr>
            <w:tcW w:w="154" w:type="dxa"/>
            <w:vMerge w:val="continue"/>
            <w:tcBorders>
              <w:bottom w:val="single" w:sz="12" w:space="0" w:color="3F3F3F"/>
            </w:tcBorders>
            <w:shd w:fill="F2F2F2" w:val="clear"/>
            <w:vAlign w:val="center"/>
          </w:tcPr>
          <w:p>
            <w:pPr>
              <w:pStyle w:val="Normal"/>
              <w:bidi w:val="0"/>
              <w:jc w:val="left"/>
              <w:rPr/>
            </w:pPr>
            <w:r>
              <w:rPr/>
            </w:r>
          </w:p>
        </w:tc>
      </w:tr>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781" w:type="dxa"/>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(a)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(b)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(c)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(f)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(g)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(h)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38" w:type="dxa"/>
            </w:tcMar>
            <w:vAlign w:val="center"/>
          </w:tcPr>
          <w:p>
            <w:pPr>
              <w:pStyle w:val="TableContents"/>
              <w:bidi w:val="0"/>
              <w:spacing w:before="0" w:after="0"/>
              <w:jc w:val="center"/>
              <w:rPr/>
            </w:pPr>
            <w:r>
              <w:rPr/>
              <w:t xml:space="preserve">(i)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78" w:type="dxa"/>
            </w:tcMar>
            <w:vAlign w:val="center"/>
          </w:tcPr>
          <w:p>
            <w:pPr>
              <w:pStyle w:val="TableContents"/>
              <w:bidi w:val="0"/>
              <w:spacing w:before="0" w:after="283"/>
              <w:jc w:val="left"/>
              <w:rPr/>
            </w:pPr>
            <w:r>
              <w:rPr/>
              <w:t xml:space="preserve">2025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2,930,288</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3,731,956</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1,484,659</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1,612,008</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tcMar>
              <w:bottom w:w="78" w:type="dxa"/>
            </w:tcMar>
            <w:vAlign w:val="center"/>
          </w:tcPr>
          <w:p>
            <w:pPr>
              <w:pStyle w:val="TableContents"/>
              <w:bidi w:val="0"/>
              <w:spacing w:before="0" w:after="283"/>
              <w:jc w:val="right"/>
              <w:rPr/>
            </w:pPr>
            <w:r>
              <w:rPr/>
              <w:t>​</w:t>
            </w:r>
          </w:p>
        </w:tc>
        <w:tc>
          <w:tcPr>
            <w:tcW w:w="1275" w:type="dxa"/>
            <w:tcBorders>
              <w:bottom w:val="single" w:sz="2" w:space="0" w:color="BFBFBF"/>
            </w:tcBorders>
            <w:tcMar>
              <w:bottom w:w="78" w:type="dxa"/>
            </w:tcMar>
            <w:vAlign w:val="center"/>
          </w:tcPr>
          <w:p>
            <w:pPr>
              <w:pStyle w:val="TableContents"/>
              <w:bidi w:val="0"/>
              <w:spacing w:before="0" w:after="283"/>
              <w:jc w:val="right"/>
              <w:rPr/>
            </w:pPr>
            <w:r>
              <w:rPr/>
              <w:t>14.11</w:t>
            </w:r>
          </w:p>
        </w:tc>
        <w:tc>
          <w:tcPr>
            <w:tcW w:w="2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tcMar>
              <w:bottom w:w="78" w:type="dxa"/>
            </w:tcMar>
            <w:vAlign w:val="center"/>
          </w:tcPr>
          <w:p>
            <w:pPr>
              <w:pStyle w:val="TableContents"/>
              <w:bidi w:val="0"/>
              <w:spacing w:before="0" w:after="283"/>
              <w:jc w:val="right"/>
              <w:rPr/>
            </w:pPr>
            <w:r>
              <w:rPr/>
              <w:t>​</w:t>
            </w:r>
          </w:p>
        </w:tc>
        <w:tc>
          <w:tcPr>
            <w:tcW w:w="1346" w:type="dxa"/>
            <w:tcBorders>
              <w:bottom w:val="single" w:sz="2" w:space="0" w:color="BFBFBF"/>
            </w:tcBorders>
            <w:tcMar>
              <w:bottom w:w="78" w:type="dxa"/>
            </w:tcMar>
            <w:vAlign w:val="center"/>
          </w:tcPr>
          <w:p>
            <w:pPr>
              <w:pStyle w:val="TableContents"/>
              <w:bidi w:val="0"/>
              <w:spacing w:before="0" w:after="283"/>
              <w:jc w:val="right"/>
              <w:rPr/>
            </w:pPr>
            <w:r>
              <w:rPr/>
              <w:t>234.33</w:t>
            </w:r>
          </w:p>
        </w:tc>
        <w:tc>
          <w:tcPr>
            <w:tcW w:w="19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47,427</w:t>
            </w:r>
          </w:p>
        </w:tc>
        <w:tc>
          <w:tcPr>
            <w:tcW w:w="15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105,400</w:t>
            </w:r>
          </w:p>
        </w:tc>
        <w:tc>
          <w:tcPr>
            <w:tcW w:w="15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78" w:type="dxa"/>
            </w:tcMar>
            <w:vAlign w:val="center"/>
          </w:tcPr>
          <w:p>
            <w:pPr>
              <w:pStyle w:val="TableContents"/>
              <w:bidi w:val="0"/>
              <w:spacing w:before="0" w:after="283"/>
              <w:jc w:val="left"/>
              <w:rPr/>
            </w:pPr>
            <w:r>
              <w:rPr/>
              <w:t xml:space="preserve">2024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2,709,253</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1,990,044</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1,597,040</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1,252,858</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tcMar>
              <w:bottom w:w="78" w:type="dxa"/>
            </w:tcMar>
            <w:vAlign w:val="center"/>
          </w:tcPr>
          <w:p>
            <w:pPr>
              <w:pStyle w:val="TableContents"/>
              <w:bidi w:val="0"/>
              <w:spacing w:before="0" w:after="283"/>
              <w:jc w:val="right"/>
              <w:rPr/>
            </w:pPr>
            <w:r>
              <w:rPr/>
              <w:t>​</w:t>
            </w:r>
          </w:p>
        </w:tc>
        <w:tc>
          <w:tcPr>
            <w:tcW w:w="1275" w:type="dxa"/>
            <w:tcBorders>
              <w:bottom w:val="single" w:sz="2" w:space="0" w:color="BFBFBF"/>
            </w:tcBorders>
            <w:tcMar>
              <w:bottom w:w="78" w:type="dxa"/>
            </w:tcMar>
            <w:vAlign w:val="center"/>
          </w:tcPr>
          <w:p>
            <w:pPr>
              <w:pStyle w:val="TableContents"/>
              <w:bidi w:val="0"/>
              <w:spacing w:before="0" w:after="283"/>
              <w:jc w:val="right"/>
              <w:rPr/>
            </w:pPr>
            <w:r>
              <w:rPr/>
              <w:t>10.72</w:t>
            </w:r>
          </w:p>
        </w:tc>
        <w:tc>
          <w:tcPr>
            <w:tcW w:w="2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tcMar>
              <w:bottom w:w="78" w:type="dxa"/>
            </w:tcMar>
            <w:vAlign w:val="center"/>
          </w:tcPr>
          <w:p>
            <w:pPr>
              <w:pStyle w:val="TableContents"/>
              <w:bidi w:val="0"/>
              <w:spacing w:before="0" w:after="283"/>
              <w:jc w:val="right"/>
              <w:rPr/>
            </w:pPr>
            <w:r>
              <w:rPr/>
              <w:t>​</w:t>
            </w:r>
          </w:p>
        </w:tc>
        <w:tc>
          <w:tcPr>
            <w:tcW w:w="1346" w:type="dxa"/>
            <w:tcBorders>
              <w:bottom w:val="single" w:sz="2" w:space="0" w:color="BFBFBF"/>
            </w:tcBorders>
            <w:tcMar>
              <w:bottom w:w="78" w:type="dxa"/>
            </w:tcMar>
            <w:vAlign w:val="center"/>
          </w:tcPr>
          <w:p>
            <w:pPr>
              <w:pStyle w:val="TableContents"/>
              <w:bidi w:val="0"/>
              <w:spacing w:before="0" w:after="283"/>
              <w:jc w:val="right"/>
              <w:rPr/>
            </w:pPr>
            <w:r>
              <w:rPr/>
              <w:t>212.86</w:t>
            </w:r>
          </w:p>
        </w:tc>
        <w:tc>
          <w:tcPr>
            <w:tcW w:w="19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(81,120)</w:t>
            </w:r>
          </w:p>
        </w:tc>
        <w:tc>
          <w:tcPr>
            <w:tcW w:w="15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104,800</w:t>
            </w:r>
          </w:p>
        </w:tc>
        <w:tc>
          <w:tcPr>
            <w:tcW w:w="15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78" w:type="dxa"/>
            </w:tcMar>
            <w:vAlign w:val="center"/>
          </w:tcPr>
          <w:p>
            <w:pPr>
              <w:pStyle w:val="TableContents"/>
              <w:bidi w:val="0"/>
              <w:spacing w:before="0" w:after="283"/>
              <w:jc w:val="left"/>
              <w:rPr/>
            </w:pPr>
            <w:r>
              <w:rPr/>
              <w:t xml:space="preserve">2023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2,720,691</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1,589,888</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1,465,981</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945,280</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tcMar>
              <w:bottom w:w="78" w:type="dxa"/>
            </w:tcMar>
            <w:vAlign w:val="center"/>
          </w:tcPr>
          <w:p>
            <w:pPr>
              <w:pStyle w:val="TableContents"/>
              <w:bidi w:val="0"/>
              <w:spacing w:before="0" w:after="283"/>
              <w:jc w:val="right"/>
              <w:rPr/>
            </w:pPr>
            <w:r>
              <w:rPr/>
              <w:t>​</w:t>
            </w:r>
          </w:p>
        </w:tc>
        <w:tc>
          <w:tcPr>
            <w:tcW w:w="1275" w:type="dxa"/>
            <w:tcBorders>
              <w:bottom w:val="single" w:sz="2" w:space="0" w:color="BFBFBF"/>
            </w:tcBorders>
            <w:tcMar>
              <w:bottom w:w="78" w:type="dxa"/>
            </w:tcMar>
            <w:vAlign w:val="center"/>
          </w:tcPr>
          <w:p>
            <w:pPr>
              <w:pStyle w:val="TableContents"/>
              <w:bidi w:val="0"/>
              <w:spacing w:before="0" w:after="283"/>
              <w:jc w:val="right"/>
              <w:rPr/>
            </w:pPr>
            <w:r>
              <w:rPr/>
              <w:t>19.91</w:t>
            </w:r>
          </w:p>
        </w:tc>
        <w:tc>
          <w:tcPr>
            <w:tcW w:w="2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tcMar>
              <w:bottom w:w="78" w:type="dxa"/>
            </w:tcMar>
            <w:vAlign w:val="center"/>
          </w:tcPr>
          <w:p>
            <w:pPr>
              <w:pStyle w:val="TableContents"/>
              <w:bidi w:val="0"/>
              <w:spacing w:before="0" w:after="283"/>
              <w:jc w:val="right"/>
              <w:rPr/>
            </w:pPr>
            <w:r>
              <w:rPr/>
              <w:t>​</w:t>
            </w:r>
          </w:p>
        </w:tc>
        <w:tc>
          <w:tcPr>
            <w:tcW w:w="1346" w:type="dxa"/>
            <w:tcBorders>
              <w:bottom w:val="single" w:sz="2" w:space="0" w:color="BFBFBF"/>
            </w:tcBorders>
            <w:tcMar>
              <w:bottom w:w="78" w:type="dxa"/>
            </w:tcMar>
            <w:vAlign w:val="center"/>
          </w:tcPr>
          <w:p>
            <w:pPr>
              <w:pStyle w:val="TableContents"/>
              <w:bidi w:val="0"/>
              <w:spacing w:before="0" w:after="283"/>
              <w:jc w:val="right"/>
              <w:rPr/>
            </w:pPr>
            <w:r>
              <w:rPr/>
              <w:t>157.12</w:t>
            </w:r>
          </w:p>
        </w:tc>
        <w:tc>
          <w:tcPr>
            <w:tcW w:w="19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(107,684)</w:t>
            </w:r>
          </w:p>
        </w:tc>
        <w:tc>
          <w:tcPr>
            <w:tcW w:w="15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116,823</w:t>
            </w:r>
          </w:p>
        </w:tc>
        <w:tc>
          <w:tcPr>
            <w:tcW w:w="15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78" w:type="dxa"/>
            </w:tcMar>
            <w:vAlign w:val="center"/>
          </w:tcPr>
          <w:p>
            <w:pPr>
              <w:pStyle w:val="TableContents"/>
              <w:bidi w:val="0"/>
              <w:spacing w:before="0" w:after="283"/>
              <w:jc w:val="left"/>
              <w:rPr/>
            </w:pPr>
            <w:r>
              <w:rPr/>
              <w:t xml:space="preserve">2022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3,121,935</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2,880,460</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1,585,061</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1,516,446</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tcMar>
              <w:bottom w:w="78" w:type="dxa"/>
            </w:tcMar>
            <w:vAlign w:val="center"/>
          </w:tcPr>
          <w:p>
            <w:pPr>
              <w:pStyle w:val="TableContents"/>
              <w:bidi w:val="0"/>
              <w:spacing w:before="0" w:after="283"/>
              <w:jc w:val="right"/>
              <w:rPr/>
            </w:pPr>
            <w:r>
              <w:rPr/>
              <w:t>​</w:t>
            </w:r>
          </w:p>
        </w:tc>
        <w:tc>
          <w:tcPr>
            <w:tcW w:w="1275" w:type="dxa"/>
            <w:tcBorders>
              <w:bottom w:val="single" w:sz="2" w:space="0" w:color="BFBFBF"/>
            </w:tcBorders>
            <w:tcMar>
              <w:bottom w:w="78" w:type="dxa"/>
            </w:tcMar>
            <w:vAlign w:val="center"/>
          </w:tcPr>
          <w:p>
            <w:pPr>
              <w:pStyle w:val="TableContents"/>
              <w:bidi w:val="0"/>
              <w:spacing w:before="0" w:after="283"/>
              <w:jc w:val="right"/>
              <w:rPr/>
            </w:pPr>
            <w:r>
              <w:rPr/>
              <w:t>44.46</w:t>
            </w:r>
          </w:p>
        </w:tc>
        <w:tc>
          <w:tcPr>
            <w:tcW w:w="2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tcMar>
              <w:bottom w:w="78" w:type="dxa"/>
            </w:tcMar>
            <w:vAlign w:val="center"/>
          </w:tcPr>
          <w:p>
            <w:pPr>
              <w:pStyle w:val="TableContents"/>
              <w:bidi w:val="0"/>
              <w:spacing w:before="0" w:after="283"/>
              <w:jc w:val="right"/>
              <w:rPr/>
            </w:pPr>
            <w:r>
              <w:rPr/>
              <w:t>​</w:t>
            </w:r>
          </w:p>
        </w:tc>
        <w:tc>
          <w:tcPr>
            <w:tcW w:w="1346" w:type="dxa"/>
            <w:tcBorders>
              <w:bottom w:val="single" w:sz="2" w:space="0" w:color="BFBFBF"/>
            </w:tcBorders>
            <w:tcMar>
              <w:bottom w:w="78" w:type="dxa"/>
            </w:tcMar>
            <w:vAlign w:val="center"/>
          </w:tcPr>
          <w:p>
            <w:pPr>
              <w:pStyle w:val="TableContents"/>
              <w:bidi w:val="0"/>
              <w:spacing w:before="0" w:after="283"/>
              <w:jc w:val="right"/>
              <w:rPr/>
            </w:pPr>
            <w:r>
              <w:rPr/>
              <w:t>141.79</w:t>
            </w:r>
          </w:p>
        </w:tc>
        <w:tc>
          <w:tcPr>
            <w:tcW w:w="19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30,973</w:t>
            </w:r>
          </w:p>
        </w:tc>
        <w:tc>
          <w:tcPr>
            <w:tcW w:w="15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91,827</w:t>
            </w:r>
          </w:p>
        </w:tc>
        <w:tc>
          <w:tcPr>
            <w:tcW w:w="15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78" w:type="dxa"/>
            </w:tcMar>
            <w:vAlign w:val="center"/>
          </w:tcPr>
          <w:p>
            <w:pPr>
              <w:pStyle w:val="TableContents"/>
              <w:bidi w:val="0"/>
              <w:spacing w:before="0" w:after="283"/>
              <w:jc w:val="left"/>
              <w:rPr/>
            </w:pPr>
            <w:r>
              <w:rPr/>
              <w:t xml:space="preserve">2021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1,317,980</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116,822</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1,164,640</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78" w:type="dxa"/>
            </w:tcMar>
            <w:vAlign w:val="center"/>
          </w:tcPr>
          <w:p>
            <w:pPr>
              <w:pStyle w:val="TableContents"/>
              <w:bidi w:val="0"/>
              <w:spacing w:before="0" w:after="283"/>
              <w:jc w:val="right"/>
              <w:rPr/>
            </w:pPr>
            <w:r>
              <w:rPr/>
              <w:t>​</w:t>
            </w:r>
          </w:p>
        </w:tc>
        <w:tc>
          <w:tcPr>
            <w:tcW w:w="1550" w:type="dxa"/>
            <w:tcBorders>
              <w:bottom w:val="single" w:sz="2" w:space="0" w:color="BFBFBF"/>
            </w:tcBorders>
            <w:tcMar>
              <w:bottom w:w="78" w:type="dxa"/>
            </w:tcMar>
            <w:vAlign w:val="center"/>
          </w:tcPr>
          <w:p>
            <w:pPr>
              <w:pStyle w:val="TableContents"/>
              <w:bidi w:val="0"/>
              <w:spacing w:before="0" w:after="283"/>
              <w:jc w:val="right"/>
              <w:rPr/>
            </w:pPr>
            <w:r>
              <w:rPr/>
              <w:t>571,782</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vAlign w:val="center"/>
          </w:tcPr>
          <w:p>
            <w:pPr>
              <w:pStyle w:val="TableContents"/>
              <w:bidi w:val="0"/>
              <w:spacing w:before="0" w:after="283"/>
              <w:jc w:val="left"/>
              <w:rPr/>
            </w:pPr>
            <w:r>
              <w:rPr/>
              <w:t>​</w:t>
            </w:r>
          </w:p>
        </w:tc>
        <w:tc>
          <w:tcPr>
            <w:tcW w:w="215" w:type="dxa"/>
            <w:tcBorders>
              <w:bottom w:val="single" w:sz="2" w:space="0" w:color="BFBFBF"/>
            </w:tcBorders>
            <w:tcMar>
              <w:bottom w:w="78" w:type="dxa"/>
            </w:tcMar>
            <w:vAlign w:val="center"/>
          </w:tcPr>
          <w:p>
            <w:pPr>
              <w:pStyle w:val="TableContents"/>
              <w:bidi w:val="0"/>
              <w:spacing w:before="0" w:after="283"/>
              <w:jc w:val="right"/>
              <w:rPr/>
            </w:pPr>
            <w:r>
              <w:rPr/>
              <w:t>​</w:t>
            </w:r>
          </w:p>
        </w:tc>
        <w:tc>
          <w:tcPr>
            <w:tcW w:w="1275" w:type="dxa"/>
            <w:tcBorders>
              <w:bottom w:val="single" w:sz="2" w:space="0" w:color="BFBFBF"/>
            </w:tcBorders>
            <w:tcMar>
              <w:bottom w:w="78" w:type="dxa"/>
            </w:tcMar>
            <w:vAlign w:val="center"/>
          </w:tcPr>
          <w:p>
            <w:pPr>
              <w:pStyle w:val="TableContents"/>
              <w:bidi w:val="0"/>
              <w:spacing w:before="0" w:after="283"/>
              <w:jc w:val="right"/>
              <w:rPr/>
            </w:pPr>
            <w:r>
              <w:rPr/>
              <w:t>60.72</w:t>
            </w:r>
          </w:p>
        </w:tc>
        <w:tc>
          <w:tcPr>
            <w:tcW w:w="2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vAlign w:val="center"/>
          </w:tcPr>
          <w:p>
            <w:pPr>
              <w:pStyle w:val="TableContents"/>
              <w:bidi w:val="0"/>
              <w:spacing w:before="0" w:after="283"/>
              <w:jc w:val="left"/>
              <w:rPr/>
            </w:pPr>
            <w:r>
              <w:rPr/>
              <w:t>​</w:t>
            </w:r>
          </w:p>
        </w:tc>
        <w:tc>
          <w:tcPr>
            <w:tcW w:w="191" w:type="dxa"/>
            <w:tcBorders>
              <w:bottom w:val="single" w:sz="2" w:space="0" w:color="BFBFBF"/>
            </w:tcBorders>
            <w:tcMar>
              <w:bottom w:w="78" w:type="dxa"/>
            </w:tcMar>
            <w:vAlign w:val="center"/>
          </w:tcPr>
          <w:p>
            <w:pPr>
              <w:pStyle w:val="TableContents"/>
              <w:bidi w:val="0"/>
              <w:spacing w:before="0" w:after="283"/>
              <w:jc w:val="right"/>
              <w:rPr/>
            </w:pPr>
            <w:r>
              <w:rPr/>
              <w:t>​</w:t>
            </w:r>
          </w:p>
        </w:tc>
        <w:tc>
          <w:tcPr>
            <w:tcW w:w="1346" w:type="dxa"/>
            <w:tcBorders>
              <w:bottom w:val="single" w:sz="2" w:space="0" w:color="BFBFBF"/>
            </w:tcBorders>
            <w:tcMar>
              <w:bottom w:w="78" w:type="dxa"/>
            </w:tcMar>
            <w:vAlign w:val="center"/>
          </w:tcPr>
          <w:p>
            <w:pPr>
              <w:pStyle w:val="TableContents"/>
              <w:bidi w:val="0"/>
              <w:spacing w:before="0" w:after="283"/>
              <w:jc w:val="right"/>
              <w:rPr/>
            </w:pPr>
            <w:r>
              <w:rPr/>
              <w:t>119.28</w:t>
            </w:r>
          </w:p>
        </w:tc>
        <w:tc>
          <w:tcPr>
            <w:tcW w:w="19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(172,799)</w:t>
            </w:r>
          </w:p>
        </w:tc>
        <w:tc>
          <w:tcPr>
            <w:tcW w:w="15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vAlign w:val="center"/>
          </w:tcPr>
          <w:p>
            <w:pPr>
              <w:pStyle w:val="TableContents"/>
              <w:bidi w:val="0"/>
              <w:spacing w:before="0" w:after="283"/>
              <w:jc w:val="left"/>
              <w:rPr/>
            </w:pPr>
            <w:r>
              <w:rPr/>
              <w:t>​</w:t>
            </w:r>
          </w:p>
        </w:tc>
        <w:tc>
          <w:tcPr>
            <w:tcW w:w="157" w:type="dxa"/>
            <w:tcBorders>
              <w:bottom w:val="single" w:sz="2" w:space="0" w:color="BFBFBF"/>
            </w:tcBorders>
            <w:tcMar>
              <w:bottom w:w="78" w:type="dxa"/>
            </w:tcMar>
            <w:vAlign w:val="center"/>
          </w:tcPr>
          <w:p>
            <w:pPr>
              <w:pStyle w:val="TableContents"/>
              <w:bidi w:val="0"/>
              <w:spacing w:before="0" w:after="283"/>
              <w:jc w:val="right"/>
              <w:rPr/>
            </w:pPr>
            <w:r>
              <w:rPr/>
              <w:t>​</w:t>
            </w:r>
          </w:p>
        </w:tc>
        <w:tc>
          <w:tcPr>
            <w:tcW w:w="1388" w:type="dxa"/>
            <w:tcBorders>
              <w:bottom w:val="single" w:sz="2" w:space="0" w:color="BFBFBF"/>
            </w:tcBorders>
            <w:tcMar>
              <w:bottom w:w="78" w:type="dxa"/>
            </w:tcMar>
            <w:vAlign w:val="center"/>
          </w:tcPr>
          <w:p>
            <w:pPr>
              <w:pStyle w:val="TableContents"/>
              <w:bidi w:val="0"/>
              <w:spacing w:before="0" w:after="283"/>
              <w:jc w:val="right"/>
              <w:rPr/>
            </w:pPr>
            <w:r>
              <w:rPr/>
              <w:t>(187,112)</w:t>
            </w:r>
          </w:p>
        </w:tc>
        <w:tc>
          <w:tcPr>
            <w:tcW w:w="15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1"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Frank N. D’Orazio has served as our PEO for each year presented. The individuals comprising the Non-PEO NEOs for each year presented are listed below.</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38735" distB="0" distL="254000" distR="0" simplePos="0" locked="0" layoutInCell="1" allowOverlap="1" relativeHeight="168">
                <wp:simplePos x="0" y="0"/>
                <wp:positionH relativeFrom="column">
                  <wp:align>left</wp:align>
                </wp:positionH>
                <wp:positionV relativeFrom="line">
                  <wp:align>top</wp:align>
                </wp:positionV>
                <wp:extent cx="254000" cy="287020"/>
                <wp:effectExtent l="0" t="0" r="0" b="0"/>
                <wp:wrapSquare wrapText="right"/>
                <wp:docPr id="163" name="Frame125"/>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(1)</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3.05pt;mso-wrap-distance-bottom:0pt;margin-top:3.05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9285" w:type="dxa"/>
        <w:jc w:val="left"/>
        <w:tblInd w:w="920" w:type="dxa"/>
        <w:tblLayout w:type="fixed"/>
        <w:tblCellMar>
          <w:top w:w="0" w:type="dxa"/>
          <w:left w:w="0" w:type="dxa"/>
          <w:bottom w:w="28" w:type="dxa"/>
          <w:right w:w="0" w:type="dxa"/>
        </w:tblCellMar>
      </w:tblPr>
      <w:tblGrid>
        <w:gridCol w:w="124"/>
        <w:gridCol w:w="1597"/>
        <w:gridCol w:w="109"/>
        <w:gridCol w:w="109"/>
        <w:gridCol w:w="109"/>
        <w:gridCol w:w="1597"/>
        <w:gridCol w:w="109"/>
        <w:gridCol w:w="109"/>
        <w:gridCol w:w="109"/>
        <w:gridCol w:w="1597"/>
        <w:gridCol w:w="109"/>
        <w:gridCol w:w="109"/>
        <w:gridCol w:w="109"/>
        <w:gridCol w:w="1438"/>
        <w:gridCol w:w="109"/>
        <w:gridCol w:w="109"/>
        <w:gridCol w:w="109"/>
        <w:gridCol w:w="1468"/>
        <w:gridCol w:w="156"/>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597"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2021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97"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2022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97"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2023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38"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2024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68"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2025 </w:t>
            </w:r>
          </w:p>
        </w:tc>
        <w:tc>
          <w:tcPr>
            <w:tcW w:w="156"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38" w:type="dxa"/>
            <w:tcBorders>
              <w:bottom w:val="single" w:sz="2" w:space="0" w:color="BFBFBF"/>
            </w:tcBorders>
            <w:tcMar>
              <w:bottom w:w="65" w:type="dxa"/>
            </w:tcMar>
            <w:vAlign w:val="center"/>
          </w:tcPr>
          <w:p>
            <w:pPr>
              <w:pStyle w:val="TableContents"/>
              <w:bidi w:val="0"/>
              <w:spacing w:before="0" w:after="0"/>
              <w:jc w:val="center"/>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68" w:type="dxa"/>
            <w:tcBorders>
              <w:bottom w:val="single" w:sz="2" w:space="0" w:color="BFBFBF"/>
            </w:tcBorders>
            <w:tcMar>
              <w:bottom w:w="65" w:type="dxa"/>
            </w:tcMar>
            <w:vAlign w:val="center"/>
          </w:tcPr>
          <w:p>
            <w:pPr>
              <w:pStyle w:val="TableContents"/>
              <w:bidi w:val="0"/>
              <w:spacing w:before="0" w:after="0"/>
              <w:jc w:val="center"/>
              <w:rPr/>
            </w:pPr>
            <w:r>
              <w:rPr/>
              <w:t xml:space="preserve">Sarah C. Doran </w:t>
            </w:r>
          </w:p>
        </w:tc>
        <w:tc>
          <w:tcPr>
            <w:tcW w:w="156"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Daniel J. Heinlein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Daniel J. Heinlein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Daniel J. Heinlein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38" w:type="dxa"/>
            <w:tcBorders>
              <w:bottom w:val="single" w:sz="2" w:space="0" w:color="BFBFBF"/>
            </w:tcBorders>
            <w:tcMar>
              <w:bottom w:w="65" w:type="dxa"/>
            </w:tcMar>
            <w:vAlign w:val="center"/>
          </w:tcPr>
          <w:p>
            <w:pPr>
              <w:pStyle w:val="TableContents"/>
              <w:bidi w:val="0"/>
              <w:spacing w:before="0" w:after="0"/>
              <w:jc w:val="center"/>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68" w:type="dxa"/>
            <w:tcBorders>
              <w:bottom w:val="single" w:sz="2" w:space="0" w:color="BFBFBF"/>
            </w:tcBorders>
            <w:tcMar>
              <w:bottom w:w="65" w:type="dxa"/>
            </w:tcMar>
            <w:vAlign w:val="center"/>
          </w:tcPr>
          <w:p>
            <w:pPr>
              <w:pStyle w:val="TableContents"/>
              <w:bidi w:val="0"/>
              <w:spacing w:before="0" w:after="0"/>
              <w:jc w:val="center"/>
              <w:rPr/>
            </w:pPr>
            <w:r>
              <w:rPr/>
              <w:t xml:space="preserve">Richard J. Schmitzer </w:t>
            </w:r>
          </w:p>
        </w:tc>
        <w:tc>
          <w:tcPr>
            <w:tcW w:w="156"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Terence M. McCafferty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Terence M. McCafferty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Terence M. McCafferty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38" w:type="dxa"/>
            <w:tcBorders>
              <w:bottom w:val="single" w:sz="2" w:space="0" w:color="BFBFBF"/>
            </w:tcBorders>
            <w:tcMar>
              <w:bottom w:w="65" w:type="dxa"/>
            </w:tcMar>
            <w:vAlign w:val="center"/>
          </w:tcPr>
          <w:p>
            <w:pPr>
              <w:pStyle w:val="TableContents"/>
              <w:bidi w:val="0"/>
              <w:spacing w:before="0" w:after="0"/>
              <w:jc w:val="center"/>
              <w:rPr/>
            </w:pPr>
            <w:r>
              <w:rPr/>
              <w:t xml:space="preserve">William K. Bowman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68" w:type="dxa"/>
            <w:tcBorders>
              <w:bottom w:val="single" w:sz="2" w:space="0" w:color="BFBFBF"/>
            </w:tcBorders>
            <w:tcMar>
              <w:bottom w:w="65" w:type="dxa"/>
            </w:tcMar>
            <w:vAlign w:val="center"/>
          </w:tcPr>
          <w:p>
            <w:pPr>
              <w:pStyle w:val="TableContents"/>
              <w:bidi w:val="0"/>
              <w:spacing w:before="0" w:after="0"/>
              <w:jc w:val="center"/>
              <w:rPr/>
            </w:pPr>
            <w:r>
              <w:rPr/>
              <w:t xml:space="preserve">Michael J. Hoffmann </w:t>
            </w:r>
          </w:p>
        </w:tc>
        <w:tc>
          <w:tcPr>
            <w:tcW w:w="156"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38" w:type="dxa"/>
            <w:tcBorders>
              <w:bottom w:val="single" w:sz="2" w:space="0" w:color="BFBFBF"/>
            </w:tcBorders>
            <w:tcMar>
              <w:bottom w:w="65" w:type="dxa"/>
            </w:tcMar>
            <w:vAlign w:val="center"/>
          </w:tcPr>
          <w:p>
            <w:pPr>
              <w:pStyle w:val="TableContents"/>
              <w:bidi w:val="0"/>
              <w:spacing w:before="0" w:after="0"/>
              <w:jc w:val="center"/>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68" w:type="dxa"/>
            <w:tcBorders>
              <w:bottom w:val="single" w:sz="2" w:space="0" w:color="BFBFBF"/>
            </w:tcBorders>
            <w:tcMar>
              <w:bottom w:w="65" w:type="dxa"/>
            </w:tcMar>
            <w:vAlign w:val="center"/>
          </w:tcPr>
          <w:p>
            <w:pPr>
              <w:pStyle w:val="TableContents"/>
              <w:bidi w:val="0"/>
              <w:spacing w:before="0" w:after="0"/>
              <w:jc w:val="center"/>
              <w:rPr/>
            </w:pPr>
            <w:r>
              <w:rPr/>
              <w:t xml:space="preserve">Jeanette L. Miller </w:t>
            </w:r>
          </w:p>
        </w:tc>
        <w:tc>
          <w:tcPr>
            <w:tcW w:w="156"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Robert P. Myron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7" w:type="dxa"/>
            <w:tcBorders>
              <w:bottom w:val="single" w:sz="2" w:space="0" w:color="BFBFBF"/>
            </w:tcBorders>
            <w:tcMar>
              <w:bottom w:w="65" w:type="dxa"/>
            </w:tcMar>
            <w:vAlign w:val="center"/>
          </w:tcPr>
          <w:p>
            <w:pPr>
              <w:pStyle w:val="TableContents"/>
              <w:bidi w:val="0"/>
              <w:spacing w:before="0" w:after="0"/>
              <w:jc w:val="center"/>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38" w:type="dxa"/>
            <w:tcBorders>
              <w:bottom w:val="single" w:sz="2" w:space="0" w:color="BFBFBF"/>
            </w:tcBorders>
            <w:tcMar>
              <w:bottom w:w="65" w:type="dxa"/>
            </w:tcM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68" w:type="dxa"/>
            <w:tcBorders>
              <w:bottom w:val="single" w:sz="2" w:space="0" w:color="BFBFBF"/>
            </w:tcBorders>
            <w:tcMar>
              <w:bottom w:w="65" w:type="dxa"/>
            </w:tcMar>
            <w:vAlign w:val="center"/>
          </w:tcPr>
          <w:p>
            <w:pPr>
              <w:pStyle w:val="TableContents"/>
              <w:bidi w:val="0"/>
              <w:spacing w:before="0" w:after="0"/>
              <w:jc w:val="center"/>
              <w:rPr/>
            </w:pPr>
            <w:r>
              <w:rPr/>
              <w:t>Todd R. Sutherland</w:t>
            </w:r>
          </w:p>
        </w:tc>
        <w:tc>
          <w:tcPr>
            <w:tcW w:w="156"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61"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amounts shown for Summary Compensation Table total for each applicable fiscal year (i) for the PEO, are the amounts of total compensation as reported in the Summary Compensation Table for the PEO, and (ii) for the Non-PEO NEOs, are the average of the amounts of total compensation as reported in the Summary Compensation Table for such Non-PEO NEOs.</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38735" distB="0" distL="254000" distR="0" simplePos="0" locked="0" layoutInCell="1" allowOverlap="1" relativeHeight="169">
                <wp:simplePos x="0" y="0"/>
                <wp:positionH relativeFrom="column">
                  <wp:align>left</wp:align>
                </wp:positionH>
                <wp:positionV relativeFrom="line">
                  <wp:align>top</wp:align>
                </wp:positionV>
                <wp:extent cx="254000" cy="287020"/>
                <wp:effectExtent l="0" t="0" r="0" b="0"/>
                <wp:wrapSquare wrapText="right"/>
                <wp:docPr id="164" name="Frame126"/>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(2)</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3.05pt;mso-wrap-distance-bottom:0pt;margin-top:3.05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amounts shown for Compensation Actually Paid have been calculated in accordance with Item 402(v) of Regulation S-K and do not reflect compensation actually earned, realized, or received by the Company’s NEOs during the applicable fiscal year. These amounts reflect the Summary Compensation Table total for the PEO and the average of the Summary Compensation Table totals for Non-PEO NEOs, with certain adjustments as required by Item 402(v) of Regulation S-K and described in footnote 4 below.</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70">
                <wp:simplePos x="0" y="0"/>
                <wp:positionH relativeFrom="column">
                  <wp:align>left</wp:align>
                </wp:positionH>
                <wp:positionV relativeFrom="line">
                  <wp:posOffset>635</wp:posOffset>
                </wp:positionV>
                <wp:extent cx="254000" cy="287020"/>
                <wp:effectExtent l="0" t="0" r="0" b="0"/>
                <wp:wrapSquare wrapText="right"/>
                <wp:docPr id="165" name="Frame127"/>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(3)</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Compensation Actually Paid reflects the exclusions and inclusions of certain amounts for the PEO and the Non-PEO NEOs as set forth below. Equity values are calculated in accordance with FASB Topic 718, with the value of the PRSUs calculated based upon the probable outcome of the performance conditions. The valuation methodologies and assumptions used to calculate the equity values included in Compensation Actually Paid are based on our grant date fair value of the equity awards as disclosed in the Company’s audited financial statements for the applicable fiscal year. Amounts in the Exclusion of Stock Awards column below are the totals from the Stock Awards column set forth in the Summary Compensation Table.</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71">
                <wp:simplePos x="0" y="0"/>
                <wp:positionH relativeFrom="column">
                  <wp:align>left</wp:align>
                </wp:positionH>
                <wp:positionV relativeFrom="line">
                  <wp:posOffset>635</wp:posOffset>
                </wp:positionV>
                <wp:extent cx="254000" cy="287020"/>
                <wp:effectExtent l="0" t="0" r="0" b="0"/>
                <wp:wrapSquare wrapText="right"/>
                <wp:docPr id="166" name="Frame128"/>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sz w:val="19"/>
                              </w:rPr>
                            </w:pPr>
                            <w:r>
                              <w:rPr>
                                <w:sz w:val="19"/>
                              </w:rPr>
                              <w:t>(4)</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sz w:val="19"/>
                        </w:rPr>
                      </w:pPr>
                      <w:r>
                        <w:rPr>
                          <w:sz w:val="19"/>
                        </w:rPr>
                        <w:t>(4)</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tbl>
      <w:tblPr>
        <w:tblW w:w="9346" w:type="dxa"/>
        <w:jc w:val="left"/>
        <w:tblInd w:w="920" w:type="dxa"/>
        <w:tblLayout w:type="fixed"/>
        <w:tblCellMar>
          <w:top w:w="0" w:type="dxa"/>
          <w:left w:w="0" w:type="dxa"/>
          <w:bottom w:w="28" w:type="dxa"/>
          <w:right w:w="0" w:type="dxa"/>
        </w:tblCellMar>
      </w:tblPr>
      <w:tblGrid>
        <w:gridCol w:w="124"/>
        <w:gridCol w:w="781"/>
        <w:gridCol w:w="109"/>
        <w:gridCol w:w="109"/>
        <w:gridCol w:w="109"/>
        <w:gridCol w:w="158"/>
        <w:gridCol w:w="158"/>
        <w:gridCol w:w="1550"/>
        <w:gridCol w:w="160"/>
        <w:gridCol w:w="109"/>
        <w:gridCol w:w="109"/>
        <w:gridCol w:w="109"/>
        <w:gridCol w:w="127"/>
        <w:gridCol w:w="127"/>
        <w:gridCol w:w="1119"/>
        <w:gridCol w:w="128"/>
        <w:gridCol w:w="109"/>
        <w:gridCol w:w="109"/>
        <w:gridCol w:w="109"/>
        <w:gridCol w:w="111"/>
        <w:gridCol w:w="111"/>
        <w:gridCol w:w="1091"/>
        <w:gridCol w:w="113"/>
        <w:gridCol w:w="109"/>
        <w:gridCol w:w="109"/>
        <w:gridCol w:w="109"/>
        <w:gridCol w:w="158"/>
        <w:gridCol w:w="158"/>
        <w:gridCol w:w="1550"/>
        <w:gridCol w:w="160"/>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781"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YEAR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SUMMARY</w:t>
              <w:br/>
              <w:t>COMPENSATION</w:t>
              <w:br/>
              <w:t>TABLE TOTAL</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0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EXCLUSION OF</w:t>
              <w:br/>
              <w:t>STOCK AWARDS</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INCLUSION OF</w:t>
              <w:br/>
              <w:t>EQUITY VALUES</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COMPENSATION</w:t>
              <w:br/>
              <w:t>ACTUALLY PAID</w:t>
              <w:br/>
              <w:t>TO PEO</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127" w:type="dxa"/>
            </w:tcMar>
            <w:vAlign w:val="center"/>
          </w:tcPr>
          <w:p>
            <w:pPr>
              <w:pStyle w:val="TableContents"/>
              <w:bidi w:val="0"/>
              <w:spacing w:before="0" w:after="283"/>
              <w:jc w:val="left"/>
              <w:rPr/>
            </w:pPr>
            <w:r>
              <w:rPr/>
              <w:t xml:space="preserve">2025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127" w:type="dxa"/>
            </w:tcMar>
            <w:vAlign w:val="center"/>
          </w:tcPr>
          <w:p>
            <w:pPr>
              <w:pStyle w:val="TableContents"/>
              <w:bidi w:val="0"/>
              <w:spacing w:before="0" w:after="283"/>
              <w:jc w:val="right"/>
              <w:rPr/>
            </w:pPr>
            <w:r>
              <w:rPr/>
              <w:t>​</w:t>
            </w:r>
          </w:p>
        </w:tc>
        <w:tc>
          <w:tcPr>
            <w:tcW w:w="1550" w:type="dxa"/>
            <w:tcBorders>
              <w:bottom w:val="single" w:sz="2" w:space="0" w:color="BFBFBF"/>
            </w:tcBorders>
            <w:tcMar>
              <w:bottom w:w="127" w:type="dxa"/>
            </w:tcMar>
            <w:vAlign w:val="center"/>
          </w:tcPr>
          <w:p>
            <w:pPr>
              <w:pStyle w:val="TableContents"/>
              <w:bidi w:val="0"/>
              <w:spacing w:before="0" w:after="283"/>
              <w:jc w:val="right"/>
              <w:rPr/>
            </w:pPr>
            <w:r>
              <w:rPr/>
              <w:t>2,930,288</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7" w:type="dxa"/>
            <w:tcBorders>
              <w:bottom w:val="single" w:sz="2" w:space="0" w:color="BFBFBF"/>
            </w:tcBorders>
            <w:vAlign w:val="center"/>
          </w:tcPr>
          <w:p>
            <w:pPr>
              <w:pStyle w:val="TableContents"/>
              <w:bidi w:val="0"/>
              <w:spacing w:before="0" w:after="283"/>
              <w:jc w:val="left"/>
              <w:rPr/>
            </w:pPr>
            <w:r>
              <w:rPr/>
              <w:t>​</w:t>
            </w:r>
          </w:p>
        </w:tc>
        <w:tc>
          <w:tcPr>
            <w:tcW w:w="127" w:type="dxa"/>
            <w:tcBorders>
              <w:bottom w:val="single" w:sz="2" w:space="0" w:color="BFBFBF"/>
            </w:tcBorders>
            <w:tcMar>
              <w:bottom w:w="127" w:type="dxa"/>
            </w:tcMar>
            <w:vAlign w:val="center"/>
          </w:tcPr>
          <w:p>
            <w:pPr>
              <w:pStyle w:val="TableContents"/>
              <w:bidi w:val="0"/>
              <w:spacing w:before="0" w:after="283"/>
              <w:jc w:val="right"/>
              <w:rPr/>
            </w:pPr>
            <w:r>
              <w:rPr/>
              <w:t>​</w:t>
            </w:r>
          </w:p>
        </w:tc>
        <w:tc>
          <w:tcPr>
            <w:tcW w:w="1119" w:type="dxa"/>
            <w:tcBorders>
              <w:bottom w:val="single" w:sz="2" w:space="0" w:color="BFBFBF"/>
            </w:tcBorders>
            <w:tcMar>
              <w:bottom w:w="127" w:type="dxa"/>
            </w:tcMar>
            <w:vAlign w:val="center"/>
          </w:tcPr>
          <w:p>
            <w:pPr>
              <w:pStyle w:val="TableContents"/>
              <w:bidi w:val="0"/>
              <w:spacing w:before="0" w:after="283"/>
              <w:jc w:val="right"/>
              <w:rPr/>
            </w:pPr>
            <w:r>
              <w:rPr/>
              <w:t>(966,618)</w:t>
            </w:r>
          </w:p>
        </w:tc>
        <w:tc>
          <w:tcPr>
            <w:tcW w:w="12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1" w:type="dxa"/>
            <w:tcBorders>
              <w:bottom w:val="single" w:sz="2" w:space="0" w:color="BFBFBF"/>
            </w:tcBorders>
            <w:vAlign w:val="center"/>
          </w:tcPr>
          <w:p>
            <w:pPr>
              <w:pStyle w:val="TableContents"/>
              <w:bidi w:val="0"/>
              <w:spacing w:before="0" w:after="283"/>
              <w:jc w:val="left"/>
              <w:rPr/>
            </w:pPr>
            <w:r>
              <w:rPr/>
              <w:t>​</w:t>
            </w:r>
          </w:p>
        </w:tc>
        <w:tc>
          <w:tcPr>
            <w:tcW w:w="111" w:type="dxa"/>
            <w:tcBorders>
              <w:bottom w:val="single" w:sz="2" w:space="0" w:color="BFBFBF"/>
            </w:tcBorders>
            <w:tcMar>
              <w:bottom w:w="127" w:type="dxa"/>
            </w:tcMar>
            <w:vAlign w:val="center"/>
          </w:tcPr>
          <w:p>
            <w:pPr>
              <w:pStyle w:val="TableContents"/>
              <w:bidi w:val="0"/>
              <w:spacing w:before="0" w:after="283"/>
              <w:jc w:val="right"/>
              <w:rPr/>
            </w:pPr>
            <w:r>
              <w:rPr/>
              <w:t>​</w:t>
            </w:r>
          </w:p>
        </w:tc>
        <w:tc>
          <w:tcPr>
            <w:tcW w:w="1091" w:type="dxa"/>
            <w:tcBorders>
              <w:bottom w:val="single" w:sz="2" w:space="0" w:color="BFBFBF"/>
            </w:tcBorders>
            <w:tcMar>
              <w:bottom w:w="127" w:type="dxa"/>
            </w:tcMar>
            <w:vAlign w:val="center"/>
          </w:tcPr>
          <w:p>
            <w:pPr>
              <w:pStyle w:val="TableContents"/>
              <w:bidi w:val="0"/>
              <w:spacing w:before="0" w:after="283"/>
              <w:jc w:val="right"/>
              <w:rPr/>
            </w:pPr>
            <w:r>
              <w:rPr/>
              <w:t>1,768,286</w:t>
            </w:r>
          </w:p>
        </w:tc>
        <w:tc>
          <w:tcPr>
            <w:tcW w:w="11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127" w:type="dxa"/>
            </w:tcMar>
            <w:vAlign w:val="center"/>
          </w:tcPr>
          <w:p>
            <w:pPr>
              <w:pStyle w:val="TableContents"/>
              <w:bidi w:val="0"/>
              <w:spacing w:before="0" w:after="283"/>
              <w:jc w:val="right"/>
              <w:rPr/>
            </w:pPr>
            <w:r>
              <w:rPr/>
              <w:t>​</w:t>
            </w:r>
          </w:p>
        </w:tc>
        <w:tc>
          <w:tcPr>
            <w:tcW w:w="1550" w:type="dxa"/>
            <w:tcBorders>
              <w:bottom w:val="single" w:sz="2" w:space="0" w:color="BFBFBF"/>
            </w:tcBorders>
            <w:tcMar>
              <w:bottom w:w="127" w:type="dxa"/>
            </w:tcMar>
            <w:vAlign w:val="center"/>
          </w:tcPr>
          <w:p>
            <w:pPr>
              <w:pStyle w:val="TableContents"/>
              <w:bidi w:val="0"/>
              <w:spacing w:before="0" w:after="283"/>
              <w:jc w:val="right"/>
              <w:rPr/>
            </w:pPr>
            <w:r>
              <w:rPr/>
              <w:t>3,731,956</w:t>
            </w:r>
          </w:p>
        </w:tc>
        <w:tc>
          <w:tcPr>
            <w:tcW w:w="160"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39</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2C73"/>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9346" w:type="dxa"/>
        <w:jc w:val="left"/>
        <w:tblInd w:w="920" w:type="dxa"/>
        <w:tblLayout w:type="fixed"/>
        <w:tblCellMar>
          <w:top w:w="0" w:type="dxa"/>
          <w:left w:w="0" w:type="dxa"/>
          <w:bottom w:w="28" w:type="dxa"/>
          <w:right w:w="0" w:type="dxa"/>
        </w:tblCellMar>
      </w:tblPr>
      <w:tblGrid>
        <w:gridCol w:w="124"/>
        <w:gridCol w:w="781"/>
        <w:gridCol w:w="109"/>
        <w:gridCol w:w="109"/>
        <w:gridCol w:w="109"/>
        <w:gridCol w:w="158"/>
        <w:gridCol w:w="158"/>
        <w:gridCol w:w="1550"/>
        <w:gridCol w:w="160"/>
        <w:gridCol w:w="109"/>
        <w:gridCol w:w="109"/>
        <w:gridCol w:w="109"/>
        <w:gridCol w:w="127"/>
        <w:gridCol w:w="127"/>
        <w:gridCol w:w="1119"/>
        <w:gridCol w:w="128"/>
        <w:gridCol w:w="109"/>
        <w:gridCol w:w="109"/>
        <w:gridCol w:w="109"/>
        <w:gridCol w:w="128"/>
        <w:gridCol w:w="128"/>
        <w:gridCol w:w="1041"/>
        <w:gridCol w:w="129"/>
        <w:gridCol w:w="109"/>
        <w:gridCol w:w="109"/>
        <w:gridCol w:w="109"/>
        <w:gridCol w:w="158"/>
        <w:gridCol w:w="158"/>
        <w:gridCol w:w="1550"/>
        <w:gridCol w:w="160"/>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781"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YEAR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AVERAGE</w:t>
              <w:br/>
              <w:t>SUMMARY</w:t>
              <w:br/>
              <w:t>COMPENSATION</w:t>
              <w:br/>
              <w:t>TABLE TOTAL</w:t>
              <w:br/>
              <w:t>FOR NON-PEO NEOS</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0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AVERAGE</w:t>
              <w:br/>
              <w:t>EXCLUSION OF</w:t>
              <w:br/>
              <w:t>STOCK AWARDS</w:t>
              <w:br/>
              <w:t>FOR NON-PEO NEOS</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AVERAGE</w:t>
              <w:br/>
              <w:t>INCLUSION OF</w:t>
              <w:br/>
              <w:t>EQUITY VALUES</w:t>
              <w:br/>
              <w:t>FOR NON-PEO NEOS</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AVERAGE</w:t>
              <w:br/>
              <w:t>COMPENSATION</w:t>
              <w:br/>
              <w:t>ACTUALLY PAID</w:t>
              <w:br/>
              <w:t>TO NON-PEO NEOS</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127" w:type="dxa"/>
            </w:tcMar>
            <w:vAlign w:val="center"/>
          </w:tcPr>
          <w:p>
            <w:pPr>
              <w:pStyle w:val="TableContents"/>
              <w:bidi w:val="0"/>
              <w:spacing w:before="0" w:after="283"/>
              <w:jc w:val="left"/>
              <w:rPr/>
            </w:pPr>
            <w:r>
              <w:rPr/>
              <w:t xml:space="preserve">2025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127" w:type="dxa"/>
            </w:tcMar>
            <w:vAlign w:val="center"/>
          </w:tcPr>
          <w:p>
            <w:pPr>
              <w:pStyle w:val="TableContents"/>
              <w:bidi w:val="0"/>
              <w:spacing w:before="0" w:after="283"/>
              <w:jc w:val="right"/>
              <w:rPr/>
            </w:pPr>
            <w:r>
              <w:rPr/>
              <w:t>​</w:t>
            </w:r>
          </w:p>
        </w:tc>
        <w:tc>
          <w:tcPr>
            <w:tcW w:w="1550" w:type="dxa"/>
            <w:tcBorders>
              <w:bottom w:val="single" w:sz="2" w:space="0" w:color="BFBFBF"/>
            </w:tcBorders>
            <w:tcMar>
              <w:bottom w:w="127" w:type="dxa"/>
            </w:tcMar>
            <w:vAlign w:val="center"/>
          </w:tcPr>
          <w:p>
            <w:pPr>
              <w:pStyle w:val="TableContents"/>
              <w:bidi w:val="0"/>
              <w:spacing w:before="0" w:after="283"/>
              <w:jc w:val="right"/>
              <w:rPr/>
            </w:pPr>
            <w:r>
              <w:rPr/>
              <w:t>1,484,659</w:t>
            </w:r>
          </w:p>
        </w:tc>
        <w:tc>
          <w:tcPr>
            <w:tcW w:w="16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7" w:type="dxa"/>
            <w:tcBorders>
              <w:bottom w:val="single" w:sz="2" w:space="0" w:color="BFBFBF"/>
            </w:tcBorders>
            <w:vAlign w:val="center"/>
          </w:tcPr>
          <w:p>
            <w:pPr>
              <w:pStyle w:val="TableContents"/>
              <w:bidi w:val="0"/>
              <w:spacing w:before="0" w:after="283"/>
              <w:jc w:val="left"/>
              <w:rPr/>
            </w:pPr>
            <w:r>
              <w:rPr/>
              <w:t>​</w:t>
            </w:r>
          </w:p>
        </w:tc>
        <w:tc>
          <w:tcPr>
            <w:tcW w:w="127" w:type="dxa"/>
            <w:tcBorders>
              <w:bottom w:val="single" w:sz="2" w:space="0" w:color="BFBFBF"/>
            </w:tcBorders>
            <w:tcMar>
              <w:bottom w:w="127" w:type="dxa"/>
            </w:tcMar>
            <w:vAlign w:val="center"/>
          </w:tcPr>
          <w:p>
            <w:pPr>
              <w:pStyle w:val="TableContents"/>
              <w:bidi w:val="0"/>
              <w:spacing w:before="0" w:after="283"/>
              <w:jc w:val="right"/>
              <w:rPr/>
            </w:pPr>
            <w:r>
              <w:rPr/>
              <w:t>​</w:t>
            </w:r>
          </w:p>
        </w:tc>
        <w:tc>
          <w:tcPr>
            <w:tcW w:w="1119" w:type="dxa"/>
            <w:tcBorders>
              <w:bottom w:val="single" w:sz="2" w:space="0" w:color="BFBFBF"/>
            </w:tcBorders>
            <w:tcMar>
              <w:bottom w:w="127" w:type="dxa"/>
            </w:tcMar>
            <w:vAlign w:val="center"/>
          </w:tcPr>
          <w:p>
            <w:pPr>
              <w:pStyle w:val="TableContents"/>
              <w:bidi w:val="0"/>
              <w:spacing w:before="0" w:after="283"/>
              <w:jc w:val="right"/>
              <w:rPr/>
            </w:pPr>
            <w:r>
              <w:rPr/>
              <w:t>(440,787)</w:t>
            </w:r>
          </w:p>
        </w:tc>
        <w:tc>
          <w:tcPr>
            <w:tcW w:w="12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8" w:type="dxa"/>
            <w:tcBorders>
              <w:bottom w:val="single" w:sz="2" w:space="0" w:color="BFBFBF"/>
            </w:tcBorders>
            <w:vAlign w:val="center"/>
          </w:tcPr>
          <w:p>
            <w:pPr>
              <w:pStyle w:val="TableContents"/>
              <w:bidi w:val="0"/>
              <w:spacing w:before="0" w:after="283"/>
              <w:jc w:val="left"/>
              <w:rPr/>
            </w:pPr>
            <w:r>
              <w:rPr/>
              <w:t>​</w:t>
            </w:r>
          </w:p>
        </w:tc>
        <w:tc>
          <w:tcPr>
            <w:tcW w:w="128" w:type="dxa"/>
            <w:tcBorders>
              <w:bottom w:val="single" w:sz="2" w:space="0" w:color="BFBFBF"/>
            </w:tcBorders>
            <w:tcMar>
              <w:bottom w:w="127" w:type="dxa"/>
            </w:tcMar>
            <w:vAlign w:val="center"/>
          </w:tcPr>
          <w:p>
            <w:pPr>
              <w:pStyle w:val="TableContents"/>
              <w:bidi w:val="0"/>
              <w:spacing w:before="0" w:after="283"/>
              <w:jc w:val="right"/>
              <w:rPr/>
            </w:pPr>
            <w:r>
              <w:rPr/>
              <w:t>​</w:t>
            </w:r>
          </w:p>
        </w:tc>
        <w:tc>
          <w:tcPr>
            <w:tcW w:w="1041" w:type="dxa"/>
            <w:tcBorders>
              <w:bottom w:val="single" w:sz="2" w:space="0" w:color="BFBFBF"/>
            </w:tcBorders>
            <w:tcMar>
              <w:bottom w:w="127" w:type="dxa"/>
            </w:tcMar>
            <w:vAlign w:val="center"/>
          </w:tcPr>
          <w:p>
            <w:pPr>
              <w:pStyle w:val="TableContents"/>
              <w:bidi w:val="0"/>
              <w:spacing w:before="0" w:after="283"/>
              <w:jc w:val="right"/>
              <w:rPr/>
            </w:pPr>
            <w:r>
              <w:rPr/>
              <w:t>568,136</w:t>
            </w:r>
          </w:p>
        </w:tc>
        <w:tc>
          <w:tcPr>
            <w:tcW w:w="12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127" w:type="dxa"/>
            </w:tcMar>
            <w:vAlign w:val="center"/>
          </w:tcPr>
          <w:p>
            <w:pPr>
              <w:pStyle w:val="TableContents"/>
              <w:bidi w:val="0"/>
              <w:spacing w:before="0" w:after="283"/>
              <w:jc w:val="right"/>
              <w:rPr/>
            </w:pPr>
            <w:r>
              <w:rPr/>
              <w:t>​</w:t>
            </w:r>
          </w:p>
        </w:tc>
        <w:tc>
          <w:tcPr>
            <w:tcW w:w="1550" w:type="dxa"/>
            <w:tcBorders>
              <w:bottom w:val="single" w:sz="2" w:space="0" w:color="BFBFBF"/>
            </w:tcBorders>
            <w:tcMar>
              <w:bottom w:w="127" w:type="dxa"/>
            </w:tcMar>
            <w:vAlign w:val="center"/>
          </w:tcPr>
          <w:p>
            <w:pPr>
              <w:pStyle w:val="TableContents"/>
              <w:bidi w:val="0"/>
              <w:spacing w:before="0" w:after="283"/>
              <w:jc w:val="right"/>
              <w:rPr/>
            </w:pPr>
            <w:r>
              <w:rPr/>
              <w:t>1,612,008</w:t>
            </w:r>
          </w:p>
        </w:tc>
        <w:tc>
          <w:tcPr>
            <w:tcW w:w="160"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99" w:after="283"/>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amounts in the Inclusion of Equity Values column in the tables above are derived from the amounts set forth in the following tables:</w:t>
      </w:r>
      <w:r>
        <w:rPr>
          <w:rFonts w:ascii="Arial Narrow;Arial;Helvetica;sans-serif" w:hAnsi="Arial Narrow;Arial;Helvetica;sans-serif"/>
          <w:b w:val="false"/>
          <w:i w:val="false"/>
          <w:caps w:val="false"/>
          <w:smallCaps w:val="false"/>
          <w:color w:val="000000"/>
          <w:spacing w:val="4"/>
          <w:sz w:val="19"/>
        </w:rPr>
        <w:t xml:space="preserve"> </w:t>
      </w:r>
    </w:p>
    <w:tbl>
      <w:tblPr>
        <w:tblW w:w="13840" w:type="dxa"/>
        <w:jc w:val="left"/>
        <w:tblInd w:w="920" w:type="dxa"/>
        <w:tblLayout w:type="fixed"/>
        <w:tblCellMar>
          <w:top w:w="0" w:type="dxa"/>
          <w:left w:w="0" w:type="dxa"/>
          <w:bottom w:w="28" w:type="dxa"/>
          <w:right w:w="0" w:type="dxa"/>
        </w:tblCellMar>
      </w:tblPr>
      <w:tblGrid>
        <w:gridCol w:w="124"/>
        <w:gridCol w:w="781"/>
        <w:gridCol w:w="109"/>
        <w:gridCol w:w="109"/>
        <w:gridCol w:w="109"/>
        <w:gridCol w:w="110"/>
        <w:gridCol w:w="110"/>
        <w:gridCol w:w="1079"/>
        <w:gridCol w:w="112"/>
        <w:gridCol w:w="109"/>
        <w:gridCol w:w="109"/>
        <w:gridCol w:w="109"/>
        <w:gridCol w:w="140"/>
        <w:gridCol w:w="140"/>
        <w:gridCol w:w="988"/>
        <w:gridCol w:w="143"/>
        <w:gridCol w:w="109"/>
        <w:gridCol w:w="109"/>
        <w:gridCol w:w="109"/>
        <w:gridCol w:w="306"/>
        <w:gridCol w:w="306"/>
        <w:gridCol w:w="972"/>
        <w:gridCol w:w="307"/>
        <w:gridCol w:w="109"/>
        <w:gridCol w:w="109"/>
        <w:gridCol w:w="109"/>
        <w:gridCol w:w="158"/>
        <w:gridCol w:w="158"/>
        <w:gridCol w:w="936"/>
        <w:gridCol w:w="159"/>
        <w:gridCol w:w="109"/>
        <w:gridCol w:w="109"/>
        <w:gridCol w:w="109"/>
        <w:gridCol w:w="230"/>
        <w:gridCol w:w="230"/>
        <w:gridCol w:w="733"/>
        <w:gridCol w:w="233"/>
        <w:gridCol w:w="109"/>
        <w:gridCol w:w="109"/>
        <w:gridCol w:w="109"/>
        <w:gridCol w:w="245"/>
        <w:gridCol w:w="245"/>
        <w:gridCol w:w="779"/>
        <w:gridCol w:w="247"/>
        <w:gridCol w:w="109"/>
        <w:gridCol w:w="109"/>
        <w:gridCol w:w="109"/>
        <w:gridCol w:w="111"/>
        <w:gridCol w:w="111"/>
        <w:gridCol w:w="1091"/>
        <w:gridCol w:w="113"/>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781"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YEAR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YEAR-END</w:t>
              <w:br/>
              <w:t xml:space="preserve">FAIR VALUE </w:t>
              <w:br/>
              <w:t>OF EQUITY</w:t>
              <w:br/>
              <w:t>AWARDS</w:t>
              <w:br/>
              <w:t>GRANTED</w:t>
              <w:br/>
              <w:t>DURING</w:t>
              <w:br/>
              <w:t>YEAR THAT</w:t>
              <w:br/>
              <w:t>REMAINED</w:t>
              <w:br/>
              <w:t>UNVESTED</w:t>
              <w:br/>
              <w:t xml:space="preserve">AS OF LAST </w:t>
              <w:br/>
              <w:t>DAY OF YEAR</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CHANGE IN</w:t>
              <w:br/>
              <w:t>FAIR VALUE</w:t>
              <w:br/>
              <w:t>AS OF LAST</w:t>
              <w:br/>
              <w:t>DAY OF YEAR</w:t>
              <w:br/>
              <w:t>(FROM</w:t>
              <w:br/>
              <w:t>LAST DAY</w:t>
              <w:br/>
              <w:t>OF PRIOR</w:t>
              <w:br/>
              <w:t>YEAR) OF</w:t>
              <w:br/>
              <w:t>UNVESTED</w:t>
              <w:br/>
              <w:t>EQUITY</w:t>
              <w:br/>
              <w:t>AWARDS</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9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VESTING-DATE</w:t>
              <w:br/>
              <w:t>FAIR VALUE</w:t>
              <w:br/>
              <w:t>OF EQUITY</w:t>
              <w:br/>
              <w:t>AWARDS</w:t>
              <w:br/>
              <w:t>GRANTED</w:t>
              <w:br/>
              <w:t>DURING</w:t>
              <w:br/>
              <w:t>YEAR</w:t>
              <w:br/>
              <w:t>THAT</w:t>
              <w:br/>
              <w:t>VESTED</w:t>
              <w:br/>
              <w:t>DURING</w:t>
              <w:br/>
              <w:t>YEAR</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CHANGE IN</w:t>
              <w:br/>
              <w:t>FAIR VALUE</w:t>
              <w:br/>
              <w:t>AS OF VESTING</w:t>
              <w:br/>
              <w:t>DATE</w:t>
              <w:br/>
              <w:t>(FROM LAST DAY</w:t>
              <w:br/>
              <w:t>OF PRIOR YEAR)</w:t>
              <w:br/>
              <w:t>OF UNVESTED</w:t>
              <w:br/>
              <w:t>EQUITY</w:t>
              <w:br/>
              <w:t>AWARDS</w:t>
              <w:br/>
              <w:t>THAT VESTED</w:t>
              <w:br/>
              <w:t>DURING YEAR</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LESS</w:t>
              <w:br/>
              <w:t>FAIR</w:t>
              <w:br/>
              <w:t>VALUE</w:t>
              <w:br/>
              <w:t>AT LAST</w:t>
              <w:br/>
              <w:t>DAY</w:t>
              <w:br/>
              <w:t>OF PRIOR</w:t>
              <w:br/>
              <w:t>YEAR OF</w:t>
              <w:br/>
              <w:t>EQUITY</w:t>
              <w:br/>
              <w:t>AWARDS</w:t>
              <w:br/>
              <w:t>FORFEITED</w:t>
              <w:br/>
              <w:t>DURING</w:t>
              <w:br/>
              <w:t>YEAR</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1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VALUE OF</w:t>
              <w:br/>
              <w:t>DIVIDENDS OR</w:t>
              <w:br/>
              <w:t>OTHER</w:t>
              <w:br/>
              <w:t>EARNINGS</w:t>
              <w:br/>
              <w:t>PAID ON</w:t>
              <w:br/>
              <w:t>EQUITY</w:t>
              <w:br/>
              <w:t>AWARDS</w:t>
              <w:br/>
              <w:t>PRIOR TO</w:t>
              <w:br/>
              <w:t>VESTING NOT</w:t>
              <w:br/>
              <w:t>OTHERWISE</w:t>
              <w:br/>
              <w:t>INCLUDED</w:t>
              <w:br/>
              <w:t>FOR PEO</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TOTAL —</w:t>
              <w:br/>
              <w:t>INCLUSION</w:t>
              <w:br/>
              <w:t>OF</w:t>
              <w:br/>
              <w:t>EQUITY</w:t>
              <w:br/>
              <w:t>VALUES</w:t>
              <w:br/>
              <w:t>FOR PEO</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127" w:type="dxa"/>
            </w:tcMar>
            <w:vAlign w:val="center"/>
          </w:tcPr>
          <w:p>
            <w:pPr>
              <w:pStyle w:val="TableContents"/>
              <w:bidi w:val="0"/>
              <w:spacing w:before="0" w:after="283"/>
              <w:jc w:val="left"/>
              <w:rPr/>
            </w:pPr>
            <w:r>
              <w:rPr/>
              <w:t xml:space="preserve">2025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vAlign w:val="center"/>
          </w:tcPr>
          <w:p>
            <w:pPr>
              <w:pStyle w:val="TableContents"/>
              <w:bidi w:val="0"/>
              <w:spacing w:before="0" w:after="283"/>
              <w:jc w:val="left"/>
              <w:rPr/>
            </w:pPr>
            <w:r>
              <w:rPr/>
              <w:t>​</w:t>
            </w:r>
          </w:p>
        </w:tc>
        <w:tc>
          <w:tcPr>
            <w:tcW w:w="110" w:type="dxa"/>
            <w:tcBorders>
              <w:bottom w:val="single" w:sz="2" w:space="0" w:color="BFBFBF"/>
            </w:tcBorders>
            <w:tcMar>
              <w:bottom w:w="127" w:type="dxa"/>
            </w:tcMar>
            <w:vAlign w:val="center"/>
          </w:tcPr>
          <w:p>
            <w:pPr>
              <w:pStyle w:val="TableContents"/>
              <w:bidi w:val="0"/>
              <w:spacing w:before="0" w:after="283"/>
              <w:jc w:val="right"/>
              <w:rPr/>
            </w:pPr>
            <w:r>
              <w:rPr/>
              <w:t>​</w:t>
            </w:r>
          </w:p>
        </w:tc>
        <w:tc>
          <w:tcPr>
            <w:tcW w:w="1079" w:type="dxa"/>
            <w:tcBorders>
              <w:bottom w:val="single" w:sz="2" w:space="0" w:color="BFBFBF"/>
            </w:tcBorders>
            <w:tcMar>
              <w:bottom w:w="127" w:type="dxa"/>
            </w:tcMar>
            <w:vAlign w:val="center"/>
          </w:tcPr>
          <w:p>
            <w:pPr>
              <w:pStyle w:val="TableContents"/>
              <w:bidi w:val="0"/>
              <w:spacing w:before="0" w:after="283"/>
              <w:jc w:val="right"/>
              <w:rPr/>
            </w:pPr>
            <w:r>
              <w:rPr/>
              <w:t>1,683,342</w:t>
            </w:r>
          </w:p>
        </w:tc>
        <w:tc>
          <w:tcPr>
            <w:tcW w:w="11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0" w:type="dxa"/>
            <w:tcBorders>
              <w:bottom w:val="single" w:sz="2" w:space="0" w:color="BFBFBF"/>
            </w:tcBorders>
            <w:vAlign w:val="center"/>
          </w:tcPr>
          <w:p>
            <w:pPr>
              <w:pStyle w:val="TableContents"/>
              <w:bidi w:val="0"/>
              <w:spacing w:before="0" w:after="283"/>
              <w:jc w:val="left"/>
              <w:rPr/>
            </w:pPr>
            <w:r>
              <w:rPr/>
              <w:t>​</w:t>
            </w:r>
          </w:p>
        </w:tc>
        <w:tc>
          <w:tcPr>
            <w:tcW w:w="140" w:type="dxa"/>
            <w:tcBorders>
              <w:bottom w:val="single" w:sz="2" w:space="0" w:color="BFBFBF"/>
            </w:tcBorders>
            <w:tcMar>
              <w:bottom w:w="127" w:type="dxa"/>
            </w:tcMar>
            <w:vAlign w:val="center"/>
          </w:tcPr>
          <w:p>
            <w:pPr>
              <w:pStyle w:val="TableContents"/>
              <w:bidi w:val="0"/>
              <w:spacing w:before="0" w:after="283"/>
              <w:jc w:val="right"/>
              <w:rPr/>
            </w:pPr>
            <w:r>
              <w:rPr/>
              <w:t>​</w:t>
            </w:r>
          </w:p>
        </w:tc>
        <w:tc>
          <w:tcPr>
            <w:tcW w:w="988" w:type="dxa"/>
            <w:tcBorders>
              <w:bottom w:val="single" w:sz="2" w:space="0" w:color="BFBFBF"/>
            </w:tcBorders>
            <w:tcMar>
              <w:bottom w:w="127" w:type="dxa"/>
            </w:tcMar>
            <w:vAlign w:val="center"/>
          </w:tcPr>
          <w:p>
            <w:pPr>
              <w:pStyle w:val="TableContents"/>
              <w:bidi w:val="0"/>
              <w:spacing w:before="0" w:after="283"/>
              <w:jc w:val="right"/>
              <w:rPr/>
            </w:pPr>
            <w:r>
              <w:rPr/>
              <w:t>81,353</w:t>
            </w:r>
          </w:p>
        </w:tc>
        <w:tc>
          <w:tcPr>
            <w:tcW w:w="14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6" w:type="dxa"/>
            <w:tcBorders>
              <w:bottom w:val="single" w:sz="2" w:space="0" w:color="BFBFBF"/>
            </w:tcBorders>
            <w:vAlign w:val="center"/>
          </w:tcPr>
          <w:p>
            <w:pPr>
              <w:pStyle w:val="TableContents"/>
              <w:bidi w:val="0"/>
              <w:spacing w:before="0" w:after="283"/>
              <w:jc w:val="left"/>
              <w:rPr/>
            </w:pPr>
            <w:r>
              <w:rPr/>
              <w:t>​</w:t>
            </w:r>
          </w:p>
        </w:tc>
        <w:tc>
          <w:tcPr>
            <w:tcW w:w="306" w:type="dxa"/>
            <w:tcBorders>
              <w:bottom w:val="single" w:sz="2" w:space="0" w:color="BFBFBF"/>
            </w:tcBorders>
            <w:tcMar>
              <w:bottom w:w="127" w:type="dxa"/>
            </w:tcMar>
            <w:vAlign w:val="center"/>
          </w:tcPr>
          <w:p>
            <w:pPr>
              <w:pStyle w:val="TableContents"/>
              <w:bidi w:val="0"/>
              <w:spacing w:before="0" w:after="283"/>
              <w:jc w:val="right"/>
              <w:rPr/>
            </w:pPr>
            <w:r>
              <w:rPr/>
              <w:t>​</w:t>
            </w:r>
          </w:p>
        </w:tc>
        <w:tc>
          <w:tcPr>
            <w:tcW w:w="972" w:type="dxa"/>
            <w:tcBorders>
              <w:bottom w:val="single" w:sz="2" w:space="0" w:color="BFBFBF"/>
            </w:tcBorders>
            <w:tcMar>
              <w:bottom w:w="127" w:type="dxa"/>
            </w:tcMar>
            <w:vAlign w:val="center"/>
          </w:tcPr>
          <w:p>
            <w:pPr>
              <w:pStyle w:val="TableContents"/>
              <w:bidi w:val="0"/>
              <w:spacing w:before="0" w:after="283"/>
              <w:jc w:val="right"/>
              <w:rPr/>
            </w:pPr>
            <w:r>
              <w:rPr/>
              <w:t>—</w:t>
            </w:r>
          </w:p>
        </w:tc>
        <w:tc>
          <w:tcPr>
            <w:tcW w:w="30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127" w:type="dxa"/>
            </w:tcMar>
            <w:vAlign w:val="center"/>
          </w:tcPr>
          <w:p>
            <w:pPr>
              <w:pStyle w:val="TableContents"/>
              <w:bidi w:val="0"/>
              <w:spacing w:before="0" w:after="283"/>
              <w:jc w:val="right"/>
              <w:rPr/>
            </w:pPr>
            <w:r>
              <w:rPr/>
              <w:t>​</w:t>
            </w:r>
          </w:p>
        </w:tc>
        <w:tc>
          <w:tcPr>
            <w:tcW w:w="936" w:type="dxa"/>
            <w:tcBorders>
              <w:bottom w:val="single" w:sz="2" w:space="0" w:color="BFBFBF"/>
            </w:tcBorders>
            <w:tcMar>
              <w:bottom w:w="127" w:type="dxa"/>
            </w:tcMar>
            <w:vAlign w:val="center"/>
          </w:tcPr>
          <w:p>
            <w:pPr>
              <w:pStyle w:val="TableContents"/>
              <w:bidi w:val="0"/>
              <w:spacing w:before="0" w:after="283"/>
              <w:jc w:val="right"/>
              <w:rPr/>
            </w:pPr>
            <w:r>
              <w:rPr/>
              <w:t>3,591</w:t>
            </w:r>
          </w:p>
        </w:tc>
        <w:tc>
          <w:tcPr>
            <w:tcW w:w="15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0" w:type="dxa"/>
            <w:tcBorders>
              <w:bottom w:val="single" w:sz="2" w:space="0" w:color="BFBFBF"/>
            </w:tcBorders>
            <w:vAlign w:val="center"/>
          </w:tcPr>
          <w:p>
            <w:pPr>
              <w:pStyle w:val="TableContents"/>
              <w:bidi w:val="0"/>
              <w:spacing w:before="0" w:after="283"/>
              <w:jc w:val="left"/>
              <w:rPr/>
            </w:pPr>
            <w:r>
              <w:rPr/>
              <w:t>​</w:t>
            </w:r>
          </w:p>
        </w:tc>
        <w:tc>
          <w:tcPr>
            <w:tcW w:w="230" w:type="dxa"/>
            <w:tcBorders>
              <w:bottom w:val="single" w:sz="2" w:space="0" w:color="BFBFBF"/>
            </w:tcBorders>
            <w:tcMar>
              <w:bottom w:w="127" w:type="dxa"/>
            </w:tcMar>
            <w:vAlign w:val="center"/>
          </w:tcPr>
          <w:p>
            <w:pPr>
              <w:pStyle w:val="TableContents"/>
              <w:bidi w:val="0"/>
              <w:spacing w:before="0" w:after="283"/>
              <w:jc w:val="right"/>
              <w:rPr/>
            </w:pPr>
            <w:r>
              <w:rPr/>
              <w:t>​</w:t>
            </w:r>
          </w:p>
        </w:tc>
        <w:tc>
          <w:tcPr>
            <w:tcW w:w="733" w:type="dxa"/>
            <w:tcBorders>
              <w:bottom w:val="single" w:sz="2" w:space="0" w:color="BFBFBF"/>
            </w:tcBorders>
            <w:tcMar>
              <w:bottom w:w="127" w:type="dxa"/>
            </w:tcMar>
            <w:vAlign w:val="center"/>
          </w:tcPr>
          <w:p>
            <w:pPr>
              <w:pStyle w:val="TableContents"/>
              <w:bidi w:val="0"/>
              <w:spacing w:before="0" w:after="283"/>
              <w:jc w:val="right"/>
              <w:rPr/>
            </w:pPr>
            <w:r>
              <w:rPr/>
              <w:t>—</w:t>
            </w:r>
          </w:p>
        </w:tc>
        <w:tc>
          <w:tcPr>
            <w:tcW w:w="2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5" w:type="dxa"/>
            <w:tcBorders>
              <w:bottom w:val="single" w:sz="2" w:space="0" w:color="BFBFBF"/>
            </w:tcBorders>
            <w:vAlign w:val="center"/>
          </w:tcPr>
          <w:p>
            <w:pPr>
              <w:pStyle w:val="TableContents"/>
              <w:bidi w:val="0"/>
              <w:spacing w:before="0" w:after="283"/>
              <w:jc w:val="left"/>
              <w:rPr/>
            </w:pPr>
            <w:r>
              <w:rPr/>
              <w:t>​</w:t>
            </w:r>
          </w:p>
        </w:tc>
        <w:tc>
          <w:tcPr>
            <w:tcW w:w="245" w:type="dxa"/>
            <w:tcBorders>
              <w:bottom w:val="single" w:sz="2" w:space="0" w:color="BFBFBF"/>
            </w:tcBorders>
            <w:tcMar>
              <w:bottom w:w="127" w:type="dxa"/>
            </w:tcMar>
            <w:vAlign w:val="center"/>
          </w:tcPr>
          <w:p>
            <w:pPr>
              <w:pStyle w:val="TableContents"/>
              <w:bidi w:val="0"/>
              <w:spacing w:before="0" w:after="283"/>
              <w:jc w:val="right"/>
              <w:rPr/>
            </w:pPr>
            <w:r>
              <w:rPr/>
              <w:t>​</w:t>
            </w:r>
          </w:p>
        </w:tc>
        <w:tc>
          <w:tcPr>
            <w:tcW w:w="779" w:type="dxa"/>
            <w:tcBorders>
              <w:bottom w:val="single" w:sz="2" w:space="0" w:color="BFBFBF"/>
            </w:tcBorders>
            <w:tcMar>
              <w:bottom w:w="127" w:type="dxa"/>
            </w:tcMar>
            <w:vAlign w:val="center"/>
          </w:tcPr>
          <w:p>
            <w:pPr>
              <w:pStyle w:val="TableContents"/>
              <w:bidi w:val="0"/>
              <w:spacing w:before="0" w:after="283"/>
              <w:jc w:val="right"/>
              <w:rPr/>
            </w:pPr>
            <w:r>
              <w:rPr/>
              <w:t>—</w:t>
            </w:r>
          </w:p>
        </w:tc>
        <w:tc>
          <w:tcPr>
            <w:tcW w:w="24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1" w:type="dxa"/>
            <w:tcBorders>
              <w:bottom w:val="single" w:sz="2" w:space="0" w:color="BFBFBF"/>
            </w:tcBorders>
            <w:vAlign w:val="center"/>
          </w:tcPr>
          <w:p>
            <w:pPr>
              <w:pStyle w:val="TableContents"/>
              <w:bidi w:val="0"/>
              <w:spacing w:before="0" w:after="283"/>
              <w:jc w:val="left"/>
              <w:rPr/>
            </w:pPr>
            <w:r>
              <w:rPr/>
              <w:t>​</w:t>
            </w:r>
          </w:p>
        </w:tc>
        <w:tc>
          <w:tcPr>
            <w:tcW w:w="111" w:type="dxa"/>
            <w:tcBorders>
              <w:bottom w:val="single" w:sz="2" w:space="0" w:color="BFBFBF"/>
            </w:tcBorders>
            <w:tcMar>
              <w:bottom w:w="127" w:type="dxa"/>
            </w:tcMar>
            <w:vAlign w:val="center"/>
          </w:tcPr>
          <w:p>
            <w:pPr>
              <w:pStyle w:val="TableContents"/>
              <w:bidi w:val="0"/>
              <w:spacing w:before="0" w:after="283"/>
              <w:jc w:val="right"/>
              <w:rPr/>
            </w:pPr>
            <w:r>
              <w:rPr/>
              <w:t>​</w:t>
            </w:r>
          </w:p>
        </w:tc>
        <w:tc>
          <w:tcPr>
            <w:tcW w:w="1091" w:type="dxa"/>
            <w:tcBorders>
              <w:bottom w:val="single" w:sz="2" w:space="0" w:color="BFBFBF"/>
            </w:tcBorders>
            <w:tcMar>
              <w:bottom w:w="127" w:type="dxa"/>
            </w:tcMar>
            <w:vAlign w:val="center"/>
          </w:tcPr>
          <w:p>
            <w:pPr>
              <w:pStyle w:val="TableContents"/>
              <w:bidi w:val="0"/>
              <w:spacing w:before="0" w:after="283"/>
              <w:jc w:val="right"/>
              <w:rPr/>
            </w:pPr>
            <w:r>
              <w:rPr/>
              <w:t>1,768,286</w:t>
            </w:r>
          </w:p>
        </w:tc>
        <w:tc>
          <w:tcPr>
            <w:tcW w:w="113"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tbl>
      <w:tblPr>
        <w:tblW w:w="13840" w:type="dxa"/>
        <w:jc w:val="left"/>
        <w:tblInd w:w="920" w:type="dxa"/>
        <w:tblLayout w:type="fixed"/>
        <w:tblCellMar>
          <w:top w:w="0" w:type="dxa"/>
          <w:left w:w="0" w:type="dxa"/>
          <w:bottom w:w="28" w:type="dxa"/>
          <w:right w:w="0" w:type="dxa"/>
        </w:tblCellMar>
      </w:tblPr>
      <w:tblGrid>
        <w:gridCol w:w="124"/>
        <w:gridCol w:w="781"/>
        <w:gridCol w:w="109"/>
        <w:gridCol w:w="109"/>
        <w:gridCol w:w="109"/>
        <w:gridCol w:w="126"/>
        <w:gridCol w:w="126"/>
        <w:gridCol w:w="1030"/>
        <w:gridCol w:w="129"/>
        <w:gridCol w:w="109"/>
        <w:gridCol w:w="109"/>
        <w:gridCol w:w="109"/>
        <w:gridCol w:w="140"/>
        <w:gridCol w:w="140"/>
        <w:gridCol w:w="988"/>
        <w:gridCol w:w="143"/>
        <w:gridCol w:w="109"/>
        <w:gridCol w:w="109"/>
        <w:gridCol w:w="109"/>
        <w:gridCol w:w="188"/>
        <w:gridCol w:w="188"/>
        <w:gridCol w:w="1325"/>
        <w:gridCol w:w="190"/>
        <w:gridCol w:w="109"/>
        <w:gridCol w:w="109"/>
        <w:gridCol w:w="109"/>
        <w:gridCol w:w="158"/>
        <w:gridCol w:w="158"/>
        <w:gridCol w:w="936"/>
        <w:gridCol w:w="159"/>
        <w:gridCol w:w="109"/>
        <w:gridCol w:w="109"/>
        <w:gridCol w:w="109"/>
        <w:gridCol w:w="133"/>
        <w:gridCol w:w="133"/>
        <w:gridCol w:w="1026"/>
        <w:gridCol w:w="134"/>
        <w:gridCol w:w="109"/>
        <w:gridCol w:w="109"/>
        <w:gridCol w:w="109"/>
        <w:gridCol w:w="245"/>
        <w:gridCol w:w="245"/>
        <w:gridCol w:w="779"/>
        <w:gridCol w:w="247"/>
        <w:gridCol w:w="109"/>
        <w:gridCol w:w="109"/>
        <w:gridCol w:w="109"/>
        <w:gridCol w:w="128"/>
        <w:gridCol w:w="128"/>
        <w:gridCol w:w="1041"/>
        <w:gridCol w:w="12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781"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YEAR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AVERAGE</w:t>
              <w:br/>
              <w:t>YEAR-END</w:t>
              <w:br/>
              <w:t>FAIR VALUE</w:t>
              <w:br/>
              <w:t>OF EQUITY</w:t>
              <w:br/>
              <w:t>AWARDS</w:t>
              <w:br/>
              <w:t>GRANTED</w:t>
              <w:br/>
              <w:t>DURING</w:t>
              <w:br/>
              <w:t>YEAR THAT</w:t>
              <w:br/>
              <w:t>REMAINED</w:t>
              <w:br/>
              <w:t>UNVESTED</w:t>
              <w:br/>
              <w:t>AS OF LAST</w:t>
              <w:br/>
              <w:t xml:space="preserve">DAY OF YEAR </w:t>
              <w:br/>
              <w:t xml:space="preserve">FOR NON-PEO </w:t>
              <w:br/>
              <w:t xml:space="preserve">NEOS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AVERAGE</w:t>
              <w:br/>
              <w:t>CHANGE IN</w:t>
              <w:br/>
              <w:t>FAIR VALUE</w:t>
              <w:br/>
              <w:t>AS OF LAST</w:t>
              <w:br/>
              <w:t>DAY OF YEAR</w:t>
              <w:br/>
              <w:t>(FROM LAST</w:t>
              <w:br/>
              <w:t>DAY OF</w:t>
              <w:br/>
              <w:t>PRIOR YEAR)</w:t>
              <w:br/>
              <w:t>OF UNVESTED</w:t>
              <w:br/>
              <w:t>EQUITY</w:t>
              <w:br/>
              <w:t xml:space="preserve">AWARDS </w:t>
              <w:br/>
              <w:t xml:space="preserve">FOR NON-PEO </w:t>
              <w:br/>
              <w:t xml:space="preserve">NEOS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9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AVERAGE</w:t>
              <w:br/>
              <w:t>VESTING-DATE FAIR</w:t>
              <w:br/>
              <w:t>VALUE OF</w:t>
              <w:br/>
              <w:t>EQUITY</w:t>
              <w:br/>
              <w:t>AWARDS</w:t>
              <w:br/>
              <w:t>GRANTED</w:t>
              <w:br/>
              <w:t>DURING</w:t>
              <w:br/>
              <w:t>YEAR THAT</w:t>
              <w:br/>
              <w:t>VESTED</w:t>
              <w:br/>
              <w:t xml:space="preserve">DURING YEAR </w:t>
              <w:br/>
              <w:t xml:space="preserve">FOR NON-PEO </w:t>
              <w:br/>
              <w:t xml:space="preserve">NEOS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1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AVERAGE</w:t>
              <w:br/>
              <w:t>CHANGE IN</w:t>
              <w:br/>
              <w:t>FAIR VALUE</w:t>
              <w:br/>
              <w:t>AS OF</w:t>
              <w:br/>
              <w:t>VESTING</w:t>
              <w:br/>
              <w:t>DATE (FROM</w:t>
              <w:br/>
              <w:t>LAST DAY OF</w:t>
              <w:br/>
              <w:t>PRIOR YEAR)</w:t>
              <w:br/>
              <w:t>OF UNVESTED</w:t>
              <w:br/>
              <w:t>EQUITY</w:t>
              <w:br/>
              <w:t xml:space="preserve">AWARDS </w:t>
              <w:br/>
              <w:t xml:space="preserve">THAT VESTED </w:t>
              <w:br/>
              <w:t xml:space="preserve">DURING YEAR </w:t>
              <w:br/>
              <w:t xml:space="preserve">FOR NON-PEO </w:t>
              <w:br/>
              <w:t xml:space="preserve">NEOS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LESS</w:t>
              <w:br/>
              <w:t>AVERAGE</w:t>
              <w:br/>
              <w:t>FAIR VALUE</w:t>
              <w:br/>
              <w:t>AT LAST DAY</w:t>
              <w:br/>
              <w:t>OF PRIOR</w:t>
              <w:br/>
              <w:t>YEAR OF</w:t>
              <w:br/>
              <w:t>EQUITY</w:t>
              <w:br/>
              <w:t>AWARDS</w:t>
              <w:br/>
              <w:t>FORFEITED</w:t>
              <w:br/>
              <w:t>DURING</w:t>
              <w:br/>
              <w:t>YEAR FOR</w:t>
              <w:br/>
              <w:t>NON-PEO</w:t>
              <w:br/>
              <w:t xml:space="preserve">NEOS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51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PLUS</w:t>
              <w:br/>
              <w:t>AVERAGE</w:t>
              <w:br/>
              <w:t>VALUE OF</w:t>
              <w:br/>
              <w:t>DIVIDENDS</w:t>
              <w:br/>
              <w:t>OR OTHER</w:t>
              <w:br/>
              <w:t>EARNINGS</w:t>
              <w:br/>
              <w:t>PAID ON</w:t>
              <w:br/>
              <w:t>EQUITY</w:t>
              <w:br/>
              <w:t>AWARDS</w:t>
              <w:br/>
              <w:t>PRIOR TO</w:t>
              <w:br/>
              <w:t>VESTING NOT</w:t>
              <w:br/>
              <w:t>OTHERWISE</w:t>
              <w:br/>
              <w:t xml:space="preserve">INCLUDED </w:t>
              <w:br/>
              <w:t xml:space="preserve">FOR NON-PEO </w:t>
              <w:br/>
              <w:t xml:space="preserve">NEOS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2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TOTAL —</w:t>
              <w:br/>
              <w:t>AVERAGE</w:t>
              <w:br/>
              <w:t>INCLUSION OF</w:t>
              <w:br/>
              <w:t>EQUITY</w:t>
              <w:br/>
              <w:t>VALUES FOR</w:t>
              <w:br/>
              <w:t>NON-PEO</w:t>
              <w:br/>
              <w:t xml:space="preserve">NEOS </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781" w:type="dxa"/>
            <w:tcBorders>
              <w:bottom w:val="single" w:sz="2" w:space="0" w:color="BFBFBF"/>
            </w:tcBorders>
            <w:tcMar>
              <w:bottom w:w="127" w:type="dxa"/>
            </w:tcMar>
            <w:vAlign w:val="center"/>
          </w:tcPr>
          <w:p>
            <w:pPr>
              <w:pStyle w:val="TableContents"/>
              <w:bidi w:val="0"/>
              <w:spacing w:before="0" w:after="283"/>
              <w:jc w:val="left"/>
              <w:rPr/>
            </w:pPr>
            <w:r>
              <w:rPr/>
              <w:t xml:space="preserve">2025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6" w:type="dxa"/>
            <w:tcBorders>
              <w:bottom w:val="single" w:sz="2" w:space="0" w:color="BFBFBF"/>
            </w:tcBorders>
            <w:vAlign w:val="center"/>
          </w:tcPr>
          <w:p>
            <w:pPr>
              <w:pStyle w:val="TableContents"/>
              <w:bidi w:val="0"/>
              <w:spacing w:before="0" w:after="283"/>
              <w:jc w:val="left"/>
              <w:rPr/>
            </w:pPr>
            <w:r>
              <w:rPr/>
              <w:t>​</w:t>
            </w:r>
          </w:p>
        </w:tc>
        <w:tc>
          <w:tcPr>
            <w:tcW w:w="126" w:type="dxa"/>
            <w:tcBorders>
              <w:bottom w:val="single" w:sz="2" w:space="0" w:color="BFBFBF"/>
            </w:tcBorders>
            <w:tcMar>
              <w:bottom w:w="127" w:type="dxa"/>
            </w:tcMar>
            <w:vAlign w:val="center"/>
          </w:tcPr>
          <w:p>
            <w:pPr>
              <w:pStyle w:val="TableContents"/>
              <w:bidi w:val="0"/>
              <w:spacing w:before="0" w:after="283"/>
              <w:jc w:val="right"/>
              <w:rPr/>
            </w:pPr>
            <w:r>
              <w:rPr/>
              <w:t>​</w:t>
            </w:r>
          </w:p>
        </w:tc>
        <w:tc>
          <w:tcPr>
            <w:tcW w:w="1030" w:type="dxa"/>
            <w:tcBorders>
              <w:bottom w:val="single" w:sz="2" w:space="0" w:color="BFBFBF"/>
            </w:tcBorders>
            <w:tcMar>
              <w:bottom w:w="127" w:type="dxa"/>
            </w:tcMar>
            <w:vAlign w:val="center"/>
          </w:tcPr>
          <w:p>
            <w:pPr>
              <w:pStyle w:val="TableContents"/>
              <w:bidi w:val="0"/>
              <w:spacing w:before="0" w:after="283"/>
              <w:jc w:val="right"/>
              <w:rPr/>
            </w:pPr>
            <w:r>
              <w:rPr/>
              <w:t>532,716</w:t>
            </w:r>
          </w:p>
        </w:tc>
        <w:tc>
          <w:tcPr>
            <w:tcW w:w="12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0" w:type="dxa"/>
            <w:tcBorders>
              <w:bottom w:val="single" w:sz="2" w:space="0" w:color="BFBFBF"/>
            </w:tcBorders>
            <w:vAlign w:val="center"/>
          </w:tcPr>
          <w:p>
            <w:pPr>
              <w:pStyle w:val="TableContents"/>
              <w:bidi w:val="0"/>
              <w:spacing w:before="0" w:after="283"/>
              <w:jc w:val="left"/>
              <w:rPr/>
            </w:pPr>
            <w:r>
              <w:rPr/>
              <w:t>​</w:t>
            </w:r>
          </w:p>
        </w:tc>
        <w:tc>
          <w:tcPr>
            <w:tcW w:w="140" w:type="dxa"/>
            <w:tcBorders>
              <w:bottom w:val="single" w:sz="2" w:space="0" w:color="BFBFBF"/>
            </w:tcBorders>
            <w:tcMar>
              <w:bottom w:w="127" w:type="dxa"/>
            </w:tcMar>
            <w:vAlign w:val="center"/>
          </w:tcPr>
          <w:p>
            <w:pPr>
              <w:pStyle w:val="TableContents"/>
              <w:bidi w:val="0"/>
              <w:spacing w:before="0" w:after="283"/>
              <w:jc w:val="right"/>
              <w:rPr/>
            </w:pPr>
            <w:r>
              <w:rPr/>
              <w:t>​</w:t>
            </w:r>
          </w:p>
        </w:tc>
        <w:tc>
          <w:tcPr>
            <w:tcW w:w="988" w:type="dxa"/>
            <w:tcBorders>
              <w:bottom w:val="single" w:sz="2" w:space="0" w:color="BFBFBF"/>
            </w:tcBorders>
            <w:tcMar>
              <w:bottom w:w="127" w:type="dxa"/>
            </w:tcMar>
            <w:vAlign w:val="center"/>
          </w:tcPr>
          <w:p>
            <w:pPr>
              <w:pStyle w:val="TableContents"/>
              <w:bidi w:val="0"/>
              <w:spacing w:before="0" w:after="283"/>
              <w:jc w:val="right"/>
              <w:rPr/>
            </w:pPr>
            <w:r>
              <w:rPr/>
              <w:t>24,754</w:t>
            </w:r>
          </w:p>
        </w:tc>
        <w:tc>
          <w:tcPr>
            <w:tcW w:w="14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8" w:type="dxa"/>
            <w:tcBorders>
              <w:bottom w:val="single" w:sz="2" w:space="0" w:color="BFBFBF"/>
            </w:tcBorders>
            <w:vAlign w:val="center"/>
          </w:tcPr>
          <w:p>
            <w:pPr>
              <w:pStyle w:val="TableContents"/>
              <w:bidi w:val="0"/>
              <w:spacing w:before="0" w:after="283"/>
              <w:jc w:val="left"/>
              <w:rPr/>
            </w:pPr>
            <w:r>
              <w:rPr/>
              <w:t>​</w:t>
            </w:r>
          </w:p>
        </w:tc>
        <w:tc>
          <w:tcPr>
            <w:tcW w:w="188" w:type="dxa"/>
            <w:tcBorders>
              <w:bottom w:val="single" w:sz="2" w:space="0" w:color="BFBFBF"/>
            </w:tcBorders>
            <w:tcMar>
              <w:bottom w:w="127" w:type="dxa"/>
            </w:tcMar>
            <w:vAlign w:val="center"/>
          </w:tcPr>
          <w:p>
            <w:pPr>
              <w:pStyle w:val="TableContents"/>
              <w:bidi w:val="0"/>
              <w:spacing w:before="0" w:after="283"/>
              <w:jc w:val="right"/>
              <w:rPr/>
            </w:pPr>
            <w:r>
              <w:rPr/>
              <w:t>​</w:t>
            </w:r>
          </w:p>
        </w:tc>
        <w:tc>
          <w:tcPr>
            <w:tcW w:w="1325" w:type="dxa"/>
            <w:tcBorders>
              <w:bottom w:val="single" w:sz="2" w:space="0" w:color="BFBFBF"/>
            </w:tcBorders>
            <w:tcMar>
              <w:bottom w:w="127" w:type="dxa"/>
            </w:tcMar>
            <w:vAlign w:val="center"/>
          </w:tcPr>
          <w:p>
            <w:pPr>
              <w:pStyle w:val="TableContents"/>
              <w:bidi w:val="0"/>
              <w:spacing w:before="0" w:after="283"/>
              <w:jc w:val="right"/>
              <w:rPr/>
            </w:pPr>
            <w:r>
              <w:rPr/>
              <w:t>32,788</w:t>
            </w:r>
          </w:p>
        </w:tc>
        <w:tc>
          <w:tcPr>
            <w:tcW w:w="19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tcMar>
              <w:bottom w:w="127" w:type="dxa"/>
            </w:tcMar>
            <w:vAlign w:val="center"/>
          </w:tcPr>
          <w:p>
            <w:pPr>
              <w:pStyle w:val="TableContents"/>
              <w:bidi w:val="0"/>
              <w:spacing w:before="0" w:after="283"/>
              <w:jc w:val="right"/>
              <w:rPr/>
            </w:pPr>
            <w:r>
              <w:rPr/>
              <w:t>​</w:t>
            </w:r>
          </w:p>
        </w:tc>
        <w:tc>
          <w:tcPr>
            <w:tcW w:w="936" w:type="dxa"/>
            <w:tcBorders>
              <w:bottom w:val="single" w:sz="2" w:space="0" w:color="BFBFBF"/>
            </w:tcBorders>
            <w:tcMar>
              <w:bottom w:w="127" w:type="dxa"/>
            </w:tcMar>
            <w:vAlign w:val="center"/>
          </w:tcPr>
          <w:p>
            <w:pPr>
              <w:pStyle w:val="TableContents"/>
              <w:bidi w:val="0"/>
              <w:spacing w:before="0" w:after="283"/>
              <w:jc w:val="right"/>
              <w:rPr/>
            </w:pPr>
            <w:r>
              <w:rPr/>
              <w:t>2,915</w:t>
            </w:r>
          </w:p>
        </w:tc>
        <w:tc>
          <w:tcPr>
            <w:tcW w:w="15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33" w:type="dxa"/>
            <w:tcBorders>
              <w:bottom w:val="single" w:sz="2" w:space="0" w:color="BFBFBF"/>
            </w:tcBorders>
            <w:tcMar>
              <w:bottom w:w="127" w:type="dxa"/>
            </w:tcMar>
            <w:vAlign w:val="center"/>
          </w:tcPr>
          <w:p>
            <w:pPr>
              <w:pStyle w:val="TableContents"/>
              <w:bidi w:val="0"/>
              <w:spacing w:before="0" w:after="283"/>
              <w:jc w:val="right"/>
              <w:rPr/>
            </w:pPr>
            <w:r>
              <w:rPr/>
              <w:t>​</w:t>
            </w:r>
          </w:p>
        </w:tc>
        <w:tc>
          <w:tcPr>
            <w:tcW w:w="1026" w:type="dxa"/>
            <w:tcBorders>
              <w:bottom w:val="single" w:sz="2" w:space="0" w:color="BFBFBF"/>
            </w:tcBorders>
            <w:tcMar>
              <w:bottom w:w="127" w:type="dxa"/>
            </w:tcMar>
            <w:vAlign w:val="center"/>
          </w:tcPr>
          <w:p>
            <w:pPr>
              <w:pStyle w:val="TableContents"/>
              <w:bidi w:val="0"/>
              <w:spacing w:before="0" w:after="283"/>
              <w:jc w:val="right"/>
              <w:rPr/>
            </w:pPr>
            <w:r>
              <w:rPr/>
              <w:t>(25,037)</w:t>
            </w:r>
          </w:p>
        </w:tc>
        <w:tc>
          <w:tcPr>
            <w:tcW w:w="13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5" w:type="dxa"/>
            <w:tcBorders>
              <w:bottom w:val="single" w:sz="2" w:space="0" w:color="BFBFBF"/>
            </w:tcBorders>
            <w:vAlign w:val="center"/>
          </w:tcPr>
          <w:p>
            <w:pPr>
              <w:pStyle w:val="TableContents"/>
              <w:bidi w:val="0"/>
              <w:spacing w:before="0" w:after="283"/>
              <w:jc w:val="left"/>
              <w:rPr/>
            </w:pPr>
            <w:r>
              <w:rPr/>
              <w:t>​</w:t>
            </w:r>
          </w:p>
        </w:tc>
        <w:tc>
          <w:tcPr>
            <w:tcW w:w="245" w:type="dxa"/>
            <w:tcBorders>
              <w:bottom w:val="single" w:sz="2" w:space="0" w:color="BFBFBF"/>
            </w:tcBorders>
            <w:tcMar>
              <w:bottom w:w="127" w:type="dxa"/>
            </w:tcMar>
            <w:vAlign w:val="center"/>
          </w:tcPr>
          <w:p>
            <w:pPr>
              <w:pStyle w:val="TableContents"/>
              <w:bidi w:val="0"/>
              <w:spacing w:before="0" w:after="283"/>
              <w:jc w:val="right"/>
              <w:rPr/>
            </w:pPr>
            <w:r>
              <w:rPr/>
              <w:t>​</w:t>
            </w:r>
          </w:p>
        </w:tc>
        <w:tc>
          <w:tcPr>
            <w:tcW w:w="779" w:type="dxa"/>
            <w:tcBorders>
              <w:bottom w:val="single" w:sz="2" w:space="0" w:color="BFBFBF"/>
            </w:tcBorders>
            <w:tcMar>
              <w:bottom w:w="127" w:type="dxa"/>
            </w:tcMar>
            <w:vAlign w:val="center"/>
          </w:tcPr>
          <w:p>
            <w:pPr>
              <w:pStyle w:val="TableContents"/>
              <w:bidi w:val="0"/>
              <w:spacing w:before="0" w:after="283"/>
              <w:jc w:val="right"/>
              <w:rPr/>
            </w:pPr>
            <w:r>
              <w:rPr/>
              <w:t>—</w:t>
            </w:r>
          </w:p>
        </w:tc>
        <w:tc>
          <w:tcPr>
            <w:tcW w:w="247"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28" w:type="dxa"/>
            <w:tcBorders>
              <w:bottom w:val="single" w:sz="2" w:space="0" w:color="BFBFBF"/>
            </w:tcBorders>
            <w:vAlign w:val="center"/>
          </w:tcPr>
          <w:p>
            <w:pPr>
              <w:pStyle w:val="TableContents"/>
              <w:bidi w:val="0"/>
              <w:spacing w:before="0" w:after="283"/>
              <w:jc w:val="left"/>
              <w:rPr/>
            </w:pPr>
            <w:r>
              <w:rPr/>
              <w:t>​</w:t>
            </w:r>
          </w:p>
        </w:tc>
        <w:tc>
          <w:tcPr>
            <w:tcW w:w="128" w:type="dxa"/>
            <w:tcBorders>
              <w:bottom w:val="single" w:sz="2" w:space="0" w:color="BFBFBF"/>
            </w:tcBorders>
            <w:tcMar>
              <w:bottom w:w="127" w:type="dxa"/>
            </w:tcMar>
            <w:vAlign w:val="center"/>
          </w:tcPr>
          <w:p>
            <w:pPr>
              <w:pStyle w:val="TableContents"/>
              <w:bidi w:val="0"/>
              <w:spacing w:before="0" w:after="283"/>
              <w:jc w:val="right"/>
              <w:rPr/>
            </w:pPr>
            <w:r>
              <w:rPr/>
              <w:t>​</w:t>
            </w:r>
          </w:p>
        </w:tc>
        <w:tc>
          <w:tcPr>
            <w:tcW w:w="1041" w:type="dxa"/>
            <w:tcBorders>
              <w:bottom w:val="single" w:sz="2" w:space="0" w:color="BFBFBF"/>
            </w:tcBorders>
            <w:tcMar>
              <w:bottom w:w="127" w:type="dxa"/>
            </w:tcMar>
            <w:vAlign w:val="center"/>
          </w:tcPr>
          <w:p>
            <w:pPr>
              <w:pStyle w:val="TableContents"/>
              <w:bidi w:val="0"/>
              <w:spacing w:before="0" w:after="283"/>
              <w:jc w:val="right"/>
              <w:rPr/>
            </w:pPr>
            <w:r>
              <w:rPr/>
              <w:t>568,136</w:t>
            </w:r>
          </w:p>
        </w:tc>
        <w:tc>
          <w:tcPr>
            <w:tcW w:w="12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Peer Group TSR set forth in this table utilizes the S&amp;P 500 Property &amp; Casualty Insurance index (the “S&amp;P P&amp;C Index”), which we also utilize in the stock performance graph required by Item 201(e) of Regulation S-K included in our Annual Report for the year ended December 31, 2025. The comparison of TSR assumes $100 was invested for the period starting December 31, 2020, through the last day of the listed year in each of the Company’s common stock and the S&amp;P P&amp;C Index, respectively.</w:t>
      </w:r>
      <w:r>
        <mc:AlternateContent>
          <mc:Choice Requires="wps">
            <w:drawing>
              <wp:anchor behindDoc="0" distT="69215" distB="0" distL="254000" distR="0" simplePos="0" locked="0" layoutInCell="1" allowOverlap="1" relativeHeight="172">
                <wp:simplePos x="0" y="0"/>
                <wp:positionH relativeFrom="column">
                  <wp:align>left</wp:align>
                </wp:positionH>
                <wp:positionV relativeFrom="line">
                  <wp:align>top</wp:align>
                </wp:positionV>
                <wp:extent cx="254000" cy="287020"/>
                <wp:effectExtent l="0" t="0" r="0" b="0"/>
                <wp:wrapSquare wrapText="right"/>
                <wp:docPr id="167" name="Frame129"/>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b w:val="false"/>
                                <w:color w:val="000000"/>
                                <w:sz w:val="19"/>
                              </w:rPr>
                            </w:pPr>
                            <w:r>
                              <w:rPr>
                                <w:b w:val="false"/>
                                <w:color w:val="000000"/>
                                <w:sz w:val="19"/>
                              </w:rPr>
                              <w:t>(5)</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b w:val="false"/>
                          <w:color w:val="000000"/>
                          <w:sz w:val="19"/>
                        </w:rPr>
                      </w:pPr>
                      <w:r>
                        <w:rPr>
                          <w:b w:val="false"/>
                          <w:color w:val="000000"/>
                          <w:sz w:val="19"/>
                        </w:rPr>
                        <w:t>(5)</w:t>
                        <w:br/>
                      </w:r>
                    </w:p>
                  </w:txbxContent>
                </v:textbox>
                <w10:wrap type="square" side="right"/>
              </v:rect>
            </w:pict>
          </mc:Fallback>
        </mc:AlternateContent>
      </w:r>
    </w:p>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These amounts represent the amount of net income reflected in the Company’s audited financial statements for the applicable fiscal year.</w:t>
      </w:r>
      <w:r>
        <mc:AlternateContent>
          <mc:Choice Requires="wps">
            <w:drawing>
              <wp:anchor behindDoc="0" distT="0" distB="0" distL="254000" distR="0" simplePos="0" locked="0" layoutInCell="1" allowOverlap="1" relativeHeight="173">
                <wp:simplePos x="0" y="0"/>
                <wp:positionH relativeFrom="column">
                  <wp:align>left</wp:align>
                </wp:positionH>
                <wp:positionV relativeFrom="line">
                  <wp:posOffset>635</wp:posOffset>
                </wp:positionV>
                <wp:extent cx="254000" cy="287020"/>
                <wp:effectExtent l="0" t="0" r="0" b="0"/>
                <wp:wrapSquare wrapText="right"/>
                <wp:docPr id="168" name="Frame130"/>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b w:val="false"/>
                                <w:color w:val="000000"/>
                                <w:sz w:val="19"/>
                              </w:rPr>
                            </w:pPr>
                            <w:r>
                              <w:rPr>
                                <w:b w:val="false"/>
                                <w:color w:val="000000"/>
                                <w:sz w:val="19"/>
                              </w:rPr>
                              <w:t>(6)</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b w:val="false"/>
                          <w:color w:val="000000"/>
                          <w:sz w:val="19"/>
                        </w:rPr>
                      </w:pPr>
                      <w:r>
                        <w:rPr>
                          <w:b w:val="false"/>
                          <w:color w:val="000000"/>
                          <w:sz w:val="19"/>
                        </w:rPr>
                        <w:t>(6)</w:t>
                        <w:br/>
                      </w:r>
                    </w:p>
                  </w:txbxContent>
                </v:textbox>
                <w10:wrap type="square" side="right"/>
              </v:rect>
            </w:pict>
          </mc:Fallback>
        </mc:AlternateContent>
      </w:r>
    </w:p>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 noted in the Compensation Discussion and Analysis, “Adjusted EBIT” is one of the financial metrics used to determine short-term compensation under our STI Plan, and we have selected it as our most important financial performance measure to link Compensation Actually Paid to our named executive officers to Company performance. Adjusted EBIT is calculated as net income of the Company before interest and income taxes, and excluding the portion of favorable or unfavorable prior year reserve development for which the Company’s subsidiaries ceded the risk under retroactive reinsurance agreements and the related changes in the amortization of deferred gain. Please refer to the Compensation Discussion and Analysis for further discussion of the Committee’s calculation of Adjusted EBIT for the most recent fiscal year.</w:t>
      </w:r>
      <w:r>
        <mc:AlternateContent>
          <mc:Choice Requires="wps">
            <w:drawing>
              <wp:anchor behindDoc="0" distT="0" distB="0" distL="254000" distR="0" simplePos="0" locked="0" layoutInCell="1" allowOverlap="1" relativeHeight="174">
                <wp:simplePos x="0" y="0"/>
                <wp:positionH relativeFrom="column">
                  <wp:align>left</wp:align>
                </wp:positionH>
                <wp:positionV relativeFrom="line">
                  <wp:posOffset>635</wp:posOffset>
                </wp:positionV>
                <wp:extent cx="254000" cy="287020"/>
                <wp:effectExtent l="0" t="0" r="0" b="0"/>
                <wp:wrapSquare wrapText="right"/>
                <wp:docPr id="169" name="Frame131"/>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b w:val="false"/>
                                <w:color w:val="000000"/>
                                <w:sz w:val="19"/>
                              </w:rPr>
                            </w:pPr>
                            <w:r>
                              <w:rPr>
                                <w:b w:val="false"/>
                                <w:color w:val="000000"/>
                                <w:sz w:val="19"/>
                              </w:rPr>
                              <w:t>(7)</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b w:val="false"/>
                          <w:color w:val="000000"/>
                          <w:sz w:val="19"/>
                        </w:rPr>
                      </w:pPr>
                      <w:r>
                        <w:rPr>
                          <w:b w:val="false"/>
                          <w:color w:val="000000"/>
                          <w:sz w:val="19"/>
                        </w:rPr>
                        <w:t>(7)</w:t>
                        <w:br/>
                      </w:r>
                    </w:p>
                  </w:txbxContent>
                </v:textbox>
                <w10:wrap type="square" side="right"/>
              </v:rect>
            </w:pict>
          </mc:Fallback>
        </mc:AlternateContent>
      </w:r>
    </w:p>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40</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9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NARRATIVE DISCLOSURE TO PAY VERSUS PERFORMANCE TABLE</w:t>
      </w:r>
      <w:r>
        <w:rPr>
          <w:rFonts w:ascii="Arial Narrow;Arial;Helvetica;sans-serif" w:hAnsi="Arial Narrow;Arial;Helvetica;sans-serif"/>
          <w:b/>
          <w:i w:val="false"/>
          <w:caps w:val="false"/>
          <w:smallCaps w:val="false"/>
          <w:color w:val="002C73"/>
          <w:sz w:val="20"/>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Relationship Between PEO and Non-PEO NEO Compensation Actually Paid and Total Shareholder Return (“TSR”)</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chart sets forth the relationship between Compensation Actually Paid to our PEO, the average of Compensation Actually Paid to our Non-PEO NEOs, the Company’s cumulative TSR over the five most recently completed fiscal years, and the Peer Group TSR over the same period.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372100" cy="3162300"/>
            <wp:effectExtent l="0" t="0" r="0" b="0"/>
            <wp:docPr id="17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8" descr=""/>
                    <pic:cNvPicPr>
                      <a:picLocks noChangeAspect="1" noChangeArrowheads="1"/>
                    </pic:cNvPicPr>
                  </pic:nvPicPr>
                  <pic:blipFill>
                    <a:blip r:embed="rId40"/>
                    <a:stretch>
                      <a:fillRect/>
                    </a:stretch>
                  </pic:blipFill>
                  <pic:spPr bwMode="auto">
                    <a:xfrm>
                      <a:off x="0" y="0"/>
                      <a:ext cx="5372100" cy="31623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Relationship Between PEO and Non-PEO NEO Compensation Actually Paid and Net Income</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chart sets forth the relationship between Compensation Actually Paid to our PEO, the average of Compensation Actually Paid to our Non-PEO NEOs, and our Net Income during the five most recently completed fiscal years.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362575" cy="3162300"/>
            <wp:effectExtent l="0" t="0" r="0" b="0"/>
            <wp:docPr id="17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9" descr=""/>
                    <pic:cNvPicPr>
                      <a:picLocks noChangeAspect="1" noChangeArrowheads="1"/>
                    </pic:cNvPicPr>
                  </pic:nvPicPr>
                  <pic:blipFill>
                    <a:blip r:embed="rId41"/>
                    <a:stretch>
                      <a:fillRect/>
                    </a:stretch>
                  </pic:blipFill>
                  <pic:spPr bwMode="auto">
                    <a:xfrm>
                      <a:off x="0" y="0"/>
                      <a:ext cx="5362575" cy="31623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97"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41</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PPUT"/>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920" w:right="0" w:hanging="0"/>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Relationship Between PEO and Non-PEO NEO Compensation Actually Paid and Adjusted EBIT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chart sets forth the relationship between Compensation Actually Paid to our PEO, the average of Compensation Actually Paid to our Non-PEO NEOs, and our Adjusted EBIT during the five most recently completed fiscal years.</w:t>
      </w:r>
    </w:p>
    <w:p>
      <w:pPr>
        <w:pStyle w:val="TextBody"/>
        <w:bidi w:val="0"/>
        <w:spacing w:before="154" w:after="283"/>
        <w:jc w:val="center"/>
        <w:rPr>
          <w:caps w:val="false"/>
          <w:smallCaps w:val="false"/>
          <w:color w:val="000000"/>
        </w:rPr>
      </w:pPr>
      <w:r>
        <w:rPr>
          <w:caps w:val="false"/>
          <w:smallCaps w:val="false"/>
          <w:color w:val="000000"/>
        </w:rPr>
        <w:drawing>
          <wp:inline distT="0" distB="0" distL="0" distR="0">
            <wp:extent cx="5362575" cy="3162300"/>
            <wp:effectExtent l="0" t="0" r="0" b="0"/>
            <wp:docPr id="17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0" descr=""/>
                    <pic:cNvPicPr>
                      <a:picLocks noChangeAspect="1" noChangeArrowheads="1"/>
                    </pic:cNvPicPr>
                  </pic:nvPicPr>
                  <pic:blipFill>
                    <a:blip r:embed="rId42"/>
                    <a:stretch>
                      <a:fillRect/>
                    </a:stretch>
                  </pic:blipFill>
                  <pic:spPr bwMode="auto">
                    <a:xfrm>
                      <a:off x="0" y="0"/>
                      <a:ext cx="5362575" cy="31623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2"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PERFORMANCE MEASURES USED TO LINK COMPANY PERFORMANCE AND COMPENSATION ACTUALLY PAID TO NEO</w:t>
      </w:r>
      <w:r>
        <w:rPr>
          <w:rFonts w:ascii="Arial Narrow;Arial;Helvetica;sans-serif" w:hAnsi="Arial Narrow;Arial;Helvetica;sans-serif"/>
          <w:b/>
          <w:i w:val="false"/>
          <w:caps w:val="false"/>
          <w:smallCaps w:val="false"/>
          <w:color w:val="002C73"/>
          <w:sz w:val="20"/>
        </w:rPr>
        <w:t>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performance measures represent the most important financial performance measures used by us to link Compensation Actually Paid to our NEOs to performance for the fiscal year ended December 31, 2025:</w:t>
      </w:r>
    </w:p>
    <w:p>
      <w:pPr>
        <w:pStyle w:val="TextBody"/>
        <w:bidi w:val="0"/>
        <w:spacing w:lineRule="atLeast" w:line="226" w:before="118"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Adjusted Combined Ratio</w:t>
      </w:r>
      <w:r>
        <w:rPr>
          <w:rFonts w:ascii="Arial;Helvetica;sans-serif" w:hAnsi="Arial;Helvetica;sans-serif"/>
          <w:b w:val="false"/>
          <w:i w:val="false"/>
          <w:caps w:val="false"/>
          <w:smallCaps w:val="false"/>
          <w:color w:val="000000"/>
          <w:sz w:val="19"/>
        </w:rPr>
        <w:t xml:space="preserve">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Adjusted EBIT</w:t>
      </w:r>
      <w:r>
        <w:rPr>
          <w:rFonts w:ascii="Arial;Helvetica;sans-serif" w:hAnsi="Arial;Helvetica;sans-serif"/>
          <w:b w:val="false"/>
          <w:i w:val="false"/>
          <w:caps w:val="false"/>
          <w:smallCaps w:val="false"/>
          <w:color w:val="000000"/>
          <w:sz w:val="19"/>
        </w:rPr>
        <w:t xml:space="preserve"> </w:t>
      </w:r>
      <w:r>
        <mc:AlternateContent>
          <mc:Choice Requires="wps">
            <w:drawing>
              <wp:anchor behindDoc="0" distT="0" distB="0" distL="254000" distR="0" simplePos="0" locked="0" layoutInCell="1" allowOverlap="1" relativeHeight="176">
                <wp:simplePos x="0" y="0"/>
                <wp:positionH relativeFrom="column">
                  <wp:align>left</wp:align>
                </wp:positionH>
                <wp:positionV relativeFrom="line">
                  <wp:posOffset>635</wp:posOffset>
                </wp:positionV>
                <wp:extent cx="127000" cy="350520"/>
                <wp:effectExtent l="0" t="0" r="0" b="0"/>
                <wp:wrapSquare wrapText="right"/>
                <wp:docPr id="17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5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Since fewer than three financial performance measures were used by the Company to link Compensation Actually Paid to the Company’s NEOs for the fiscal year ended December 31, 2025 to Company performance, we have listed all such measures that were used.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Potential Payments upon Termination or Change in Control</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EMPLOYMENT AGREEMENTS</w:t>
      </w:r>
      <w:r>
        <w:rPr>
          <w:rFonts w:ascii="Arial Narrow;Arial;Helvetica;sans-serif" w:hAnsi="Arial Narrow;Arial;Helvetica;sans-serif"/>
          <w:b/>
          <w:i w:val="false"/>
          <w:caps w:val="false"/>
          <w:smallCaps w:val="false"/>
          <w:color w:val="002C73"/>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are a party to an employment agreement with each of our named executive officers other than Mr. Schmitzer, whose employment with the Company ended October 15, 2025. The employment agreements generally provide for certain payments and benefits to be provided to our continuing named executive officer if his or her employment is terminated by us without Cause (as defined in each employment agreement) or by the continuing named executive officer for Good Reason (as defined in each employment agreement), or if we give notice that we do not intend to renew the term of the named executive officer’s employment when the term ends (a “Non-Renewal Termination”). The benefits are (i) continuation of salary or like payments (“Separation Payments”) for a specified period, paid in accordance with our normal payroll practices, (ii) post-employment coverage under our health, dental and vision plans, to the extent that such coverage is available under the plans, with the Company continuing to pay the same amount for such coverage as was paid when the executive officer was employed (with the executive officer paying the remaining cost of the coverage) for a twelve month period (except in the case of Mr. D’Orazio, who will receive such benefit for eighteen months); provided that, in the case of Mr. D’Orazio, Ms. Doran and Mr. Hoffmann, in the event that post-employment health care coverage is not available under the Company’s health insurance plan, then the Company will pay the applicable executive officer the premium cost for such insurance that the Company would have paid if the executive officer had been permitted to continue coverage thereafter, and (iii) for Mr. D’Orazio, Ms. Doran and Mr. Hoffmann, any unpaid discretionary cash bonus awarded for the year prior to the year in which the named executive’s termination of employment occurs, which shall be paid in a lump sum on the normal bonus payment date. The compensation provided for in the foregoing sentence is referred to as the “Separation Benefits”. The Separation Benefits are in addition to our obligation to pay the applicable named executive officer accrued but not paid base salary and any accrued but unused vacation, as well as accrued but not paid Tax Equalization Payments, in each case, through the date of termination of the applicable executive officer’s employment.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42</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Additionally, Ms. Doran is entitled to reimbursement for relocation expenses from North Carolina under the circumstances specified in her chart set forth below under “Quantification of Termination Benefits”.</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SEPARATION PAYMENTS</w:t>
      </w:r>
      <w:r>
        <w:rPr>
          <w:rFonts w:ascii="Arial Narrow;Arial;Helvetica;sans-serif" w:hAnsi="Arial Narrow;Arial;Helvetica;sans-serif"/>
          <w:b/>
          <w:i w:val="false"/>
          <w:caps w:val="false"/>
          <w:smallCaps w:val="false"/>
          <w:color w:val="002C73"/>
          <w:sz w:val="2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table below sets forth the manner to calculate the Separation Payments pursuant to each named executive officer’s employment agreement, and the period after termination that he or she will be eligible to receive Separation Payments. Mr. Schmitzer is excluded from this table, since his employment with the Company ended before December 31, 2025. All capitalized terms in the table below have the definitions set forth in the applicable employment agreement.</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1230"/>
        <w:gridCol w:w="109"/>
        <w:gridCol w:w="109"/>
        <w:gridCol w:w="109"/>
        <w:gridCol w:w="7449"/>
        <w:gridCol w:w="155"/>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230" w:type="dxa"/>
            <w:tcBorders>
              <w:bottom w:val="single" w:sz="12" w:space="0" w:color="3F3F3F"/>
            </w:tcBorders>
            <w:shd w:fill="F2F2F2" w:val="clear"/>
            <w:tcMar>
              <w:bottom w:w="135" w:type="dxa"/>
            </w:tcMar>
            <w:vAlign w:val="center"/>
          </w:tcPr>
          <w:p>
            <w:pPr>
              <w:pStyle w:val="TableContents"/>
              <w:bidi w:val="0"/>
              <w:spacing w:before="0" w:after="0"/>
              <w:jc w:val="left"/>
              <w:rPr/>
            </w:pPr>
            <w:r>
              <w:rPr/>
              <w:t xml:space="preserve">NAME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7449" w:type="dxa"/>
            <w:tcBorders>
              <w:bottom w:val="single" w:sz="12" w:space="0" w:color="3F3F3F"/>
            </w:tcBorders>
            <w:shd w:fill="F2F2F2" w:val="clear"/>
            <w:tcMar>
              <w:bottom w:w="135" w:type="dxa"/>
            </w:tcMar>
            <w:vAlign w:val="center"/>
          </w:tcPr>
          <w:p>
            <w:pPr>
              <w:pStyle w:val="TableContents"/>
              <w:bidi w:val="0"/>
              <w:spacing w:before="0" w:after="0"/>
              <w:jc w:val="center"/>
              <w:rPr/>
            </w:pPr>
            <w:r>
              <w:rPr/>
              <w:t xml:space="preserve">MANNER TO CALCULATE SEPARATION PAYMENT AND PERIOD OF PAYMENT </w:t>
            </w:r>
          </w:p>
        </w:tc>
        <w:tc>
          <w:tcPr>
            <w:tcW w:w="155"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30" w:type="dxa"/>
            <w:tcBorders>
              <w:bottom w:val="single" w:sz="2" w:space="0" w:color="BFBFBF"/>
            </w:tcBorders>
            <w:tcMar>
              <w:bottom w:w="41"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449" w:type="dxa"/>
            <w:tcBorders>
              <w:bottom w:val="single" w:sz="2" w:space="0" w:color="BFBFBF"/>
            </w:tcBorders>
            <w:tcMar>
              <w:bottom w:w="41" w:type="dxa"/>
            </w:tcMar>
            <w:vAlign w:val="center"/>
          </w:tcPr>
          <w:p>
            <w:pPr>
              <w:pStyle w:val="TableContents"/>
              <w:bidi w:val="0"/>
              <w:spacing w:lineRule="atLeast" w:line="226" w:before="0" w:after="0"/>
              <w:ind w:left="570" w:right="0" w:hanging="0"/>
              <w:jc w:val="left"/>
              <w:rPr/>
            </w:pPr>
            <w:r>
              <w:rPr/>
              <w:t>Amount per month equal to base salary in effect on the date of termination divided by 12, for 18 months in the event of termination by the Company without Cause, by Mr. D’Orazio for Good Reason or as a result of a Non-Renewal Termination before a Change in Control or more than 12 months thereafter; or</w:t>
            </w:r>
            <w:r>
              <mc:AlternateContent>
                <mc:Choice Requires="wps">
                  <w:drawing>
                    <wp:anchor behindDoc="0" distT="0" distB="0" distL="120650" distR="0" simplePos="0" locked="0" layoutInCell="1" allowOverlap="1" relativeHeight="177">
                      <wp:simplePos x="0" y="0"/>
                      <wp:positionH relativeFrom="column">
                        <wp:align>left</wp:align>
                      </wp:positionH>
                      <wp:positionV relativeFrom="line">
                        <wp:posOffset>635</wp:posOffset>
                      </wp:positionV>
                      <wp:extent cx="241300" cy="350520"/>
                      <wp:effectExtent l="0" t="0" r="0" b="0"/>
                      <wp:wrapSquare wrapText="right"/>
                      <wp:docPr id="175" name="Frame134"/>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570" w:right="0" w:hanging="0"/>
              <w:jc w:val="left"/>
              <w:rPr/>
            </w:pPr>
            <w:r>
              <w:rPr/>
              <w:t xml:space="preserve">Amount per month equal to base salary in effect on the date of termination plus the amount of his short-term incentive target award for the performance period in which a Change in Control occurs (or if no performance period has been established or a target award has not been approved for the relevant performance period, then the target amount of his award for the most recent performance period) divided by 12, for 36 months in the event of termination by the Company without Cause, by Mr. D’Orazio for Good Reason or as a result of a Non-Renewal Termination, in each case within 12 months after a Change in Control. </w:t>
            </w:r>
            <w:r>
              <mc:AlternateContent>
                <mc:Choice Requires="wps">
                  <w:drawing>
                    <wp:anchor behindDoc="0" distT="99060" distB="0" distL="120650" distR="0" simplePos="0" locked="0" layoutInCell="1" allowOverlap="1" relativeHeight="178">
                      <wp:simplePos x="0" y="0"/>
                      <wp:positionH relativeFrom="column">
                        <wp:align>left</wp:align>
                      </wp:positionH>
                      <wp:positionV relativeFrom="line">
                        <wp:align>top</wp:align>
                      </wp:positionV>
                      <wp:extent cx="241300" cy="350520"/>
                      <wp:effectExtent l="0" t="0" r="0" b="0"/>
                      <wp:wrapSquare wrapText="right"/>
                      <wp:docPr id="176" name="Frame135"/>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30" w:type="dxa"/>
            <w:tcBorders>
              <w:bottom w:val="single" w:sz="2" w:space="0" w:color="BFBFBF"/>
            </w:tcBorders>
            <w:tcMar>
              <w:bottom w:w="41"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449" w:type="dxa"/>
            <w:tcBorders>
              <w:bottom w:val="single" w:sz="2" w:space="0" w:color="BFBFBF"/>
            </w:tcBorders>
            <w:tcMar>
              <w:bottom w:w="41" w:type="dxa"/>
            </w:tcMar>
            <w:vAlign w:val="center"/>
          </w:tcPr>
          <w:p>
            <w:pPr>
              <w:pStyle w:val="TableContents"/>
              <w:bidi w:val="0"/>
              <w:spacing w:before="0" w:after="0"/>
              <w:jc w:val="left"/>
              <w:rPr/>
            </w:pPr>
            <w:r>
              <w:rPr/>
              <w:t>Amount per month equal to base salary in effect on the date of termination divided by 12, for:</w:t>
            </w:r>
          </w:p>
          <w:p>
            <w:pPr>
              <w:pStyle w:val="TableContents"/>
              <w:bidi w:val="0"/>
              <w:spacing w:lineRule="atLeast" w:line="226" w:before="156" w:after="0"/>
              <w:ind w:left="570" w:right="0" w:hanging="0"/>
              <w:jc w:val="left"/>
              <w:rPr/>
            </w:pPr>
            <w:r>
              <w:rPr/>
              <w:t>24 months in the event of termination by the Company without Cause, by Ms. Doran for Good Reason or as a result of a Non-Renewal Termination before a Change in Control or more than 12 months thereafter; or</w:t>
            </w:r>
            <w:r>
              <mc:AlternateContent>
                <mc:Choice Requires="wps">
                  <w:drawing>
                    <wp:anchor behindDoc="0" distT="99060" distB="0" distL="120650" distR="0" simplePos="0" locked="0" layoutInCell="1" allowOverlap="1" relativeHeight="179">
                      <wp:simplePos x="0" y="0"/>
                      <wp:positionH relativeFrom="column">
                        <wp:align>left</wp:align>
                      </wp:positionH>
                      <wp:positionV relativeFrom="line">
                        <wp:align>top</wp:align>
                      </wp:positionV>
                      <wp:extent cx="241300" cy="350520"/>
                      <wp:effectExtent l="0" t="0" r="0" b="0"/>
                      <wp:wrapSquare wrapText="right"/>
                      <wp:docPr id="177" name="Frame136"/>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570" w:right="0" w:hanging="0"/>
              <w:jc w:val="left"/>
              <w:rPr/>
            </w:pPr>
            <w:r>
              <w:rPr/>
              <w:t xml:space="preserve">30 months in the event of termination by the Company without Cause, by Ms. Doran for Good Reason or as a result of a Non-Renewal Termination, in each case within 12 months after a Change in Control. </w:t>
            </w:r>
            <w:r>
              <mc:AlternateContent>
                <mc:Choice Requires="wps">
                  <w:drawing>
                    <wp:anchor behindDoc="0" distT="99060" distB="0" distL="120650" distR="0" simplePos="0" locked="0" layoutInCell="1" allowOverlap="1" relativeHeight="180">
                      <wp:simplePos x="0" y="0"/>
                      <wp:positionH relativeFrom="column">
                        <wp:align>left</wp:align>
                      </wp:positionH>
                      <wp:positionV relativeFrom="line">
                        <wp:align>top</wp:align>
                      </wp:positionV>
                      <wp:extent cx="241300" cy="350520"/>
                      <wp:effectExtent l="0" t="0" r="0" b="0"/>
                      <wp:wrapSquare wrapText="right"/>
                      <wp:docPr id="178" name="Frame137"/>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30" w:type="dxa"/>
            <w:tcBorders>
              <w:bottom w:val="single" w:sz="2" w:space="0" w:color="BFBFBF"/>
            </w:tcBorders>
            <w:tcMar>
              <w:bottom w:w="41"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449" w:type="dxa"/>
            <w:tcBorders>
              <w:bottom w:val="single" w:sz="2" w:space="0" w:color="BFBFBF"/>
            </w:tcBorders>
            <w:tcMar>
              <w:bottom w:w="41" w:type="dxa"/>
            </w:tcMar>
            <w:vAlign w:val="center"/>
          </w:tcPr>
          <w:p>
            <w:pPr>
              <w:pStyle w:val="TableContents"/>
              <w:bidi w:val="0"/>
              <w:spacing w:before="0" w:after="0"/>
              <w:jc w:val="left"/>
              <w:rPr/>
            </w:pPr>
            <w:r>
              <w:rPr/>
              <w:t>Amount per month equal to base salary in effect on the date of termination divided by 12, for:</w:t>
            </w:r>
          </w:p>
          <w:p>
            <w:pPr>
              <w:pStyle w:val="TableContents"/>
              <w:bidi w:val="0"/>
              <w:spacing w:lineRule="atLeast" w:line="226" w:before="156" w:after="0"/>
              <w:ind w:left="570" w:right="0" w:hanging="0"/>
              <w:jc w:val="left"/>
              <w:rPr/>
            </w:pPr>
            <w:r>
              <w:rPr/>
              <w:t>12 months in the event of termination by the Company without Cause or by Mr. Hoffmann for Good Reason before a Change in Control or more than 12 months thereafter;</w:t>
            </w:r>
            <w:r>
              <mc:AlternateContent>
                <mc:Choice Requires="wps">
                  <w:drawing>
                    <wp:anchor behindDoc="0" distT="99060" distB="0" distL="120650" distR="0" simplePos="0" locked="0" layoutInCell="1" allowOverlap="1" relativeHeight="181">
                      <wp:simplePos x="0" y="0"/>
                      <wp:positionH relativeFrom="column">
                        <wp:align>left</wp:align>
                      </wp:positionH>
                      <wp:positionV relativeFrom="line">
                        <wp:align>top</wp:align>
                      </wp:positionV>
                      <wp:extent cx="241300" cy="350520"/>
                      <wp:effectExtent l="0" t="0" r="0" b="0"/>
                      <wp:wrapSquare wrapText="right"/>
                      <wp:docPr id="179" name="Frame138"/>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570" w:right="0" w:hanging="0"/>
              <w:jc w:val="left"/>
              <w:rPr/>
            </w:pPr>
            <w:r>
              <w:rPr/>
              <w:t>18 months in the event of termination by the Company without Cause or by Mr. Hoffmann for Good Reason within 12 months after a Change in Control; or</w:t>
            </w:r>
            <w:r>
              <mc:AlternateContent>
                <mc:Choice Requires="wps">
                  <w:drawing>
                    <wp:anchor behindDoc="0" distT="99060" distB="0" distL="120650" distR="0" simplePos="0" locked="0" layoutInCell="1" allowOverlap="1" relativeHeight="182">
                      <wp:simplePos x="0" y="0"/>
                      <wp:positionH relativeFrom="column">
                        <wp:align>left</wp:align>
                      </wp:positionH>
                      <wp:positionV relativeFrom="line">
                        <wp:align>top</wp:align>
                      </wp:positionV>
                      <wp:extent cx="241300" cy="350520"/>
                      <wp:effectExtent l="0" t="0" r="0" b="0"/>
                      <wp:wrapSquare wrapText="right"/>
                      <wp:docPr id="180" name="Frame139"/>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56" w:after="0"/>
              <w:ind w:left="570" w:right="0" w:hanging="0"/>
              <w:jc w:val="left"/>
              <w:rPr/>
            </w:pPr>
            <w:r>
              <w:rPr/>
              <w:t xml:space="preserve">12 months in the event of a Non-Renewal Termination. </w:t>
            </w:r>
            <w:r>
              <mc:AlternateContent>
                <mc:Choice Requires="wps">
                  <w:drawing>
                    <wp:anchor behindDoc="0" distT="99060" distB="0" distL="120650" distR="0" simplePos="0" locked="0" layoutInCell="1" allowOverlap="1" relativeHeight="183">
                      <wp:simplePos x="0" y="0"/>
                      <wp:positionH relativeFrom="column">
                        <wp:align>left</wp:align>
                      </wp:positionH>
                      <wp:positionV relativeFrom="line">
                        <wp:align>top</wp:align>
                      </wp:positionV>
                      <wp:extent cx="241300" cy="350520"/>
                      <wp:effectExtent l="0" t="0" r="0" b="0"/>
                      <wp:wrapSquare wrapText="right"/>
                      <wp:docPr id="181" name="Frame140"/>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190" w:before="0" w:after="283"/>
                                    <w:jc w:val="left"/>
                                    <w:rPr/>
                                  </w:pPr>
                                  <w:r>
                                    <w:rPr/>
                                    <w:t>3.</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190" w:before="0" w:after="283"/>
                              <w:jc w:val="left"/>
                              <w:rPr/>
                            </w:pPr>
                            <w:r>
                              <w:rPr/>
                              <w:t>3.</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230" w:type="dxa"/>
            <w:tcBorders>
              <w:bottom w:val="single" w:sz="2" w:space="0" w:color="BFBFBF"/>
            </w:tcBorders>
            <w:tcMar>
              <w:bottom w:w="41"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7449" w:type="dxa"/>
            <w:tcBorders>
              <w:bottom w:val="single" w:sz="2" w:space="0" w:color="BFBFBF"/>
            </w:tcBorders>
            <w:tcMar>
              <w:bottom w:w="41" w:type="dxa"/>
            </w:tcMar>
            <w:vAlign w:val="center"/>
          </w:tcPr>
          <w:p>
            <w:pPr>
              <w:pStyle w:val="TableContents"/>
              <w:bidi w:val="0"/>
              <w:spacing w:before="0" w:after="0"/>
              <w:jc w:val="left"/>
              <w:rPr/>
            </w:pPr>
            <w:r>
              <w:rPr/>
              <w:t>Amount per month equal to base salary in effect on the date of termination divided by 12, for:</w:t>
            </w:r>
          </w:p>
          <w:p>
            <w:pPr>
              <w:pStyle w:val="TableContents"/>
              <w:bidi w:val="0"/>
              <w:spacing w:lineRule="atLeast" w:line="226" w:before="156" w:after="0"/>
              <w:ind w:left="570" w:right="0" w:hanging="0"/>
              <w:jc w:val="left"/>
              <w:rPr/>
            </w:pPr>
            <w:r>
              <w:rPr/>
              <w:t>12 months in the event of termination by the Company without Cause, by Ms. Miller for Good Reason or as a result of a Non-Renewal Termination before a Change in Control or more than 12 months thereafter; or</w:t>
            </w:r>
            <w:r>
              <mc:AlternateContent>
                <mc:Choice Requires="wps">
                  <w:drawing>
                    <wp:anchor behindDoc="0" distT="99060" distB="0" distL="120650" distR="0" simplePos="0" locked="0" layoutInCell="1" allowOverlap="1" relativeHeight="184">
                      <wp:simplePos x="0" y="0"/>
                      <wp:positionH relativeFrom="column">
                        <wp:align>left</wp:align>
                      </wp:positionH>
                      <wp:positionV relativeFrom="line">
                        <wp:align>top</wp:align>
                      </wp:positionV>
                      <wp:extent cx="241300" cy="350520"/>
                      <wp:effectExtent l="0" t="0" r="0" b="0"/>
                      <wp:wrapSquare wrapText="right"/>
                      <wp:docPr id="182" name="Frame14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570" w:right="0" w:hanging="0"/>
              <w:jc w:val="left"/>
              <w:rPr/>
            </w:pPr>
            <w:r>
              <w:rPr/>
              <w:t xml:space="preserve">18 months in the event of termination by the Company without Cause, by Ms. Miller for Good Reason or as a result of a Non-Renewal Termination, in each case within 12 months after a Change in Control. </w:t>
            </w:r>
            <w:r>
              <mc:AlternateContent>
                <mc:Choice Requires="wps">
                  <w:drawing>
                    <wp:anchor behindDoc="0" distT="99060" distB="0" distL="120650" distR="0" simplePos="0" locked="0" layoutInCell="1" allowOverlap="1" relativeHeight="185">
                      <wp:simplePos x="0" y="0"/>
                      <wp:positionH relativeFrom="column">
                        <wp:align>left</wp:align>
                      </wp:positionH>
                      <wp:positionV relativeFrom="line">
                        <wp:align>top</wp:align>
                      </wp:positionV>
                      <wp:extent cx="241300" cy="350520"/>
                      <wp:effectExtent l="0" t="0" r="0" b="0"/>
                      <wp:wrapSquare wrapText="right"/>
                      <wp:docPr id="183" name="Frame142"/>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230" w:type="dxa"/>
            <w:tcBorders>
              <w:bottom w:val="single" w:sz="6" w:space="0" w:color="BFBFBF"/>
            </w:tcBorders>
            <w:tcMar>
              <w:bottom w:w="40" w:type="dxa"/>
            </w:tcMar>
            <w:vAlign w:val="center"/>
          </w:tcPr>
          <w:p>
            <w:pPr>
              <w:pStyle w:val="TableContents"/>
              <w:bidi w:val="0"/>
              <w:spacing w:before="0" w:after="283"/>
              <w:jc w:val="left"/>
              <w:rPr/>
            </w:pPr>
            <w:r>
              <w:rPr/>
              <w:t xml:space="preserve">Todd R. Sutherland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7449" w:type="dxa"/>
            <w:tcBorders>
              <w:bottom w:val="single" w:sz="6" w:space="0" w:color="BFBFBF"/>
            </w:tcBorders>
            <w:tcMar>
              <w:bottom w:w="40" w:type="dxa"/>
            </w:tcMar>
            <w:vAlign w:val="center"/>
          </w:tcPr>
          <w:p>
            <w:pPr>
              <w:pStyle w:val="TableContents"/>
              <w:bidi w:val="0"/>
              <w:spacing w:before="0" w:after="0"/>
              <w:jc w:val="left"/>
              <w:rPr/>
            </w:pPr>
            <w:r>
              <w:rPr/>
              <w:t>Amount per month equal to base salary in effect on the date of termination divided by 12, for:</w:t>
            </w:r>
          </w:p>
          <w:p>
            <w:pPr>
              <w:pStyle w:val="TableContents"/>
              <w:bidi w:val="0"/>
              <w:spacing w:lineRule="atLeast" w:line="226" w:before="156" w:after="0"/>
              <w:ind w:left="570" w:right="0" w:hanging="0"/>
              <w:jc w:val="left"/>
              <w:rPr/>
            </w:pPr>
            <w:r>
              <w:rPr/>
              <w:t>12 months in the event of termination by the Company without Cause or by Mr. Sutherland for Good Reason before a Change in Control or more than 12 months thereafter;</w:t>
            </w:r>
            <w:r>
              <mc:AlternateContent>
                <mc:Choice Requires="wps">
                  <w:drawing>
                    <wp:anchor behindDoc="0" distT="99060" distB="0" distL="120650" distR="0" simplePos="0" locked="0" layoutInCell="1" allowOverlap="1" relativeHeight="186">
                      <wp:simplePos x="0" y="0"/>
                      <wp:positionH relativeFrom="column">
                        <wp:align>left</wp:align>
                      </wp:positionH>
                      <wp:positionV relativeFrom="line">
                        <wp:align>top</wp:align>
                      </wp:positionV>
                      <wp:extent cx="241300" cy="350520"/>
                      <wp:effectExtent l="0" t="0" r="0" b="0"/>
                      <wp:wrapSquare wrapText="right"/>
                      <wp:docPr id="184" name="Frame143"/>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56" w:after="0"/>
              <w:ind w:left="570" w:right="0" w:hanging="0"/>
              <w:jc w:val="left"/>
              <w:rPr/>
            </w:pPr>
            <w:r>
              <w:rPr/>
              <w:t>18 months in the event of termination by the Company without Cause or by Mr. Sutherland for Good Reason within 12 months after a Change in Control; or</w:t>
            </w:r>
            <w:r>
              <mc:AlternateContent>
                <mc:Choice Requires="wps">
                  <w:drawing>
                    <wp:anchor behindDoc="0" distT="99060" distB="0" distL="120650" distR="0" simplePos="0" locked="0" layoutInCell="1" allowOverlap="1" relativeHeight="187">
                      <wp:simplePos x="0" y="0"/>
                      <wp:positionH relativeFrom="column">
                        <wp:align>left</wp:align>
                      </wp:positionH>
                      <wp:positionV relativeFrom="line">
                        <wp:align>top</wp:align>
                      </wp:positionV>
                      <wp:extent cx="241300" cy="350520"/>
                      <wp:effectExtent l="0" t="0" r="0" b="0"/>
                      <wp:wrapSquare wrapText="right"/>
                      <wp:docPr id="185" name="Frame144"/>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56" w:after="0"/>
              <w:ind w:left="570" w:right="0" w:hanging="0"/>
              <w:jc w:val="left"/>
              <w:rPr/>
            </w:pPr>
            <w:r>
              <w:rPr/>
              <w:t>12 months in the event of a Non-Renewal Termination.</w:t>
            </w:r>
            <w:r>
              <mc:AlternateContent>
                <mc:Choice Requires="wps">
                  <w:drawing>
                    <wp:anchor behindDoc="0" distT="99060" distB="0" distL="120650" distR="0" simplePos="0" locked="0" layoutInCell="1" allowOverlap="1" relativeHeight="188">
                      <wp:simplePos x="0" y="0"/>
                      <wp:positionH relativeFrom="column">
                        <wp:align>left</wp:align>
                      </wp:positionH>
                      <wp:positionV relativeFrom="line">
                        <wp:align>top</wp:align>
                      </wp:positionV>
                      <wp:extent cx="241300" cy="350520"/>
                      <wp:effectExtent l="0" t="0" r="0" b="0"/>
                      <wp:wrapSquare wrapText="right"/>
                      <wp:docPr id="186" name="Frame145"/>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190" w:before="0" w:after="283"/>
                                    <w:jc w:val="left"/>
                                    <w:rPr/>
                                  </w:pPr>
                                  <w:r>
                                    <w:rPr/>
                                    <w:t>3.</w:t>
                                    <w:br/>
                                  </w:r>
                                </w:p>
                              </w:txbxContent>
                            </wps:txbx>
                            <wps:bodyPr anchor="t" lIns="0" tIns="0" rIns="0" bIns="0">
                              <a:noAutofit/>
                            </wps:bodyPr>
                          </wps:wsp>
                        </a:graphicData>
                      </a:graphic>
                    </wp:anchor>
                  </w:drawing>
                </mc:Choice>
                <mc:Fallback>
                  <w:pict>
                    <v:rect style="position:absolute;rotation:-0;width:19pt;height:27.6pt;mso-wrap-distance-left:9.5pt;mso-wrap-distance-right:0pt;mso-wrap-distance-top:7.8pt;mso-wrap-distance-bottom:0pt;margin-top:7.8pt;mso-position-vertical:top;mso-position-vertical-relative:text;margin-left:9.5pt;mso-position-horizontal:left;mso-position-horizontal-relative:text">
                      <v:textbox>
                        <w:txbxContent>
                          <w:p>
                            <w:pPr>
                              <w:pStyle w:val="TextBody"/>
                              <w:bidi w:val="0"/>
                              <w:spacing w:lineRule="atLeast" w:line="190" w:before="0" w:after="283"/>
                              <w:jc w:val="left"/>
                              <w:rPr/>
                            </w:pPr>
                            <w:r>
                              <w:rPr/>
                              <w:t>3.</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43</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40" w:before="303" w:after="283"/>
        <w:ind w:left="920" w:right="0" w:hanging="0"/>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CONDITIONS TO PAYMENT OF SEPARATION BENEFITS</w:t>
      </w:r>
      <w:r>
        <w:rPr>
          <w:rFonts w:ascii="Arial Narrow;Arial;Helvetica;sans-serif" w:hAnsi="Arial Narrow;Arial;Helvetica;sans-serif"/>
          <w:b/>
          <w:i w:val="false"/>
          <w:caps w:val="false"/>
          <w:smallCaps w:val="false"/>
          <w:color w:val="002C73"/>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order to receive the Separation Benefits, the named executive officer must execute a general release in favor of the Company, and comply with the Restrictive Covenants for the period specified in the named executive officer’s employment agreement and identified under their name below under “Quantification of Termination Benefits”. In the event that the named executive officer violates the Restrictive Covenants during the specified period, the Company may terminate the Separation Benefits that it is providing to the named executive officer, and such officer would be obligated to repay the Company for payments previously received.</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NON-EQUITY INCENTIVE PLAN COMPENSATION</w:t>
      </w:r>
      <w:r>
        <w:rPr>
          <w:rFonts w:ascii="Arial Narrow;Arial;Helvetica;sans-serif" w:hAnsi="Arial Narrow;Arial;Helvetica;sans-serif"/>
          <w:b/>
          <w:i w:val="false"/>
          <w:caps w:val="false"/>
          <w:smallCaps w:val="false"/>
          <w:color w:val="002C73"/>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Pursuant to the terms of the STI Plan, in addition to the achievement of specified performance metrics, a participant must remain employed through the settlement date of the award to receive a payout under the STI Plan, subject to certain exceptions for (i) a separation due to death or disability (in which case, payment is made at target level, pro-rated for the period the participant was employed during the performance period), (ii) a qualifying retirement, termination without Cause, a Non-Renewal Termination or resignation by the executive for Good Reason (in which case, payment is made based upon actual performance for the full performance period, pro-rated for the employment period), or (iii) a Change in Control of the Company prior to settlement of the award, followed by termination without Cause of the participant, a Non-Renewal Termination or resignation by the participant for Good Reason (in which case, payment is paid based upon actual performance for the full performance period, pro-rated for the period the executive was employed during the performance period). Notwithstanding the foregoing, pursuant to the terms of Mr. Hoffmann’s employment agreement, the pro-rated bonus amount that he will be eligible to receive upon a termination without Cause, a Non-Renewal Termination, or a resignation for Good Reason is subject to further reduction by a fraction if the average bonus of certain specified shared service officers (collectively, the “Shared Service Chief Officers”) is less than their average target bonuses. In such case, Mr. Hoffmann’s pro-rated bonus would be multiplied by a fraction, the numerator of which is the average actual bonus for the Shared Service Chief Officers, and the denominator being the average target bonus for the Shared Service Chief Officers.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Under the terms of the STI Plan, a qualifying retirement occurs after the attainment of  (i) a minimum of five whole years of employment with the Company, (ii) the participant being at least age fifty, and (iii) a combined age and whole years of employment with the Company that equals or exceeds sixty-five; provided, however, that the Compensation Committee in its discretion may establish an earlier retirement age for any participant. The Compensation Committee did not elect to establish an earlier retirement age for any participant in connection with the 2025 STI Plan awards.</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EQUITY AWARDS</w:t>
      </w:r>
      <w:r>
        <w:rPr>
          <w:rFonts w:ascii="Arial Narrow;Arial;Helvetica;sans-serif" w:hAnsi="Arial Narrow;Arial;Helvetica;sans-serif"/>
          <w:b/>
          <w:i w:val="false"/>
          <w:caps w:val="false"/>
          <w:smallCaps w:val="false"/>
          <w:color w:val="002C73"/>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Pursuant to the terms of the PRSUs issued under the long-term incentive plan (the “LTI Plan”), in addition to the achievement of specified performance metrics, a participant must remain employed through the settlement date of the award for the PRSUs to vest, subject to certain exceptions for (i) a separation due to death or disability (in which case, payment is made at target level, pro-rated for the number of days in the performance period during which the executive was employed), (ii) a qualifying retirement (in which case, payment is made based upon actual performance for the full performance period, pro-rated for the number of days in the performance period during which the executive was employed), or (iii) a Change in Control of the Company prior to the settlement of the award, followed by termination without Cause of the participant, a Non-Renewal Termination, or resignation by the participant for Good Reason (in which case, PRSUs vest based upon actual performance for the full performance period, pro-rated for the period employed during the performance period).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Pursuant to the terms of the Service-Based RSUs issued under the LTI Plan, a recipient must remain employed on a vesting date for vesting to occur, subject to certain exceptions for (i) separation due to death or disability (in which case, all remaining unvested Service-Based RSUs would vest), (ii) a qualifying retirement (in which case, the Service-Based RSUs that would vest on the next annual vesting date will vest, and any other remaining Service-Based RSUs will be forfeited) and (iii) a Change in Control of the Company prior to a vesting date, followed by termination without Cause of the participant, a Non-Renewal Termination, or resignation by the participant for Good Reason (in which case, all remaining unvested Service-Based RSUs would vest).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purposes of the PRSUs and Service-Based RSUs issued under the LTI Plan, a qualifying retirement occurs upon retirement after the attainment of  (i) a minimum of five whole years of employment with the Company, (ii) the participant being at least age fifty and (iii) a combined age and whole years of employment with the Company that equals or exceeds sixty-five; provided, however, that the Compensation Committee in its discretion may establish an earlier retirement age for any participant.</w:t>
      </w:r>
    </w:p>
    <w:p>
      <w:pPr>
        <w:pStyle w:val="TextBody"/>
        <w:bidi w:val="0"/>
        <w:spacing w:lineRule="atLeast" w:line="240" w:before="120" w:after="283"/>
        <w:jc w:val="left"/>
        <w:rPr>
          <w:rFonts w:ascii="Arial Narrow;Arial;Helvetica;sans-serif" w:hAnsi="Arial Narrow;Arial;Helvetica;sans-serif"/>
          <w:b/>
          <w:i w:val="false"/>
          <w:caps w:val="false"/>
          <w:smallCaps w:val="false"/>
          <w:color w:val="002C73"/>
          <w:sz w:val="20"/>
        </w:rPr>
      </w:pPr>
      <w:r>
        <w:rPr>
          <w:rFonts w:ascii="Arial Narrow;Arial;Helvetica;sans-serif" w:hAnsi="Arial Narrow;Arial;Helvetica;sans-serif"/>
          <w:b/>
          <w:i w:val="false"/>
          <w:caps/>
          <w:color w:val="002C73"/>
          <w:sz w:val="20"/>
        </w:rPr>
        <w:t>QUANTIFICATION OF TERMINATION BENEFITS</w:t>
      </w:r>
      <w:r>
        <w:rPr>
          <w:rFonts w:ascii="Arial Narrow;Arial;Helvetica;sans-serif" w:hAnsi="Arial Narrow;Arial;Helvetica;sans-serif"/>
          <w:b/>
          <w:i w:val="false"/>
          <w:caps w:val="false"/>
          <w:smallCaps w:val="false"/>
          <w:color w:val="002C73"/>
          <w:sz w:val="20"/>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The following tables quantify the estimated benefits that each of the named executive officers would have received had they been terminated in the manner described below on December 31, 2025, and, with respect to those benefits contingent upon the occurrence of a Change in Control, assuming the Change in Control occurred on such date. The value for the Service-Based RSUs and the PRSUs (collectively, the “restricted share units”) is determined in accordance with SEC rules as the number of shares of common stock subject to restricted share units that received accelerated vesting, multiplied by $6.36, which was the closing price of our common stock on December 31, 2025 as reported by the Nasdaq Stock Market. The value for restricted share units also includes the aggregate amount of dividends that had accrued on unvested restricted share units, which amount is paid upon vesting of the awards, and the number of shares of common stock and value of the PRSUs assumes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44</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achievement at the target level, unless otherwise specified, for the full performance period in the case of a Change in Control of the Company prior to the settlement of the award, followed by termination without Cause of the participant, a Non-Renewal Termination, or resignation by the participant for Good Reason and in the case of a qualifying retirement.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Frank N. D’Orazio.</w:t>
      </w:r>
      <w:r>
        <w:rPr>
          <w:rFonts w:ascii="Arial Narrow;Arial;Helvetica;sans-serif" w:hAnsi="Arial Narrow;Arial;Helvetica;sans-serif"/>
          <w:b w:val="false"/>
          <w:i w:val="false"/>
          <w:caps w:val="false"/>
          <w:smallCaps w:val="false"/>
          <w:color w:val="000000"/>
          <w:sz w:val="19"/>
        </w:rPr>
        <w:t xml:space="preserve"> The following table describes the potential estimated payments that Mr. D’Orazio would have been entitled to receive had he been terminated on December 31, 2025, calculated in the manner described under the paragraph “Quantification of Termination Benefits”. The amounts are estimated, and actual amounts may vary if Mr. D’Orazio’s employment was actually terminated under the circumstances set forth below or our common stock was trading at a different price, where relevant. Mr. D’Orazio would have been required under his employment agreement to comply with the Restrictive Covenants for a period of eighteen months from the date of termination of his employment, in order to continue to receive the Separation Benefits, and not be obligated to repay the Company any amounts received. The acceleration of vesting for the restricted share units in connection with a Change in Control are not subject to compliance with the Restrictive Covenants.</w:t>
      </w:r>
      <w:r>
        <w:rPr>
          <w:rFonts w:ascii="Arial Narrow;Arial;Helvetica;sans-serif" w:hAnsi="Arial Narrow;Arial;Helvetica;sans-serif"/>
          <w:b w:val="false"/>
          <w:i w:val="false"/>
          <w:caps w:val="false"/>
          <w:smallCaps w:val="false"/>
          <w:color w:val="000000"/>
          <w:spacing w:val="4"/>
          <w:sz w:val="19"/>
        </w:rPr>
        <w:t xml:space="preserve"> </w:t>
      </w:r>
    </w:p>
    <w:tbl>
      <w:tblPr>
        <w:tblW w:w="10501" w:type="dxa"/>
        <w:jc w:val="left"/>
        <w:tblInd w:w="920" w:type="dxa"/>
        <w:tblLayout w:type="fixed"/>
        <w:tblCellMar>
          <w:top w:w="0" w:type="dxa"/>
          <w:left w:w="0" w:type="dxa"/>
          <w:bottom w:w="28" w:type="dxa"/>
          <w:right w:w="0" w:type="dxa"/>
        </w:tblCellMar>
      </w:tblPr>
      <w:tblGrid>
        <w:gridCol w:w="124"/>
        <w:gridCol w:w="1951"/>
        <w:gridCol w:w="109"/>
        <w:gridCol w:w="109"/>
        <w:gridCol w:w="109"/>
        <w:gridCol w:w="150"/>
        <w:gridCol w:w="150"/>
        <w:gridCol w:w="1470"/>
        <w:gridCol w:w="151"/>
        <w:gridCol w:w="109"/>
        <w:gridCol w:w="109"/>
        <w:gridCol w:w="109"/>
        <w:gridCol w:w="150"/>
        <w:gridCol w:w="150"/>
        <w:gridCol w:w="1470"/>
        <w:gridCol w:w="151"/>
        <w:gridCol w:w="109"/>
        <w:gridCol w:w="109"/>
        <w:gridCol w:w="109"/>
        <w:gridCol w:w="115"/>
        <w:gridCol w:w="115"/>
        <w:gridCol w:w="1125"/>
        <w:gridCol w:w="116"/>
        <w:gridCol w:w="109"/>
        <w:gridCol w:w="109"/>
        <w:gridCol w:w="109"/>
        <w:gridCol w:w="267"/>
        <w:gridCol w:w="267"/>
        <w:gridCol w:w="848"/>
        <w:gridCol w:w="26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51" w:type="dxa"/>
            <w:tcBorders>
              <w:bottom w:val="single" w:sz="12" w:space="0" w:color="3F3F3F"/>
            </w:tcBorders>
            <w:shd w:fill="F2F2F2" w:val="clear"/>
            <w:tcMar>
              <w:bottom w:w="127" w:type="dxa"/>
            </w:tcMar>
            <w:vAlign w:val="center"/>
          </w:tcPr>
          <w:p>
            <w:pPr>
              <w:pStyle w:val="TableContents"/>
              <w:bidi w:val="0"/>
              <w:spacing w:before="0" w:after="283"/>
              <w:jc w:val="left"/>
              <w:rPr/>
            </w:pPr>
            <w:r>
              <w:rPr/>
              <w:t>EXECUTIVE BENEFITS AND PAYMENTS</w:t>
              <w:br/>
              <w:t xml:space="preserve">UPON TERMINATION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 REASON</w:t>
              <w:br/>
              <w:t>OR NON-RENEWAL</w:t>
              <w:br/>
              <w:t>TERMINATION</w:t>
              <w:br/>
              <w:t>(WITHOUT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 REASON</w:t>
              <w:br/>
              <w:t>OR NON-RENEWAL</w:t>
              <w:br/>
              <w:t>TERMINATION</w:t>
              <w:br/>
              <w:t>(WITH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7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DEATH OR</w:t>
              <w:br/>
              <w:t>DISABILITY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5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RETIREMENT</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Separation Payment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1,493,436</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5,973,744</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tcMar>
              <w:bottom w:w="65" w:type="dxa"/>
            </w:tcMar>
            <w:vAlign w:val="center"/>
          </w:tcPr>
          <w:p>
            <w:pPr>
              <w:pStyle w:val="TableContents"/>
              <w:bidi w:val="0"/>
              <w:spacing w:before="0" w:after="283"/>
              <w:jc w:val="right"/>
              <w:rPr/>
            </w:pPr>
            <w:r>
              <w:rPr/>
              <w:t>​</w:t>
            </w:r>
          </w:p>
        </w:tc>
        <w:tc>
          <w:tcPr>
            <w:tcW w:w="1125" w:type="dxa"/>
            <w:tcBorders>
              <w:bottom w:val="single" w:sz="2" w:space="0" w:color="BFBFBF"/>
            </w:tcBorders>
            <w:tcMar>
              <w:bottom w:w="65" w:type="dxa"/>
            </w:tcMar>
            <w:vAlign w:val="center"/>
          </w:tcPr>
          <w:p>
            <w:pPr>
              <w:pStyle w:val="TableContents"/>
              <w:bidi w:val="0"/>
              <w:spacing w:before="0" w:after="283"/>
              <w:jc w:val="righ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Insurance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39,502</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39,502</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tcMar>
              <w:bottom w:w="65" w:type="dxa"/>
            </w:tcMar>
            <w:vAlign w:val="center"/>
          </w:tcPr>
          <w:p>
            <w:pPr>
              <w:pStyle w:val="TableContents"/>
              <w:bidi w:val="0"/>
              <w:spacing w:before="0" w:after="283"/>
              <w:jc w:val="right"/>
              <w:rPr/>
            </w:pPr>
            <w:r>
              <w:rPr/>
              <w:t>​</w:t>
            </w:r>
          </w:p>
        </w:tc>
        <w:tc>
          <w:tcPr>
            <w:tcW w:w="1125" w:type="dxa"/>
            <w:tcBorders>
              <w:bottom w:val="single" w:sz="2" w:space="0" w:color="BFBFBF"/>
            </w:tcBorders>
            <w:tcMar>
              <w:bottom w:w="65" w:type="dxa"/>
            </w:tcMar>
            <w:vAlign w:val="center"/>
          </w:tcPr>
          <w:p>
            <w:pPr>
              <w:pStyle w:val="TableContents"/>
              <w:bidi w:val="0"/>
              <w:spacing w:before="0" w:after="283"/>
              <w:jc w:val="righ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Non-Equity Incentive Plan Compensation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934,891</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934,891</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tcMar>
              <w:bottom w:w="65" w:type="dxa"/>
            </w:tcMar>
            <w:vAlign w:val="center"/>
          </w:tcPr>
          <w:p>
            <w:pPr>
              <w:pStyle w:val="TableContents"/>
              <w:bidi w:val="0"/>
              <w:spacing w:before="0" w:after="283"/>
              <w:jc w:val="right"/>
              <w:rPr/>
            </w:pPr>
            <w:r>
              <w:rPr/>
              <w:t>​</w:t>
            </w:r>
          </w:p>
        </w:tc>
        <w:tc>
          <w:tcPr>
            <w:tcW w:w="1125" w:type="dxa"/>
            <w:tcBorders>
              <w:bottom w:val="single" w:sz="2" w:space="0" w:color="BFBFBF"/>
            </w:tcBorders>
            <w:tcMar>
              <w:bottom w:w="65" w:type="dxa"/>
            </w:tcMar>
            <w:vAlign w:val="center"/>
          </w:tcPr>
          <w:p>
            <w:pPr>
              <w:pStyle w:val="TableContents"/>
              <w:bidi w:val="0"/>
              <w:spacing w:before="0" w:after="283"/>
              <w:jc w:val="right"/>
              <w:rPr/>
            </w:pPr>
            <w:r>
              <w:rPr/>
              <w:t>995,624</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Service Based 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1,098,190</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tcMar>
              <w:bottom w:w="53" w:type="dxa"/>
            </w:tcMar>
            <w:vAlign w:val="center"/>
          </w:tcPr>
          <w:p>
            <w:pPr>
              <w:pStyle w:val="TableContents"/>
              <w:bidi w:val="0"/>
              <w:spacing w:before="0" w:after="283"/>
              <w:jc w:val="right"/>
              <w:rPr/>
            </w:pPr>
            <w:r>
              <w:rPr/>
              <w:t>​</w:t>
            </w:r>
          </w:p>
        </w:tc>
        <w:tc>
          <w:tcPr>
            <w:tcW w:w="1125" w:type="dxa"/>
            <w:tcBorders>
              <w:bottom w:val="single" w:sz="2" w:space="0" w:color="BFBFBF"/>
            </w:tcBorders>
            <w:tcMar>
              <w:bottom w:w="53" w:type="dxa"/>
            </w:tcMar>
            <w:vAlign w:val="center"/>
          </w:tcPr>
          <w:p>
            <w:pPr>
              <w:pStyle w:val="TableContents"/>
              <w:bidi w:val="0"/>
              <w:spacing w:before="0" w:after="283"/>
              <w:jc w:val="right"/>
              <w:rPr/>
            </w:pPr>
            <w:r>
              <w:rPr/>
              <w:t>1,098,190</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PRSUs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587,775</w:t>
            </w:r>
            <w:r>
              <w:rPr>
                <w:sz w:val="12"/>
              </w:rPr>
              <w:t>(1)</w:t>
            </w:r>
            <w:r>
              <w:rPr/>
              <w:t xml:space="preserve"> </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vAlign w:val="center"/>
          </w:tcPr>
          <w:p>
            <w:pPr>
              <w:pStyle w:val="TableContents"/>
              <w:bidi w:val="0"/>
              <w:spacing w:before="0" w:after="283"/>
              <w:jc w:val="left"/>
              <w:rPr/>
            </w:pPr>
            <w:r>
              <w:rPr/>
              <w:t>​</w:t>
            </w:r>
          </w:p>
        </w:tc>
        <w:tc>
          <w:tcPr>
            <w:tcW w:w="115" w:type="dxa"/>
            <w:tcBorders>
              <w:bottom w:val="single" w:sz="2" w:space="0" w:color="BFBFBF"/>
            </w:tcBorders>
            <w:tcMar>
              <w:bottom w:w="53" w:type="dxa"/>
            </w:tcMar>
            <w:vAlign w:val="center"/>
          </w:tcPr>
          <w:p>
            <w:pPr>
              <w:pStyle w:val="TableContents"/>
              <w:bidi w:val="0"/>
              <w:spacing w:before="0" w:after="283"/>
              <w:jc w:val="right"/>
              <w:rPr/>
            </w:pPr>
            <w:r>
              <w:rPr/>
              <w:t>​</w:t>
            </w:r>
          </w:p>
        </w:tc>
        <w:tc>
          <w:tcPr>
            <w:tcW w:w="1125" w:type="dxa"/>
            <w:tcBorders>
              <w:bottom w:val="single" w:sz="2" w:space="0" w:color="BFBFBF"/>
            </w:tcBorders>
            <w:tcMar>
              <w:bottom w:w="53" w:type="dxa"/>
            </w:tcMar>
            <w:vAlign w:val="center"/>
          </w:tcPr>
          <w:p>
            <w:pPr>
              <w:pStyle w:val="TableContents"/>
              <w:bidi w:val="0"/>
              <w:spacing w:before="0" w:after="283"/>
              <w:jc w:val="right"/>
              <w:rPr/>
            </w:pPr>
            <w:r>
              <w:rPr/>
              <w:t>587,775</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r>
        <mc:AlternateContent>
          <mc:Choice Requires="wps">
            <w:drawing>
              <wp:anchor behindDoc="0" distT="69215" distB="0" distL="25400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7"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Sarah C. Doran.</w:t>
      </w:r>
      <w:r>
        <w:rPr>
          <w:rFonts w:ascii="Arial Narrow;Arial;Helvetica;sans-serif" w:hAnsi="Arial Narrow;Arial;Helvetica;sans-serif"/>
          <w:b w:val="false"/>
          <w:i w:val="false"/>
          <w:caps w:val="false"/>
          <w:smallCaps w:val="false"/>
          <w:color w:val="000000"/>
          <w:sz w:val="19"/>
        </w:rPr>
        <w:t xml:space="preserve"> The following table describes the potential estimated payments that Ms. Doran would have been entitled to receive had she been terminated on December 31, 2025, calculated in the manner described under the paragraph “Quantification of Termination Benefits”. The amounts are estimated, and actual amounts may vary if Ms. Doran’s employment was actually terminated under the circumstances set forth below or our common stock was trading at a different price, where relevant. Ms. Doran would have been required under her employment agreement to comply with the Restrictive Covenants for a period of twelve months from the date of termination of her employment by the Company without Cause or by her for Good Reason or in the event of a Non-Renewal Termination in order to continue to receive the Separation Benefits, and not be obligated to repay the Company any amounts received. The relocation expenses and the acceleration of vesting for the restricted share units in connection with a Change in Control are not subject to compliance with the Restrictive Covenants.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45</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10501" w:type="dxa"/>
        <w:jc w:val="left"/>
        <w:tblInd w:w="920" w:type="dxa"/>
        <w:tblLayout w:type="fixed"/>
        <w:tblCellMar>
          <w:top w:w="0" w:type="dxa"/>
          <w:left w:w="0" w:type="dxa"/>
          <w:bottom w:w="28" w:type="dxa"/>
          <w:right w:w="0" w:type="dxa"/>
        </w:tblCellMar>
      </w:tblPr>
      <w:tblGrid>
        <w:gridCol w:w="124"/>
        <w:gridCol w:w="1951"/>
        <w:gridCol w:w="109"/>
        <w:gridCol w:w="109"/>
        <w:gridCol w:w="109"/>
        <w:gridCol w:w="150"/>
        <w:gridCol w:w="150"/>
        <w:gridCol w:w="1470"/>
        <w:gridCol w:w="151"/>
        <w:gridCol w:w="109"/>
        <w:gridCol w:w="109"/>
        <w:gridCol w:w="109"/>
        <w:gridCol w:w="150"/>
        <w:gridCol w:w="150"/>
        <w:gridCol w:w="1470"/>
        <w:gridCol w:w="151"/>
        <w:gridCol w:w="109"/>
        <w:gridCol w:w="109"/>
        <w:gridCol w:w="109"/>
        <w:gridCol w:w="132"/>
        <w:gridCol w:w="132"/>
        <w:gridCol w:w="1074"/>
        <w:gridCol w:w="133"/>
        <w:gridCol w:w="109"/>
        <w:gridCol w:w="109"/>
        <w:gridCol w:w="109"/>
        <w:gridCol w:w="267"/>
        <w:gridCol w:w="267"/>
        <w:gridCol w:w="848"/>
        <w:gridCol w:w="26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51" w:type="dxa"/>
            <w:tcBorders>
              <w:bottom w:val="single" w:sz="12" w:space="0" w:color="3F3F3F"/>
            </w:tcBorders>
            <w:shd w:fill="F2F2F2" w:val="clear"/>
            <w:tcMar>
              <w:bottom w:w="127" w:type="dxa"/>
            </w:tcMar>
            <w:vAlign w:val="center"/>
          </w:tcPr>
          <w:p>
            <w:pPr>
              <w:pStyle w:val="TableContents"/>
              <w:bidi w:val="0"/>
              <w:spacing w:before="0" w:after="283"/>
              <w:jc w:val="left"/>
              <w:rPr/>
            </w:pPr>
            <w:r>
              <w:rPr/>
              <w:t>EXECUTIVE BENEFITS AND PAYMENTS</w:t>
              <w:br/>
              <w:t xml:space="preserve">UPON TERMINATION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 REASON</w:t>
              <w:br/>
              <w:t>OR NON-RENEWAL</w:t>
              <w:br/>
              <w:t>TERMINATION</w:t>
              <w:br/>
              <w:t>(WITHOUT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 REASON</w:t>
              <w:br/>
              <w:t>OR NON-RENEWAL</w:t>
              <w:br/>
              <w:t>TERMINATION</w:t>
              <w:br/>
              <w:t>(WITH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7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DEATH OR</w:t>
              <w:br/>
              <w:t>DISABILITY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5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RETIREMENT</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Separation Payment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1,178,320</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1,472,900</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Insurance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21,685</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21,685</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Non-Equity Incentive Plan Compensation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553,221</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553,221</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589,160</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Relocation Expenses from North Carolina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100,000</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100,000</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Service Based 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649,978</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649,978</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lineRule="atLeast" w:line="226" w:before="0" w:after="0"/>
              <w:jc w:val="left"/>
              <w:rPr/>
            </w:pPr>
            <w:r>
              <w:rPr/>
              <w:t xml:space="preserve">PRSUs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vAlign w:val="center"/>
          </w:tcPr>
          <w:p>
            <w:pPr>
              <w:pStyle w:val="TableContents"/>
              <w:bidi w:val="0"/>
              <w:spacing w:before="0" w:after="283"/>
              <w:jc w:val="left"/>
              <w:rPr/>
            </w:pPr>
            <w:r>
              <w:rPr/>
              <w:t>​</w:t>
            </w:r>
          </w:p>
        </w:tc>
        <w:tc>
          <w:tcPr>
            <w:tcW w:w="150" w:type="dxa"/>
            <w:tcBorders>
              <w:bottom w:val="single" w:sz="2" w:space="0" w:color="BFBFBF"/>
            </w:tcBorders>
            <w:tcMar>
              <w:bottom w:w="53" w:type="dxa"/>
            </w:tcMar>
            <w:vAlign w:val="center"/>
          </w:tcPr>
          <w:p>
            <w:pPr>
              <w:pStyle w:val="TableContents"/>
              <w:bidi w:val="0"/>
              <w:spacing w:before="0" w:after="283"/>
              <w:jc w:val="right"/>
              <w:rPr/>
            </w:pPr>
            <w:r>
              <w:rPr/>
              <w:t>​</w:t>
            </w:r>
          </w:p>
        </w:tc>
        <w:tc>
          <w:tcPr>
            <w:tcW w:w="1470" w:type="dxa"/>
            <w:tcBorders>
              <w:bottom w:val="single" w:sz="2" w:space="0" w:color="BFBFBF"/>
            </w:tcBorders>
            <w:tcMar>
              <w:bottom w:w="53" w:type="dxa"/>
            </w:tcMar>
            <w:vAlign w:val="center"/>
          </w:tcPr>
          <w:p>
            <w:pPr>
              <w:pStyle w:val="TableContents"/>
              <w:bidi w:val="0"/>
              <w:spacing w:before="0" w:after="283"/>
              <w:jc w:val="right"/>
              <w:rPr/>
            </w:pPr>
            <w:r>
              <w:rPr/>
              <w:t>348,071</w:t>
            </w:r>
            <w:r>
              <w:rPr>
                <w:sz w:val="12"/>
              </w:rPr>
              <w:t>(1)</w:t>
            </w:r>
            <w:r>
              <w:rPr/>
              <w:t xml:space="preserve"> </w:t>
            </w:r>
          </w:p>
        </w:tc>
        <w:tc>
          <w:tcPr>
            <w:tcW w:w="15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348,071</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r>
        <mc:AlternateContent>
          <mc:Choice Requires="wps">
            <w:drawing>
              <wp:anchor behindDoc="0" distT="69215"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8"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Michael J. Hoffmann.</w:t>
      </w:r>
      <w:r>
        <w:rPr>
          <w:rFonts w:ascii="Arial Narrow;Arial;Helvetica;sans-serif" w:hAnsi="Arial Narrow;Arial;Helvetica;sans-serif"/>
          <w:b w:val="false"/>
          <w:i w:val="false"/>
          <w:caps w:val="false"/>
          <w:smallCaps w:val="false"/>
          <w:color w:val="000000"/>
          <w:sz w:val="19"/>
        </w:rPr>
        <w:t xml:space="preserve"> The following table describes the potential estimated payments that Mr. Hoffmann would have been entitled to receive had he been terminated on December 31, 2025, calculated in the manner described under the paragraph “Quantification of Termination Benefits”. The amounts are estimated, and actual amounts may vary if Mr. Hoffmann’s employment was actually terminated under the circumstances set forth below or our common stock was trading at a different price, where relevant. Mr. Hoffmann would have been required under his employment agreement to comply with the Restrictive Covenants for a period of twelve months from the date of termination of his employment if his employment was terminated by the Company without Cause or by him for Good Reason or in the event of a Non-Renewal Termination in order to continue to receive the Separation Benefits, and not be obligated to repay the Company any amounts received. The acceleration of vesting for the restricted share units in connection with a Change in Control is not subject to compliance with the Restrictive Covenants.</w:t>
      </w:r>
      <w:r>
        <w:rPr>
          <w:rFonts w:ascii="Arial Narrow;Arial;Helvetica;sans-serif" w:hAnsi="Arial Narrow;Arial;Helvetica;sans-serif"/>
          <w:b w:val="false"/>
          <w:i w:val="false"/>
          <w:caps w:val="false"/>
          <w:smallCaps w:val="false"/>
          <w:color w:val="000000"/>
          <w:spacing w:val="4"/>
          <w:sz w:val="19"/>
        </w:rPr>
        <w:t xml:space="preserve"> </w:t>
      </w:r>
    </w:p>
    <w:tbl>
      <w:tblPr>
        <w:tblW w:w="12104" w:type="dxa"/>
        <w:jc w:val="left"/>
        <w:tblInd w:w="920" w:type="dxa"/>
        <w:tblLayout w:type="fixed"/>
        <w:tblCellMar>
          <w:top w:w="0" w:type="dxa"/>
          <w:left w:w="0" w:type="dxa"/>
          <w:bottom w:w="28" w:type="dxa"/>
          <w:right w:w="0" w:type="dxa"/>
        </w:tblCellMar>
      </w:tblPr>
      <w:tblGrid>
        <w:gridCol w:w="124"/>
        <w:gridCol w:w="1951"/>
        <w:gridCol w:w="109"/>
        <w:gridCol w:w="109"/>
        <w:gridCol w:w="109"/>
        <w:gridCol w:w="172"/>
        <w:gridCol w:w="172"/>
        <w:gridCol w:w="1403"/>
        <w:gridCol w:w="174"/>
        <w:gridCol w:w="109"/>
        <w:gridCol w:w="109"/>
        <w:gridCol w:w="109"/>
        <w:gridCol w:w="109"/>
        <w:gridCol w:w="109"/>
        <w:gridCol w:w="949"/>
        <w:gridCol w:w="109"/>
        <w:gridCol w:w="109"/>
        <w:gridCol w:w="109"/>
        <w:gridCol w:w="109"/>
        <w:gridCol w:w="166"/>
        <w:gridCol w:w="166"/>
        <w:gridCol w:w="1421"/>
        <w:gridCol w:w="168"/>
        <w:gridCol w:w="109"/>
        <w:gridCol w:w="109"/>
        <w:gridCol w:w="109"/>
        <w:gridCol w:w="132"/>
        <w:gridCol w:w="132"/>
        <w:gridCol w:w="1074"/>
        <w:gridCol w:w="133"/>
        <w:gridCol w:w="109"/>
        <w:gridCol w:w="109"/>
        <w:gridCol w:w="109"/>
        <w:gridCol w:w="267"/>
        <w:gridCol w:w="267"/>
        <w:gridCol w:w="848"/>
        <w:gridCol w:w="26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51" w:type="dxa"/>
            <w:tcBorders>
              <w:bottom w:val="single" w:sz="12" w:space="0" w:color="3F3F3F"/>
            </w:tcBorders>
            <w:shd w:fill="F2F2F2" w:val="clear"/>
            <w:tcMar>
              <w:bottom w:w="127" w:type="dxa"/>
            </w:tcMar>
            <w:vAlign w:val="center"/>
          </w:tcPr>
          <w:p>
            <w:pPr>
              <w:pStyle w:val="TableContents"/>
              <w:bidi w:val="0"/>
              <w:spacing w:before="0" w:after="283"/>
              <w:jc w:val="left"/>
              <w:rPr/>
            </w:pPr>
            <w:r>
              <w:rPr/>
              <w:t xml:space="preserve">EXECUTIVE BENEFITS AND PAYMENTS </w:t>
              <w:br/>
              <w:t xml:space="preserve">UPON TERMINATION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w:t>
              <w:br/>
              <w:t>REASON</w:t>
              <w:br/>
              <w:t>OR NON-RENEWAL</w:t>
              <w:br/>
              <w:t>TERMINATION</w:t>
              <w:br/>
              <w:t>(WITHOUT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7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 OR</w:t>
              <w:br/>
              <w:t>FOR GOOD REASON</w:t>
              <w:br/>
              <w:t>(WITH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NON-RENEWAL</w:t>
              <w:br/>
              <w:t>TERMINATION</w:t>
              <w:br/>
              <w:t>(WITH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7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DEATH OR</w:t>
              <w:br/>
              <w:t>DISABILITY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5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RETIREMENT</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Separation Payment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455,260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49" w:type="dxa"/>
            <w:tcBorders>
              <w:bottom w:val="single" w:sz="2" w:space="0" w:color="BFBFBF"/>
            </w:tcBorders>
            <w:tcMar>
              <w:bottom w:w="65" w:type="dxa"/>
            </w:tcMar>
            <w:vAlign w:val="center"/>
          </w:tcPr>
          <w:p>
            <w:pPr>
              <w:pStyle w:val="TableContents"/>
              <w:bidi w:val="0"/>
              <w:spacing w:before="0" w:after="283"/>
              <w:jc w:val="right"/>
              <w:rPr/>
            </w:pPr>
            <w:r>
              <w:rPr/>
              <w:t>682,890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65" w:type="dxa"/>
            </w:tcMar>
            <w:vAlign w:val="center"/>
          </w:tcPr>
          <w:p>
            <w:pPr>
              <w:pStyle w:val="TableContents"/>
              <w:bidi w:val="0"/>
              <w:spacing w:before="0" w:after="283"/>
              <w:jc w:val="right"/>
              <w:rPr/>
            </w:pPr>
            <w:r>
              <w:rPr/>
              <w:t>​</w:t>
            </w:r>
          </w:p>
        </w:tc>
        <w:tc>
          <w:tcPr>
            <w:tcW w:w="1421" w:type="dxa"/>
            <w:tcBorders>
              <w:bottom w:val="single" w:sz="2" w:space="0" w:color="BFBFBF"/>
            </w:tcBorders>
            <w:tcMar>
              <w:bottom w:w="65" w:type="dxa"/>
            </w:tcMar>
            <w:vAlign w:val="center"/>
          </w:tcPr>
          <w:p>
            <w:pPr>
              <w:pStyle w:val="TableContents"/>
              <w:bidi w:val="0"/>
              <w:spacing w:before="0" w:after="283"/>
              <w:jc w:val="right"/>
              <w:rPr/>
            </w:pPr>
            <w:r>
              <w:rPr/>
              <w:t>455,260</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Insurance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37,735</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49" w:type="dxa"/>
            <w:tcBorders>
              <w:bottom w:val="single" w:sz="2" w:space="0" w:color="BFBFBF"/>
            </w:tcBorders>
            <w:tcMar>
              <w:bottom w:w="65" w:type="dxa"/>
            </w:tcMar>
            <w:vAlign w:val="center"/>
          </w:tcPr>
          <w:p>
            <w:pPr>
              <w:pStyle w:val="TableContents"/>
              <w:bidi w:val="0"/>
              <w:spacing w:before="0" w:after="283"/>
              <w:jc w:val="right"/>
              <w:rPr/>
            </w:pPr>
            <w:r>
              <w:rPr/>
              <w:t>37,735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65" w:type="dxa"/>
            </w:tcMar>
            <w:vAlign w:val="center"/>
          </w:tcPr>
          <w:p>
            <w:pPr>
              <w:pStyle w:val="TableContents"/>
              <w:bidi w:val="0"/>
              <w:spacing w:before="0" w:after="283"/>
              <w:jc w:val="right"/>
              <w:rPr/>
            </w:pPr>
            <w:r>
              <w:rPr/>
              <w:t>​</w:t>
            </w:r>
          </w:p>
        </w:tc>
        <w:tc>
          <w:tcPr>
            <w:tcW w:w="1421" w:type="dxa"/>
            <w:tcBorders>
              <w:bottom w:val="single" w:sz="2" w:space="0" w:color="BFBFBF"/>
            </w:tcBorders>
            <w:tcMar>
              <w:bottom w:w="65" w:type="dxa"/>
            </w:tcMar>
            <w:vAlign w:val="center"/>
          </w:tcPr>
          <w:p>
            <w:pPr>
              <w:pStyle w:val="TableContents"/>
              <w:bidi w:val="0"/>
              <w:spacing w:before="0" w:after="283"/>
              <w:jc w:val="right"/>
              <w:rPr/>
            </w:pPr>
            <w:r>
              <w:rPr/>
              <w:t>37,735</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Non-Equity Incentive Plan Compensation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320,617</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65" w:type="dxa"/>
            </w:tcMar>
            <w:vAlign w:val="center"/>
          </w:tcPr>
          <w:p>
            <w:pPr>
              <w:pStyle w:val="TableContents"/>
              <w:bidi w:val="0"/>
              <w:spacing w:before="0" w:after="283"/>
              <w:jc w:val="right"/>
              <w:rPr/>
            </w:pPr>
            <w:r>
              <w:rPr/>
              <w:t>​</w:t>
            </w:r>
          </w:p>
        </w:tc>
        <w:tc>
          <w:tcPr>
            <w:tcW w:w="949" w:type="dxa"/>
            <w:tcBorders>
              <w:bottom w:val="single" w:sz="2" w:space="0" w:color="BFBFBF"/>
            </w:tcBorders>
            <w:tcMar>
              <w:bottom w:w="65" w:type="dxa"/>
            </w:tcMar>
            <w:vAlign w:val="center"/>
          </w:tcPr>
          <w:p>
            <w:pPr>
              <w:pStyle w:val="TableContents"/>
              <w:bidi w:val="0"/>
              <w:spacing w:before="0" w:after="283"/>
              <w:jc w:val="right"/>
              <w:rPr/>
            </w:pPr>
            <w:r>
              <w:rPr/>
              <w:t>320,617</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65" w:type="dxa"/>
            </w:tcMar>
            <w:vAlign w:val="center"/>
          </w:tcPr>
          <w:p>
            <w:pPr>
              <w:pStyle w:val="TableContents"/>
              <w:bidi w:val="0"/>
              <w:spacing w:before="0" w:after="283"/>
              <w:jc w:val="right"/>
              <w:rPr/>
            </w:pPr>
            <w:r>
              <w:rPr/>
              <w:t>​</w:t>
            </w:r>
          </w:p>
        </w:tc>
        <w:tc>
          <w:tcPr>
            <w:tcW w:w="1421" w:type="dxa"/>
            <w:tcBorders>
              <w:bottom w:val="single" w:sz="2" w:space="0" w:color="BFBFBF"/>
            </w:tcBorders>
            <w:tcMar>
              <w:bottom w:w="65" w:type="dxa"/>
            </w:tcMar>
            <w:vAlign w:val="center"/>
          </w:tcPr>
          <w:p>
            <w:pPr>
              <w:pStyle w:val="TableContents"/>
              <w:bidi w:val="0"/>
              <w:spacing w:before="0" w:after="283"/>
              <w:jc w:val="right"/>
              <w:rPr/>
            </w:pPr>
            <w:r>
              <w:rPr/>
              <w:t>320,617</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341,445</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Service Based 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3" w:type="dxa"/>
            </w:tcMar>
            <w:vAlign w:val="center"/>
          </w:tcPr>
          <w:p>
            <w:pPr>
              <w:pStyle w:val="TableContents"/>
              <w:bidi w:val="0"/>
              <w:spacing w:before="0" w:after="283"/>
              <w:jc w:val="right"/>
              <w:rPr/>
            </w:pPr>
            <w:r>
              <w:rPr/>
              <w:t>​</w:t>
            </w:r>
          </w:p>
        </w:tc>
        <w:tc>
          <w:tcPr>
            <w:tcW w:w="949" w:type="dxa"/>
            <w:tcBorders>
              <w:bottom w:val="single" w:sz="2" w:space="0" w:color="BFBFBF"/>
            </w:tcBorders>
            <w:tcMar>
              <w:bottom w:w="53" w:type="dxa"/>
            </w:tcMar>
            <w:vAlign w:val="center"/>
          </w:tcPr>
          <w:p>
            <w:pPr>
              <w:pStyle w:val="TableContents"/>
              <w:bidi w:val="0"/>
              <w:spacing w:before="0" w:after="283"/>
              <w:jc w:val="right"/>
              <w:rPr/>
            </w:pPr>
            <w:r>
              <w:rPr/>
              <w:t>502,255</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53" w:type="dxa"/>
            </w:tcMar>
            <w:vAlign w:val="center"/>
          </w:tcPr>
          <w:p>
            <w:pPr>
              <w:pStyle w:val="TableContents"/>
              <w:bidi w:val="0"/>
              <w:spacing w:before="0" w:after="283"/>
              <w:jc w:val="right"/>
              <w:rPr/>
            </w:pPr>
            <w:r>
              <w:rPr/>
              <w:t>​</w:t>
            </w:r>
          </w:p>
        </w:tc>
        <w:tc>
          <w:tcPr>
            <w:tcW w:w="1421" w:type="dxa"/>
            <w:tcBorders>
              <w:bottom w:val="single" w:sz="2" w:space="0" w:color="BFBFBF"/>
            </w:tcBorders>
            <w:tcMar>
              <w:bottom w:w="53" w:type="dxa"/>
            </w:tcMar>
            <w:vAlign w:val="center"/>
          </w:tcPr>
          <w:p>
            <w:pPr>
              <w:pStyle w:val="TableContents"/>
              <w:bidi w:val="0"/>
              <w:spacing w:before="0" w:after="283"/>
              <w:jc w:val="right"/>
              <w:rPr/>
            </w:pPr>
            <w:r>
              <w:rPr/>
              <w:t>502,255</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502,255</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lineRule="atLeast" w:line="226" w:before="0" w:after="0"/>
              <w:jc w:val="left"/>
              <w:rPr/>
            </w:pPr>
            <w:r>
              <w:rPr/>
              <w:t xml:space="preserve">PRSUs (amount includes accrued dividends </w:t>
              <w:br/>
              <w:t xml:space="preserve">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tcMar>
              <w:bottom w:w="53" w:type="dxa"/>
            </w:tcMar>
            <w:vAlign w:val="center"/>
          </w:tcPr>
          <w:p>
            <w:pPr>
              <w:pStyle w:val="TableContents"/>
              <w:bidi w:val="0"/>
              <w:spacing w:before="0" w:after="283"/>
              <w:jc w:val="right"/>
              <w:rPr/>
            </w:pPr>
            <w:r>
              <w:rPr/>
              <w:t>​</w:t>
            </w:r>
          </w:p>
        </w:tc>
        <w:tc>
          <w:tcPr>
            <w:tcW w:w="949" w:type="dxa"/>
            <w:tcBorders>
              <w:bottom w:val="single" w:sz="2" w:space="0" w:color="BFBFBF"/>
            </w:tcBorders>
            <w:tcMar>
              <w:bottom w:w="53" w:type="dxa"/>
            </w:tcMar>
            <w:vAlign w:val="center"/>
          </w:tcPr>
          <w:p>
            <w:pPr>
              <w:pStyle w:val="TableContents"/>
              <w:bidi w:val="0"/>
              <w:spacing w:before="0" w:after="283"/>
              <w:jc w:val="right"/>
              <w:rPr/>
            </w:pPr>
            <w:r>
              <w:rPr/>
              <w:t>268,968</w:t>
            </w:r>
            <w:r>
              <w:rPr>
                <w:sz w:val="12"/>
              </w:rPr>
              <w:t>(1)</w:t>
            </w:r>
            <w:r>
              <w:rPr/>
              <w:t xml:space="preserv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53" w:type="dxa"/>
            </w:tcMar>
            <w:vAlign w:val="center"/>
          </w:tcPr>
          <w:p>
            <w:pPr>
              <w:pStyle w:val="TableContents"/>
              <w:bidi w:val="0"/>
              <w:spacing w:before="0" w:after="283"/>
              <w:jc w:val="right"/>
              <w:rPr/>
            </w:pPr>
            <w:r>
              <w:rPr/>
              <w:t>​</w:t>
            </w:r>
          </w:p>
        </w:tc>
        <w:tc>
          <w:tcPr>
            <w:tcW w:w="1421" w:type="dxa"/>
            <w:tcBorders>
              <w:bottom w:val="single" w:sz="2" w:space="0" w:color="BFBFBF"/>
            </w:tcBorders>
            <w:tcMar>
              <w:bottom w:w="53" w:type="dxa"/>
            </w:tcMar>
            <w:vAlign w:val="center"/>
          </w:tcPr>
          <w:p>
            <w:pPr>
              <w:pStyle w:val="TableContents"/>
              <w:bidi w:val="0"/>
              <w:spacing w:before="0" w:after="283"/>
              <w:jc w:val="right"/>
              <w:rPr/>
            </w:pPr>
            <w:r>
              <w:rPr/>
              <w:t>268,968</w:t>
            </w:r>
            <w:r>
              <w:rPr>
                <w:sz w:val="12"/>
              </w:rPr>
              <w:t>(1)</w:t>
            </w:r>
            <w:r>
              <w:rPr/>
              <w:t xml:space="preserve"> </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268,968</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69215"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9"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Jeanette L. Miller.</w:t>
      </w:r>
      <w:r>
        <w:rPr>
          <w:rFonts w:ascii="Arial Narrow;Arial;Helvetica;sans-serif" w:hAnsi="Arial Narrow;Arial;Helvetica;sans-serif"/>
          <w:b w:val="false"/>
          <w:i w:val="false"/>
          <w:caps w:val="false"/>
          <w:smallCaps w:val="false"/>
          <w:color w:val="000000"/>
          <w:sz w:val="19"/>
        </w:rPr>
        <w:t xml:space="preserve"> The following table describes the potential estimated payments that Ms. Miller would have been entitled to receive had she been terminated on December 31, 2025, calculated in the manner described under the paragraph “Quantification of Termination Benefits”. The amounts are estimated, and actual amounts may vary if Ms. Miller’s employment was actually terminated under the circumstances set forth below or our common stock was trading at a different price, where relevant. Ms. Miller would have been required under her employment agreement to comply with the Restrictive Covenants for a period of eighteen months from the date of termination of her employment if her employment was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46</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3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terminated by the Company without Cause or by her for Good Reason or in the event of a Non-Renewal Termination in order to continue to receive the Separation Benefits, and not be obligated to repay the Company any amounts received. The acceleration of vesting for the restricted share units in connection with a Change in Control is not subject to compliance with the Restrictive Covenants.</w:t>
      </w:r>
      <w:r>
        <w:rPr>
          <w:rFonts w:ascii="Arial Narrow;Arial;Helvetica;sans-serif" w:hAnsi="Arial Narrow;Arial;Helvetica;sans-serif"/>
          <w:b w:val="false"/>
          <w:i w:val="false"/>
          <w:caps w:val="false"/>
          <w:smallCaps w:val="false"/>
          <w:color w:val="000000"/>
          <w:spacing w:val="4"/>
          <w:sz w:val="19"/>
        </w:rPr>
        <w:t xml:space="preserve"> </w:t>
      </w:r>
    </w:p>
    <w:tbl>
      <w:tblPr>
        <w:tblW w:w="10501" w:type="dxa"/>
        <w:jc w:val="left"/>
        <w:tblInd w:w="920" w:type="dxa"/>
        <w:tblLayout w:type="fixed"/>
        <w:tblCellMar>
          <w:top w:w="0" w:type="dxa"/>
          <w:left w:w="0" w:type="dxa"/>
          <w:bottom w:w="28" w:type="dxa"/>
          <w:right w:w="0" w:type="dxa"/>
        </w:tblCellMar>
      </w:tblPr>
      <w:tblGrid>
        <w:gridCol w:w="124"/>
        <w:gridCol w:w="1951"/>
        <w:gridCol w:w="109"/>
        <w:gridCol w:w="109"/>
        <w:gridCol w:w="109"/>
        <w:gridCol w:w="172"/>
        <w:gridCol w:w="172"/>
        <w:gridCol w:w="1403"/>
        <w:gridCol w:w="174"/>
        <w:gridCol w:w="109"/>
        <w:gridCol w:w="109"/>
        <w:gridCol w:w="109"/>
        <w:gridCol w:w="166"/>
        <w:gridCol w:w="166"/>
        <w:gridCol w:w="1421"/>
        <w:gridCol w:w="168"/>
        <w:gridCol w:w="109"/>
        <w:gridCol w:w="109"/>
        <w:gridCol w:w="109"/>
        <w:gridCol w:w="132"/>
        <w:gridCol w:w="132"/>
        <w:gridCol w:w="1074"/>
        <w:gridCol w:w="133"/>
        <w:gridCol w:w="109"/>
        <w:gridCol w:w="109"/>
        <w:gridCol w:w="109"/>
        <w:gridCol w:w="267"/>
        <w:gridCol w:w="267"/>
        <w:gridCol w:w="848"/>
        <w:gridCol w:w="26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51" w:type="dxa"/>
            <w:tcBorders>
              <w:bottom w:val="single" w:sz="12" w:space="0" w:color="3F3F3F"/>
            </w:tcBorders>
            <w:shd w:fill="F2F2F2" w:val="clear"/>
            <w:tcMar>
              <w:bottom w:w="127" w:type="dxa"/>
            </w:tcMar>
            <w:vAlign w:val="center"/>
          </w:tcPr>
          <w:p>
            <w:pPr>
              <w:pStyle w:val="TableContents"/>
              <w:bidi w:val="0"/>
              <w:spacing w:before="0" w:after="283"/>
              <w:jc w:val="left"/>
              <w:rPr/>
            </w:pPr>
            <w:r>
              <w:rPr/>
              <w:t>EXECUTIVE BENEFITS AND PAYMENTS</w:t>
              <w:br/>
              <w:t xml:space="preserve">UPON TERMINATION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 REASON</w:t>
              <w:br/>
              <w:t>OR NON-RENEWAL</w:t>
              <w:br/>
              <w:t>TERMINATION</w:t>
              <w:br/>
              <w:t>(WITHOUT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 REASON</w:t>
              <w:br/>
              <w:t>OR NON-RENEWAL</w:t>
              <w:br/>
              <w:t>TERMINATION</w:t>
              <w:br/>
              <w:t>(WITH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7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DEATH OR</w:t>
              <w:br/>
              <w:t>DISABILITY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5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RETIREMENT</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Separation Payment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370,800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65" w:type="dxa"/>
            </w:tcMar>
            <w:vAlign w:val="center"/>
          </w:tcPr>
          <w:p>
            <w:pPr>
              <w:pStyle w:val="TableContents"/>
              <w:bidi w:val="0"/>
              <w:spacing w:before="0" w:after="283"/>
              <w:jc w:val="right"/>
              <w:rPr/>
            </w:pPr>
            <w:r>
              <w:rPr/>
              <w:t>​</w:t>
            </w:r>
          </w:p>
        </w:tc>
        <w:tc>
          <w:tcPr>
            <w:tcW w:w="1421" w:type="dxa"/>
            <w:tcBorders>
              <w:bottom w:val="single" w:sz="2" w:space="0" w:color="BFBFBF"/>
            </w:tcBorders>
            <w:tcMar>
              <w:bottom w:w="65" w:type="dxa"/>
            </w:tcMar>
            <w:vAlign w:val="center"/>
          </w:tcPr>
          <w:p>
            <w:pPr>
              <w:pStyle w:val="TableContents"/>
              <w:bidi w:val="0"/>
              <w:spacing w:before="0" w:after="283"/>
              <w:jc w:val="right"/>
              <w:rPr/>
            </w:pPr>
            <w:r>
              <w:rPr/>
              <w:t>556,200</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Insurance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65" w:type="dxa"/>
            </w:tcMar>
            <w:vAlign w:val="center"/>
          </w:tcPr>
          <w:p>
            <w:pPr>
              <w:pStyle w:val="TableContents"/>
              <w:bidi w:val="0"/>
              <w:spacing w:before="0" w:after="283"/>
              <w:jc w:val="right"/>
              <w:rPr/>
            </w:pPr>
            <w:r>
              <w:rPr/>
              <w:t>​</w:t>
            </w:r>
          </w:p>
        </w:tc>
        <w:tc>
          <w:tcPr>
            <w:tcW w:w="1421"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Non-Equity Incentive Plan Compensation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261,136</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65" w:type="dxa"/>
            </w:tcMar>
            <w:vAlign w:val="center"/>
          </w:tcPr>
          <w:p>
            <w:pPr>
              <w:pStyle w:val="TableContents"/>
              <w:bidi w:val="0"/>
              <w:spacing w:before="0" w:after="283"/>
              <w:jc w:val="right"/>
              <w:rPr/>
            </w:pPr>
            <w:r>
              <w:rPr/>
              <w:t>​</w:t>
            </w:r>
          </w:p>
        </w:tc>
        <w:tc>
          <w:tcPr>
            <w:tcW w:w="1421" w:type="dxa"/>
            <w:tcBorders>
              <w:bottom w:val="single" w:sz="2" w:space="0" w:color="BFBFBF"/>
            </w:tcBorders>
            <w:tcMar>
              <w:bottom w:w="65" w:type="dxa"/>
            </w:tcMar>
            <w:vAlign w:val="center"/>
          </w:tcPr>
          <w:p>
            <w:pPr>
              <w:pStyle w:val="TableContents"/>
              <w:bidi w:val="0"/>
              <w:spacing w:before="0" w:after="283"/>
              <w:jc w:val="right"/>
              <w:rPr/>
            </w:pPr>
            <w:r>
              <w:rPr/>
              <w:t>261,136</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278,100</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lineRule="atLeast" w:line="226" w:before="0" w:after="0"/>
              <w:jc w:val="left"/>
              <w:rPr/>
            </w:pPr>
            <w:r>
              <w:rPr/>
              <w:t xml:space="preserve">Service Based 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53" w:type="dxa"/>
            </w:tcMar>
            <w:vAlign w:val="center"/>
          </w:tcPr>
          <w:p>
            <w:pPr>
              <w:pStyle w:val="TableContents"/>
              <w:bidi w:val="0"/>
              <w:spacing w:before="0" w:after="283"/>
              <w:jc w:val="right"/>
              <w:rPr/>
            </w:pPr>
            <w:r>
              <w:rPr/>
              <w:t>​</w:t>
            </w:r>
          </w:p>
        </w:tc>
        <w:tc>
          <w:tcPr>
            <w:tcW w:w="1421" w:type="dxa"/>
            <w:tcBorders>
              <w:bottom w:val="single" w:sz="2" w:space="0" w:color="BFBFBF"/>
            </w:tcBorders>
            <w:tcMar>
              <w:bottom w:w="53" w:type="dxa"/>
            </w:tcMar>
            <w:vAlign w:val="center"/>
          </w:tcPr>
          <w:p>
            <w:pPr>
              <w:pStyle w:val="TableContents"/>
              <w:bidi w:val="0"/>
              <w:spacing w:before="0" w:after="283"/>
              <w:jc w:val="right"/>
              <w:rPr/>
            </w:pPr>
            <w:r>
              <w:rPr/>
              <w:t>304,664</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304,664</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PRSUs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vAlign w:val="center"/>
          </w:tcPr>
          <w:p>
            <w:pPr>
              <w:pStyle w:val="TableContents"/>
              <w:bidi w:val="0"/>
              <w:spacing w:before="0" w:after="283"/>
              <w:jc w:val="left"/>
              <w:rPr/>
            </w:pPr>
            <w:r>
              <w:rPr/>
              <w:t>​</w:t>
            </w:r>
          </w:p>
        </w:tc>
        <w:tc>
          <w:tcPr>
            <w:tcW w:w="166" w:type="dxa"/>
            <w:tcBorders>
              <w:bottom w:val="single" w:sz="2" w:space="0" w:color="BFBFBF"/>
            </w:tcBorders>
            <w:tcMar>
              <w:bottom w:w="53" w:type="dxa"/>
            </w:tcMar>
            <w:vAlign w:val="center"/>
          </w:tcPr>
          <w:p>
            <w:pPr>
              <w:pStyle w:val="TableContents"/>
              <w:bidi w:val="0"/>
              <w:spacing w:before="0" w:after="283"/>
              <w:jc w:val="right"/>
              <w:rPr/>
            </w:pPr>
            <w:r>
              <w:rPr/>
              <w:t>​</w:t>
            </w:r>
          </w:p>
        </w:tc>
        <w:tc>
          <w:tcPr>
            <w:tcW w:w="1421" w:type="dxa"/>
            <w:tcBorders>
              <w:bottom w:val="single" w:sz="2" w:space="0" w:color="BFBFBF"/>
            </w:tcBorders>
            <w:tcMar>
              <w:bottom w:w="53" w:type="dxa"/>
            </w:tcMar>
            <w:vAlign w:val="center"/>
          </w:tcPr>
          <w:p>
            <w:pPr>
              <w:pStyle w:val="TableContents"/>
              <w:bidi w:val="0"/>
              <w:spacing w:before="0" w:after="283"/>
              <w:jc w:val="right"/>
              <w:rPr/>
            </w:pPr>
            <w:r>
              <w:rPr/>
              <w:t>159,604</w:t>
            </w:r>
            <w:r>
              <w:rPr>
                <w:sz w:val="12"/>
              </w:rPr>
              <w:t>(1)</w:t>
            </w:r>
            <w:r>
              <w:rPr/>
              <w:t xml:space="preserve"> </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159,604</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23"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r>
        <w:rPr>
          <w:rFonts w:ascii="Arial Narrow;Arial;Helvetica;sans-serif" w:hAnsi="Arial Narrow;Arial;Helvetica;sans-serif"/>
          <w:b w:val="false"/>
          <w:i w:val="false"/>
          <w:caps w:val="false"/>
          <w:smallCaps w:val="false"/>
          <w:color w:val="000000"/>
          <w:spacing w:val="4"/>
          <w:sz w:val="19"/>
        </w:rPr>
        <w:t xml:space="preserve"> </w:t>
      </w:r>
      <w:r>
        <mc:AlternateContent>
          <mc:Choice Requires="wps">
            <w:drawing>
              <wp:anchor behindDoc="0" distT="78105" distB="0" distL="25400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90"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5pt;mso-wrap-distance-bottom:0pt;margin-top:6.15pt;mso-position-vertical:top;mso-position-vertical-relative:text;margin-left:2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Todd R. Sutherland.</w:t>
      </w:r>
      <w:r>
        <w:rPr>
          <w:rFonts w:ascii="Arial Narrow;Arial;Helvetica;sans-serif" w:hAnsi="Arial Narrow;Arial;Helvetica;sans-serif"/>
          <w:b w:val="false"/>
          <w:i w:val="false"/>
          <w:caps w:val="false"/>
          <w:smallCaps w:val="false"/>
          <w:color w:val="000000"/>
          <w:sz w:val="19"/>
        </w:rPr>
        <w:t xml:space="preserve"> The following table describes the potential estimated payments that Mr. Sutherland would have been entitled to receive had he been terminated on December 31, 2025, calculated in the manner described under the paragraph “Quantification of Termination Benefits”. The amounts are estimated, and actual amounts may vary if Mr. Sutherland’s employment was actually terminated under the circumstances set forth below or our common stock was trading at a different price, where relevant. Mr. Sutherland would have been required under his employment agreement to comply with the Restrictive Covenants for a period of the greater of  (i) twelve months and (ii) the length of time during which Mr. Sutherland receives severance payments under his employment agreement, in each case from the date of termination of his employment by the Company without Cause or by him for Good Reason or in the event of a Non-Renewal Termination in order to continue to receive the Separation Benefits, and not be obligated to repay the Company any amounts received. The acceleration of vesting for the restricted share units in connection with a Change in Control are not subject to compliance with the Restrictive Covenants.</w:t>
      </w:r>
      <w:r>
        <w:rPr>
          <w:rFonts w:ascii="Arial Narrow;Arial;Helvetica;sans-serif" w:hAnsi="Arial Narrow;Arial;Helvetica;sans-serif"/>
          <w:b w:val="false"/>
          <w:i w:val="false"/>
          <w:caps w:val="false"/>
          <w:smallCaps w:val="false"/>
          <w:color w:val="000000"/>
          <w:spacing w:val="4"/>
          <w:sz w:val="19"/>
        </w:rPr>
        <w:t xml:space="preserve"> </w:t>
      </w:r>
    </w:p>
    <w:tbl>
      <w:tblPr>
        <w:tblW w:w="12104" w:type="dxa"/>
        <w:jc w:val="left"/>
        <w:tblInd w:w="920" w:type="dxa"/>
        <w:tblLayout w:type="fixed"/>
        <w:tblCellMar>
          <w:top w:w="0" w:type="dxa"/>
          <w:left w:w="0" w:type="dxa"/>
          <w:bottom w:w="28" w:type="dxa"/>
          <w:right w:w="0" w:type="dxa"/>
        </w:tblCellMar>
      </w:tblPr>
      <w:tblGrid>
        <w:gridCol w:w="124"/>
        <w:gridCol w:w="1951"/>
        <w:gridCol w:w="109"/>
        <w:gridCol w:w="109"/>
        <w:gridCol w:w="109"/>
        <w:gridCol w:w="172"/>
        <w:gridCol w:w="172"/>
        <w:gridCol w:w="1403"/>
        <w:gridCol w:w="174"/>
        <w:gridCol w:w="109"/>
        <w:gridCol w:w="109"/>
        <w:gridCol w:w="109"/>
        <w:gridCol w:w="114"/>
        <w:gridCol w:w="114"/>
        <w:gridCol w:w="932"/>
        <w:gridCol w:w="116"/>
        <w:gridCol w:w="109"/>
        <w:gridCol w:w="109"/>
        <w:gridCol w:w="109"/>
        <w:gridCol w:w="172"/>
        <w:gridCol w:w="172"/>
        <w:gridCol w:w="1403"/>
        <w:gridCol w:w="174"/>
        <w:gridCol w:w="109"/>
        <w:gridCol w:w="109"/>
        <w:gridCol w:w="109"/>
        <w:gridCol w:w="132"/>
        <w:gridCol w:w="132"/>
        <w:gridCol w:w="1074"/>
        <w:gridCol w:w="133"/>
        <w:gridCol w:w="109"/>
        <w:gridCol w:w="109"/>
        <w:gridCol w:w="109"/>
        <w:gridCol w:w="267"/>
        <w:gridCol w:w="267"/>
        <w:gridCol w:w="848"/>
        <w:gridCol w:w="26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51" w:type="dxa"/>
            <w:tcBorders>
              <w:bottom w:val="single" w:sz="12" w:space="0" w:color="3F3F3F"/>
            </w:tcBorders>
            <w:shd w:fill="F2F2F2" w:val="clear"/>
            <w:tcMar>
              <w:bottom w:w="127" w:type="dxa"/>
            </w:tcMar>
            <w:vAlign w:val="center"/>
          </w:tcPr>
          <w:p>
            <w:pPr>
              <w:pStyle w:val="TableContents"/>
              <w:bidi w:val="0"/>
              <w:spacing w:lineRule="atLeast" w:line="191" w:before="0" w:after="0"/>
              <w:jc w:val="left"/>
              <w:rPr/>
            </w:pPr>
            <w:r>
              <w:rPr/>
              <w:t xml:space="preserve">EXECUTIVE BENEFITS AND PAYMENTS </w:t>
              <w:br/>
              <w:t xml:space="preserve">UPON TERMINATION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WITHOUT CAUSE,</w:t>
              <w:br/>
              <w:t>FOR GOOD</w:t>
              <w:br/>
              <w:t>REASON</w:t>
              <w:br/>
              <w:t>OR NON-RENEWAL</w:t>
              <w:br/>
              <w:t>TERMINATION</w:t>
              <w:br/>
              <w:t>(WITHOUT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27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WITHOUT </w:t>
              <w:br/>
              <w:t>CAUSE OR</w:t>
              <w:br/>
              <w:t xml:space="preserve">FOR GOOD </w:t>
              <w:br/>
              <w:t>REASON</w:t>
              <w:br/>
              <w:t>(WITH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2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NON-RENEWAL</w:t>
              <w:br/>
              <w:t>TERMINATION</w:t>
              <w:br/>
              <w:t>(WITH CHANGE</w:t>
              <w:br/>
              <w:t>IN CONTROL)</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47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DEATH OR</w:t>
              <w:br/>
              <w:t>DISABILITY</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651" w:type="dxa"/>
            <w:gridSpan w:val="4"/>
            <w:tcBorders>
              <w:bottom w:val="single" w:sz="12" w:space="0" w:color="3F3F3F"/>
            </w:tcBorders>
            <w:shd w:fill="F2F2F2" w:val="clear"/>
            <w:tcMar>
              <w:bottom w:w="127" w:type="dxa"/>
            </w:tcMar>
            <w:vAlign w:val="center"/>
          </w:tcPr>
          <w:p>
            <w:pPr>
              <w:pStyle w:val="TableContents"/>
              <w:bidi w:val="0"/>
              <w:spacing w:lineRule="atLeast" w:line="191" w:before="0" w:after="0"/>
              <w:jc w:val="center"/>
              <w:rPr/>
            </w:pPr>
            <w:r>
              <w:rPr/>
              <w:t>RETIREMENT</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Separation Payment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400,000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tcMar>
              <w:bottom w:w="65" w:type="dxa"/>
            </w:tcMar>
            <w:vAlign w:val="center"/>
          </w:tcPr>
          <w:p>
            <w:pPr>
              <w:pStyle w:val="TableContents"/>
              <w:bidi w:val="0"/>
              <w:spacing w:before="0" w:after="283"/>
              <w:jc w:val="right"/>
              <w:rPr/>
            </w:pPr>
            <w:r>
              <w:rPr/>
              <w:t>​</w:t>
            </w:r>
          </w:p>
        </w:tc>
        <w:tc>
          <w:tcPr>
            <w:tcW w:w="932" w:type="dxa"/>
            <w:tcBorders>
              <w:bottom w:val="single" w:sz="2" w:space="0" w:color="BFBFBF"/>
            </w:tcBorders>
            <w:tcMar>
              <w:bottom w:w="65" w:type="dxa"/>
            </w:tcMar>
            <w:vAlign w:val="center"/>
          </w:tcPr>
          <w:p>
            <w:pPr>
              <w:pStyle w:val="TableContents"/>
              <w:bidi w:val="0"/>
              <w:spacing w:before="0" w:after="283"/>
              <w:jc w:val="right"/>
              <w:rPr/>
            </w:pPr>
            <w:r>
              <w:rPr/>
              <w:t>600,000</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400,000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Insurance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21,685</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tcMar>
              <w:bottom w:w="65" w:type="dxa"/>
            </w:tcMar>
            <w:vAlign w:val="center"/>
          </w:tcPr>
          <w:p>
            <w:pPr>
              <w:pStyle w:val="TableContents"/>
              <w:bidi w:val="0"/>
              <w:spacing w:before="0" w:after="283"/>
              <w:jc w:val="right"/>
              <w:rPr/>
            </w:pPr>
            <w:r>
              <w:rPr/>
              <w:t>​</w:t>
            </w:r>
          </w:p>
        </w:tc>
        <w:tc>
          <w:tcPr>
            <w:tcW w:w="932" w:type="dxa"/>
            <w:tcBorders>
              <w:bottom w:val="single" w:sz="2" w:space="0" w:color="BFBFBF"/>
            </w:tcBorders>
            <w:tcMar>
              <w:bottom w:w="65" w:type="dxa"/>
            </w:tcMar>
            <w:vAlign w:val="center"/>
          </w:tcPr>
          <w:p>
            <w:pPr>
              <w:pStyle w:val="TableContents"/>
              <w:bidi w:val="0"/>
              <w:spacing w:before="0" w:after="283"/>
              <w:jc w:val="right"/>
              <w:rPr/>
            </w:pPr>
            <w:r>
              <w:rPr/>
              <w:t>21,685</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21,685</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65" w:type="dxa"/>
            </w:tcMar>
            <w:vAlign w:val="center"/>
          </w:tcPr>
          <w:p>
            <w:pPr>
              <w:pStyle w:val="TableContents"/>
              <w:bidi w:val="0"/>
              <w:spacing w:before="0" w:after="283"/>
              <w:jc w:val="left"/>
              <w:rPr/>
            </w:pPr>
            <w:r>
              <w:rPr/>
              <w:t xml:space="preserve">Non-Equity Incentive Plan Compensation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295,620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tcMar>
              <w:bottom w:w="65" w:type="dxa"/>
            </w:tcMar>
            <w:vAlign w:val="center"/>
          </w:tcPr>
          <w:p>
            <w:pPr>
              <w:pStyle w:val="TableContents"/>
              <w:bidi w:val="0"/>
              <w:spacing w:before="0" w:after="283"/>
              <w:jc w:val="right"/>
              <w:rPr/>
            </w:pPr>
            <w:r>
              <w:rPr/>
              <w:t>​</w:t>
            </w:r>
          </w:p>
        </w:tc>
        <w:tc>
          <w:tcPr>
            <w:tcW w:w="932" w:type="dxa"/>
            <w:tcBorders>
              <w:bottom w:val="single" w:sz="2" w:space="0" w:color="BFBFBF"/>
            </w:tcBorders>
            <w:tcMar>
              <w:bottom w:w="65" w:type="dxa"/>
            </w:tcMar>
            <w:vAlign w:val="center"/>
          </w:tcPr>
          <w:p>
            <w:pPr>
              <w:pStyle w:val="TableContents"/>
              <w:bidi w:val="0"/>
              <w:spacing w:before="0" w:after="283"/>
              <w:jc w:val="right"/>
              <w:rPr/>
            </w:pPr>
            <w:r>
              <w:rPr/>
              <w:t>295,620</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65" w:type="dxa"/>
            </w:tcMar>
            <w:vAlign w:val="center"/>
          </w:tcPr>
          <w:p>
            <w:pPr>
              <w:pStyle w:val="TableContents"/>
              <w:bidi w:val="0"/>
              <w:spacing w:before="0" w:after="283"/>
              <w:jc w:val="right"/>
              <w:rPr/>
            </w:pPr>
            <w:r>
              <w:rPr/>
              <w:t>​</w:t>
            </w:r>
          </w:p>
        </w:tc>
        <w:tc>
          <w:tcPr>
            <w:tcW w:w="1403" w:type="dxa"/>
            <w:tcBorders>
              <w:bottom w:val="single" w:sz="2" w:space="0" w:color="BFBFBF"/>
            </w:tcBorders>
            <w:tcMar>
              <w:bottom w:w="65" w:type="dxa"/>
            </w:tcMar>
            <w:vAlign w:val="center"/>
          </w:tcPr>
          <w:p>
            <w:pPr>
              <w:pStyle w:val="TableContents"/>
              <w:bidi w:val="0"/>
              <w:spacing w:before="0" w:after="283"/>
              <w:jc w:val="right"/>
              <w:rPr/>
            </w:pPr>
            <w:r>
              <w:rPr/>
              <w:t>295,620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65" w:type="dxa"/>
            </w:tcMar>
            <w:vAlign w:val="center"/>
          </w:tcPr>
          <w:p>
            <w:pPr>
              <w:pStyle w:val="TableContents"/>
              <w:bidi w:val="0"/>
              <w:spacing w:before="0" w:after="283"/>
              <w:jc w:val="right"/>
              <w:rPr/>
            </w:pPr>
            <w:r>
              <w:rPr/>
              <w:t>​</w:t>
            </w:r>
          </w:p>
        </w:tc>
        <w:tc>
          <w:tcPr>
            <w:tcW w:w="1074" w:type="dxa"/>
            <w:tcBorders>
              <w:bottom w:val="single" w:sz="2" w:space="0" w:color="BFBFBF"/>
            </w:tcBorders>
            <w:tcMar>
              <w:bottom w:w="65" w:type="dxa"/>
            </w:tcMar>
            <w:vAlign w:val="center"/>
          </w:tcPr>
          <w:p>
            <w:pPr>
              <w:pStyle w:val="TableContents"/>
              <w:bidi w:val="0"/>
              <w:spacing w:before="0" w:after="283"/>
              <w:jc w:val="right"/>
              <w:rPr/>
            </w:pPr>
            <w:r>
              <w:rPr/>
              <w:t>320,977</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65" w:type="dxa"/>
            </w:tcMar>
            <w:vAlign w:val="center"/>
          </w:tcPr>
          <w:p>
            <w:pPr>
              <w:pStyle w:val="TableContents"/>
              <w:bidi w:val="0"/>
              <w:spacing w:before="0" w:after="283"/>
              <w:jc w:val="right"/>
              <w:rPr/>
            </w:pPr>
            <w:r>
              <w:rPr/>
              <w:t>​</w:t>
            </w:r>
          </w:p>
        </w:tc>
        <w:tc>
          <w:tcPr>
            <w:tcW w:w="848" w:type="dxa"/>
            <w:tcBorders>
              <w:bottom w:val="single" w:sz="2" w:space="0" w:color="BFBFBF"/>
            </w:tcBorders>
            <w:tcMar>
              <w:bottom w:w="65"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Service Based 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tcMar>
              <w:bottom w:w="53" w:type="dxa"/>
            </w:tcMar>
            <w:vAlign w:val="center"/>
          </w:tcPr>
          <w:p>
            <w:pPr>
              <w:pStyle w:val="TableContents"/>
              <w:bidi w:val="0"/>
              <w:spacing w:before="0" w:after="283"/>
              <w:jc w:val="right"/>
              <w:rPr/>
            </w:pPr>
            <w:r>
              <w:rPr/>
              <w:t>​</w:t>
            </w:r>
          </w:p>
        </w:tc>
        <w:tc>
          <w:tcPr>
            <w:tcW w:w="932" w:type="dxa"/>
            <w:tcBorders>
              <w:bottom w:val="single" w:sz="2" w:space="0" w:color="BFBFBF"/>
            </w:tcBorders>
            <w:tcMar>
              <w:bottom w:w="53" w:type="dxa"/>
            </w:tcMar>
            <w:vAlign w:val="center"/>
          </w:tcPr>
          <w:p>
            <w:pPr>
              <w:pStyle w:val="TableContents"/>
              <w:bidi w:val="0"/>
              <w:spacing w:before="0" w:after="283"/>
              <w:jc w:val="right"/>
              <w:rPr/>
            </w:pPr>
            <w:r>
              <w:rPr/>
              <w:t>294,772</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294,772</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294,772</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PRSUs (amount includes accrued dividends payable upon vesting)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tcMar>
              <w:bottom w:w="53" w:type="dxa"/>
            </w:tcMar>
            <w:vAlign w:val="center"/>
          </w:tcPr>
          <w:p>
            <w:pPr>
              <w:pStyle w:val="TableContents"/>
              <w:bidi w:val="0"/>
              <w:spacing w:before="0" w:after="283"/>
              <w:jc w:val="right"/>
              <w:rPr/>
            </w:pPr>
            <w:r>
              <w:rPr/>
              <w:t>​</w:t>
            </w:r>
          </w:p>
        </w:tc>
        <w:tc>
          <w:tcPr>
            <w:tcW w:w="932" w:type="dxa"/>
            <w:tcBorders>
              <w:bottom w:val="single" w:sz="2" w:space="0" w:color="BFBFBF"/>
            </w:tcBorders>
            <w:tcMar>
              <w:bottom w:w="53" w:type="dxa"/>
            </w:tcMar>
            <w:vAlign w:val="center"/>
          </w:tcPr>
          <w:p>
            <w:pPr>
              <w:pStyle w:val="TableContents"/>
              <w:bidi w:val="0"/>
              <w:spacing w:before="0" w:after="283"/>
              <w:jc w:val="right"/>
              <w:rPr/>
            </w:pPr>
            <w:r>
              <w:rPr/>
              <w:t>—</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51" w:type="dxa"/>
            <w:tcBorders>
              <w:bottom w:val="single" w:sz="2" w:space="0" w:color="BFBFBF"/>
            </w:tcBorders>
            <w:tcMar>
              <w:bottom w:w="53" w:type="dxa"/>
            </w:tcMar>
            <w:vAlign w:val="center"/>
          </w:tcPr>
          <w:p>
            <w:pPr>
              <w:pStyle w:val="TableContents"/>
              <w:bidi w:val="0"/>
              <w:spacing w:before="0" w:after="283"/>
              <w:jc w:val="left"/>
              <w:rPr/>
            </w:pPr>
            <w:r>
              <w:rPr/>
              <w:t xml:space="preserve">Cash Incentive Award (unvested amount outstanding)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vAlign w:val="center"/>
          </w:tcPr>
          <w:p>
            <w:pPr>
              <w:pStyle w:val="TableContents"/>
              <w:bidi w:val="0"/>
              <w:spacing w:before="0" w:after="283"/>
              <w:jc w:val="left"/>
              <w:rPr/>
            </w:pPr>
            <w:r>
              <w:rPr/>
              <w:t>​</w:t>
            </w:r>
          </w:p>
        </w:tc>
        <w:tc>
          <w:tcPr>
            <w:tcW w:w="114" w:type="dxa"/>
            <w:tcBorders>
              <w:bottom w:val="single" w:sz="2" w:space="0" w:color="BFBFBF"/>
            </w:tcBorders>
            <w:tcMar>
              <w:bottom w:w="53" w:type="dxa"/>
            </w:tcMar>
            <w:vAlign w:val="center"/>
          </w:tcPr>
          <w:p>
            <w:pPr>
              <w:pStyle w:val="TableContents"/>
              <w:bidi w:val="0"/>
              <w:spacing w:before="0" w:after="283"/>
              <w:jc w:val="right"/>
              <w:rPr/>
            </w:pPr>
            <w:r>
              <w:rPr/>
              <w:t>​</w:t>
            </w:r>
          </w:p>
        </w:tc>
        <w:tc>
          <w:tcPr>
            <w:tcW w:w="932" w:type="dxa"/>
            <w:tcBorders>
              <w:bottom w:val="single" w:sz="2" w:space="0" w:color="BFBFBF"/>
            </w:tcBorders>
            <w:tcMar>
              <w:bottom w:w="53" w:type="dxa"/>
            </w:tcMar>
            <w:vAlign w:val="center"/>
          </w:tcPr>
          <w:p>
            <w:pPr>
              <w:pStyle w:val="TableContents"/>
              <w:bidi w:val="0"/>
              <w:spacing w:before="0" w:after="283"/>
              <w:jc w:val="right"/>
              <w:rPr/>
            </w:pPr>
            <w:r>
              <w:rPr/>
              <w:t>264,680</w:t>
            </w:r>
          </w:p>
        </w:tc>
        <w:tc>
          <w:tcPr>
            <w:tcW w:w="11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vAlign w:val="center"/>
          </w:tcPr>
          <w:p>
            <w:pPr>
              <w:pStyle w:val="TableContents"/>
              <w:bidi w:val="0"/>
              <w:spacing w:before="0" w:after="283"/>
              <w:jc w:val="left"/>
              <w:rPr/>
            </w:pPr>
            <w:r>
              <w:rPr/>
              <w:t>​</w:t>
            </w:r>
          </w:p>
        </w:tc>
        <w:tc>
          <w:tcPr>
            <w:tcW w:w="172" w:type="dxa"/>
            <w:tcBorders>
              <w:bottom w:val="single" w:sz="2" w:space="0" w:color="BFBFBF"/>
            </w:tcBorders>
            <w:tcMar>
              <w:bottom w:w="53" w:type="dxa"/>
            </w:tcMar>
            <w:vAlign w:val="center"/>
          </w:tcPr>
          <w:p>
            <w:pPr>
              <w:pStyle w:val="TableContents"/>
              <w:bidi w:val="0"/>
              <w:spacing w:before="0" w:after="283"/>
              <w:jc w:val="right"/>
              <w:rPr/>
            </w:pPr>
            <w:r>
              <w:rPr/>
              <w:t>​</w:t>
            </w:r>
          </w:p>
        </w:tc>
        <w:tc>
          <w:tcPr>
            <w:tcW w:w="1403" w:type="dxa"/>
            <w:tcBorders>
              <w:bottom w:val="single" w:sz="2" w:space="0" w:color="BFBFBF"/>
            </w:tcBorders>
            <w:tcMar>
              <w:bottom w:w="53" w:type="dxa"/>
            </w:tcMar>
            <w:vAlign w:val="center"/>
          </w:tcPr>
          <w:p>
            <w:pPr>
              <w:pStyle w:val="TableContents"/>
              <w:bidi w:val="0"/>
              <w:spacing w:before="0" w:after="283"/>
              <w:jc w:val="right"/>
              <w:rPr/>
            </w:pPr>
            <w:r>
              <w:rPr/>
              <w:t>264,680</w:t>
            </w:r>
          </w:p>
        </w:tc>
        <w:tc>
          <w:tcPr>
            <w:tcW w:w="174"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vAlign w:val="center"/>
          </w:tcPr>
          <w:p>
            <w:pPr>
              <w:pStyle w:val="TableContents"/>
              <w:bidi w:val="0"/>
              <w:spacing w:before="0" w:after="283"/>
              <w:jc w:val="left"/>
              <w:rPr/>
            </w:pPr>
            <w:r>
              <w:rPr/>
              <w:t>​</w:t>
            </w:r>
          </w:p>
        </w:tc>
        <w:tc>
          <w:tcPr>
            <w:tcW w:w="132" w:type="dxa"/>
            <w:tcBorders>
              <w:bottom w:val="single" w:sz="2" w:space="0" w:color="BFBFBF"/>
            </w:tcBorders>
            <w:tcMar>
              <w:bottom w:w="53" w:type="dxa"/>
            </w:tcMar>
            <w:vAlign w:val="center"/>
          </w:tcPr>
          <w:p>
            <w:pPr>
              <w:pStyle w:val="TableContents"/>
              <w:bidi w:val="0"/>
              <w:spacing w:before="0" w:after="283"/>
              <w:jc w:val="right"/>
              <w:rPr/>
            </w:pPr>
            <w:r>
              <w:rPr/>
              <w:t>​</w:t>
            </w:r>
          </w:p>
        </w:tc>
        <w:tc>
          <w:tcPr>
            <w:tcW w:w="1074" w:type="dxa"/>
            <w:tcBorders>
              <w:bottom w:val="single" w:sz="2" w:space="0" w:color="BFBFBF"/>
            </w:tcBorders>
            <w:tcMar>
              <w:bottom w:w="53" w:type="dxa"/>
            </w:tcMar>
            <w:vAlign w:val="center"/>
          </w:tcPr>
          <w:p>
            <w:pPr>
              <w:pStyle w:val="TableContents"/>
              <w:bidi w:val="0"/>
              <w:spacing w:before="0" w:after="283"/>
              <w:jc w:val="right"/>
              <w:rPr/>
            </w:pPr>
            <w:r>
              <w:rPr/>
              <w:t>264,680</w:t>
            </w:r>
          </w:p>
        </w:tc>
        <w:tc>
          <w:tcPr>
            <w:tcW w:w="133"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vAlign w:val="center"/>
          </w:tcPr>
          <w:p>
            <w:pPr>
              <w:pStyle w:val="TableContents"/>
              <w:bidi w:val="0"/>
              <w:spacing w:before="0" w:after="283"/>
              <w:jc w:val="left"/>
              <w:rPr/>
            </w:pPr>
            <w:r>
              <w:rPr/>
              <w:t>​</w:t>
            </w:r>
          </w:p>
        </w:tc>
        <w:tc>
          <w:tcPr>
            <w:tcW w:w="267" w:type="dxa"/>
            <w:tcBorders>
              <w:bottom w:val="single" w:sz="2" w:space="0" w:color="BFBFBF"/>
            </w:tcBorders>
            <w:tcMar>
              <w:bottom w:w="53" w:type="dxa"/>
            </w:tcMar>
            <w:vAlign w:val="center"/>
          </w:tcPr>
          <w:p>
            <w:pPr>
              <w:pStyle w:val="TableContents"/>
              <w:bidi w:val="0"/>
              <w:spacing w:before="0" w:after="283"/>
              <w:jc w:val="right"/>
              <w:rPr/>
            </w:pPr>
            <w:r>
              <w:rPr/>
              <w:t>​</w:t>
            </w:r>
          </w:p>
        </w:tc>
        <w:tc>
          <w:tcPr>
            <w:tcW w:w="848" w:type="dxa"/>
            <w:tcBorders>
              <w:bottom w:val="single" w:sz="2" w:space="0" w:color="BFBFBF"/>
            </w:tcBorders>
            <w:tcMar>
              <w:bottom w:w="53" w:type="dxa"/>
            </w:tcMar>
            <w:vAlign w:val="center"/>
          </w:tcPr>
          <w:p>
            <w:pPr>
              <w:pStyle w:val="TableContents"/>
              <w:bidi w:val="0"/>
              <w:spacing w:before="0" w:after="283"/>
              <w:jc w:val="right"/>
              <w:rPr/>
            </w:pPr>
            <w:r>
              <w:rPr/>
              <w:t>—</w:t>
            </w:r>
          </w:p>
        </w:tc>
        <w:tc>
          <w:tcPr>
            <w:tcW w:w="26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47</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EOP"/>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Chief Executive Officer Pay Ratio</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Pursuant to Section 953(b) of the Dodd-Frank Wall Street Reform and Consumer Protection Act, and Item 402(u) of Regulation S-K, we are required to disclose the ratio of the total 2025 compensation of our Chief Executive Officer, Frank N. D’Orazio, to the total compensation of our median employee for 2025. This pay ratio is a reasonable estimate calculated in a manner consistent with the SEC rules.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determined our median employee for purposes of the disclosure by generating a report from our payroll system reflecting regular and overtime salary (where applicable) paid to our employees for the calendar year 2025 for every full-time, part-time and short-term employee employed by us as of December 31, 2025 (excluding Mr. D’Orazio). We annualized this pay for employees who had worked for us for less than a full year. Once we determined the median employee, we calculated that employee’s total compensation for 2025 in the same manner utilized to determine the amount reported for Mr. D’Orazio in the “Total” column in our Summary Compensation Table included in this proxy statement.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Mr. D’Orazio’s total annual compensation was $2,930,288, and our median employee’s total annual compensation was $106,792. The ratio of the total annual compensation of Mr. D’Orazio to the total annual compensation for our median employee in 2025 is approximately 27 to 1.</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48</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ECPI"/>
      <w:bookmarkEnd w:id="34"/>
      <w:r>
        <w:rPr>
          <w:rFonts w:ascii="calibri;arial;sans-serif" w:hAnsi="calibri;arial;sans-serif"/>
          <w:b w:val="false"/>
          <w:i w:val="false"/>
          <w:caps w:val="false"/>
          <w:smallCaps w:val="false"/>
          <w:color w:val="002C73"/>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960" w:before="48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EQUITY COMPENSATION PLAN INFORMATION</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220" w:before="48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following table summarizes information about the Company’s equity compensation plans as of December 31, 2025.</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2153"/>
        <w:gridCol w:w="109"/>
        <w:gridCol w:w="109"/>
        <w:gridCol w:w="109"/>
        <w:gridCol w:w="145"/>
        <w:gridCol w:w="145"/>
        <w:gridCol w:w="1480"/>
        <w:gridCol w:w="146"/>
        <w:gridCol w:w="109"/>
        <w:gridCol w:w="109"/>
        <w:gridCol w:w="109"/>
        <w:gridCol w:w="309"/>
        <w:gridCol w:w="309"/>
        <w:gridCol w:w="984"/>
        <w:gridCol w:w="312"/>
        <w:gridCol w:w="109"/>
        <w:gridCol w:w="109"/>
        <w:gridCol w:w="109"/>
        <w:gridCol w:w="159"/>
        <w:gridCol w:w="159"/>
        <w:gridCol w:w="1560"/>
        <w:gridCol w:w="161"/>
        <w:gridCol w:w="158"/>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2153"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PLAN CATEGORY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16"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NUMBER OF </w:t>
              <w:br/>
              <w:t xml:space="preserve">SECURITIES TO </w:t>
              <w:br/>
              <w:t xml:space="preserve">BE ISSUED </w:t>
              <w:br/>
              <w:t xml:space="preserve">UPON </w:t>
              <w:br/>
              <w:t xml:space="preserve">EXERCISE OF </w:t>
              <w:br/>
              <w:t xml:space="preserve">OUTSTANDING </w:t>
              <w:br/>
              <w:t xml:space="preserve">OPTIONS, </w:t>
              <w:br/>
              <w:t xml:space="preserve">WARRANTS AND </w:t>
              <w:br/>
              <w:t xml:space="preserve">RIGHTS (A)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914" w:type="dxa"/>
            <w:gridSpan w:val="4"/>
            <w:tcBorders>
              <w:bottom w:val="single" w:sz="12" w:space="0" w:color="3F3F3F"/>
            </w:tcBorders>
            <w:shd w:fill="F2F2F2" w:val="clear"/>
            <w:tcMar>
              <w:bottom w:w="127" w:type="dxa"/>
            </w:tcMar>
            <w:vAlign w:val="center"/>
          </w:tcPr>
          <w:p>
            <w:pPr>
              <w:pStyle w:val="TableContents"/>
              <w:bidi w:val="0"/>
              <w:spacing w:lineRule="atLeast" w:line="142" w:before="0" w:after="0"/>
              <w:jc w:val="center"/>
              <w:rPr/>
            </w:pPr>
            <w:r>
              <w:rPr/>
              <w:t xml:space="preserve">WEIGHTED- </w:t>
              <w:br/>
              <w:t xml:space="preserve">AVERAGE </w:t>
              <w:br/>
              <w:t xml:space="preserve">EXERCISE PRICE </w:t>
              <w:br/>
              <w:t xml:space="preserve">OF </w:t>
              <w:br/>
              <w:t xml:space="preserve">OUTSTANDING </w:t>
              <w:br/>
              <w:t xml:space="preserve">OPTIONS, </w:t>
              <w:br/>
              <w:t xml:space="preserve">WARRANTS AND </w:t>
              <w:br/>
              <w:t>RIGHTS (B)</w:t>
            </w:r>
            <w:r>
              <w:rPr>
                <w:sz w:val="11"/>
              </w:rPr>
              <w:t>(1)</w:t>
            </w:r>
            <w:r>
              <w:rPr/>
              <w:t xml:space="preserve"> </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039"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 xml:space="preserve">NUMBER OF </w:t>
              <w:br/>
              <w:t xml:space="preserve">SECURITIES </w:t>
              <w:br/>
              <w:t xml:space="preserve">REMAINING </w:t>
              <w:br/>
              <w:t xml:space="preserve">AVAILABLE FOR </w:t>
              <w:br/>
              <w:t xml:space="preserve">FUTURE </w:t>
              <w:br/>
              <w:t xml:space="preserve">ISSUANCE </w:t>
              <w:br/>
              <w:t xml:space="preserve">UNDER EQUITY </w:t>
              <w:br/>
              <w:t xml:space="preserve">COMPENSATION </w:t>
              <w:br/>
              <w:t xml:space="preserve">PLANS </w:t>
              <w:br/>
              <w:t xml:space="preserve">(EXCLUDING </w:t>
              <w:br/>
              <w:t xml:space="preserve">SECURITIES </w:t>
              <w:br/>
              <w:t xml:space="preserve">REFLECTED IN </w:t>
              <w:br/>
              <w:t xml:space="preserve">COLUMN (A)) (C) </w:t>
              <w:br/>
              <w:t xml:space="preserve">(#) </w:t>
            </w:r>
          </w:p>
        </w:tc>
        <w:tc>
          <w:tcPr>
            <w:tcW w:w="158"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53" w:type="dxa"/>
            <w:tcBorders>
              <w:bottom w:val="single" w:sz="2" w:space="0" w:color="BFBFBF"/>
            </w:tcBorders>
            <w:tcMar>
              <w:bottom w:w="65" w:type="dxa"/>
            </w:tcMar>
            <w:vAlign w:val="center"/>
          </w:tcPr>
          <w:p>
            <w:pPr>
              <w:pStyle w:val="TableContents"/>
              <w:bidi w:val="0"/>
              <w:spacing w:before="0" w:after="283"/>
              <w:jc w:val="left"/>
              <w:rPr/>
            </w:pPr>
            <w:r>
              <w:rPr/>
              <w:t xml:space="preserve">Equity compensation plans approved by shareholders: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65" w:type="dxa"/>
            </w:tcMar>
            <w:vAlign w:val="center"/>
          </w:tcPr>
          <w:p>
            <w:pPr>
              <w:pStyle w:val="TableContents"/>
              <w:bidi w:val="0"/>
              <w:spacing w:before="0" w:after="283"/>
              <w:jc w:val="right"/>
              <w:rPr/>
            </w:pPr>
            <w:r>
              <w:rPr/>
              <w:t>​</w:t>
            </w:r>
          </w:p>
        </w:tc>
        <w:tc>
          <w:tcPr>
            <w:tcW w:w="1480" w:type="dxa"/>
            <w:tcBorders>
              <w:bottom w:val="single" w:sz="2" w:space="0" w:color="BFBFBF"/>
            </w:tcBorders>
            <w:tcMar>
              <w:bottom w:w="65" w:type="dxa"/>
            </w:tcMar>
            <w:vAlign w:val="center"/>
          </w:tcPr>
          <w:p>
            <w:pPr>
              <w:pStyle w:val="TableContents"/>
              <w:bidi w:val="0"/>
              <w:spacing w:before="0" w:after="283"/>
              <w:jc w:val="right"/>
              <w:rPr/>
            </w:pPr>
            <w:r>
              <w:rPr/>
              <w:t>​</w:t>
            </w:r>
          </w:p>
        </w:tc>
        <w:tc>
          <w:tcPr>
            <w:tcW w:w="14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tcMar>
              <w:bottom w:w="65" w:type="dxa"/>
            </w:tcMar>
            <w:vAlign w:val="center"/>
          </w:tcPr>
          <w:p>
            <w:pPr>
              <w:pStyle w:val="TableContents"/>
              <w:bidi w:val="0"/>
              <w:spacing w:before="0" w:after="283"/>
              <w:jc w:val="right"/>
              <w:rPr/>
            </w:pPr>
            <w:r>
              <w:rPr/>
              <w:t>​</w:t>
            </w:r>
          </w:p>
        </w:tc>
        <w:tc>
          <w:tcPr>
            <w:tcW w:w="984" w:type="dxa"/>
            <w:tcBorders>
              <w:bottom w:val="single" w:sz="2" w:space="0" w:color="BFBFBF"/>
            </w:tcBorders>
            <w:tcMar>
              <w:bottom w:w="65" w:type="dxa"/>
            </w:tcMar>
            <w:vAlign w:val="center"/>
          </w:tcPr>
          <w:p>
            <w:pPr>
              <w:pStyle w:val="TableContents"/>
              <w:bidi w:val="0"/>
              <w:spacing w:before="0" w:after="283"/>
              <w:jc w:val="right"/>
              <w:rPr/>
            </w:pPr>
            <w:r>
              <w:rPr/>
              <w:t>​</w:t>
            </w:r>
          </w:p>
        </w:tc>
        <w:tc>
          <w:tcPr>
            <w:tcW w:w="31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tcMar>
              <w:bottom w:w="65" w:type="dxa"/>
            </w:tcMar>
            <w:vAlign w:val="center"/>
          </w:tcPr>
          <w:p>
            <w:pPr>
              <w:pStyle w:val="TableContents"/>
              <w:bidi w:val="0"/>
              <w:spacing w:before="0" w:after="283"/>
              <w:jc w:val="right"/>
              <w:rPr/>
            </w:pPr>
            <w:r>
              <w:rPr/>
              <w:t>​</w:t>
            </w:r>
          </w:p>
        </w:tc>
        <w:tc>
          <w:tcPr>
            <w:tcW w:w="1560" w:type="dxa"/>
            <w:tcBorders>
              <w:bottom w:val="single" w:sz="2" w:space="0" w:color="BFBFBF"/>
            </w:tcBorders>
            <w:tcMar>
              <w:bottom w:w="65" w:type="dxa"/>
            </w:tcMar>
            <w:vAlign w:val="center"/>
          </w:tcPr>
          <w:p>
            <w:pPr>
              <w:pStyle w:val="TableContents"/>
              <w:bidi w:val="0"/>
              <w:spacing w:before="0" w:after="283"/>
              <w:jc w:val="right"/>
              <w:rPr/>
            </w:pPr>
            <w:r>
              <w:rPr/>
              <w:t>​</w:t>
            </w:r>
          </w:p>
        </w:tc>
        <w:tc>
          <w:tcPr>
            <w:tcW w:w="161"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53" w:type="dxa"/>
            <w:tcBorders>
              <w:bottom w:val="single" w:sz="2" w:space="0" w:color="BFBFBF"/>
            </w:tcBorders>
            <w:tcMar>
              <w:bottom w:w="65" w:type="dxa"/>
            </w:tcMar>
            <w:vAlign w:val="center"/>
          </w:tcPr>
          <w:p>
            <w:pPr>
              <w:pStyle w:val="TableContents"/>
              <w:bidi w:val="0"/>
              <w:spacing w:before="0" w:after="0"/>
              <w:jc w:val="left"/>
              <w:rPr>
                <w:i/>
              </w:rPr>
            </w:pPr>
            <w:r>
              <w:rPr>
                <w:i/>
              </w:rPr>
              <w:t>2014 Non-Employee Director Incentive Plan, as amended</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65" w:type="dxa"/>
            </w:tcMar>
            <w:vAlign w:val="center"/>
          </w:tcPr>
          <w:p>
            <w:pPr>
              <w:pStyle w:val="TableContents"/>
              <w:bidi w:val="0"/>
              <w:spacing w:before="0" w:after="283"/>
              <w:jc w:val="right"/>
              <w:rPr/>
            </w:pPr>
            <w:r>
              <w:rPr/>
              <w:t>​</w:t>
            </w:r>
          </w:p>
        </w:tc>
        <w:tc>
          <w:tcPr>
            <w:tcW w:w="1480" w:type="dxa"/>
            <w:tcBorders>
              <w:bottom w:val="single" w:sz="2" w:space="0" w:color="BFBFBF"/>
            </w:tcBorders>
            <w:tcMar>
              <w:bottom w:w="65" w:type="dxa"/>
            </w:tcMar>
            <w:vAlign w:val="center"/>
          </w:tcPr>
          <w:p>
            <w:pPr>
              <w:pStyle w:val="TableContents"/>
              <w:bidi w:val="0"/>
              <w:spacing w:before="0" w:after="283"/>
              <w:jc w:val="right"/>
              <w:rPr/>
            </w:pPr>
            <w:r>
              <w:rPr/>
              <w:t>86,996</w:t>
            </w:r>
            <w:r>
              <w:rPr>
                <w:sz w:val="12"/>
              </w:rPr>
              <w:t>(2)</w:t>
            </w:r>
            <w:r>
              <w:rPr/>
              <w:t xml:space="preserve"> </w:t>
            </w:r>
          </w:p>
        </w:tc>
        <w:tc>
          <w:tcPr>
            <w:tcW w:w="14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tcMar>
              <w:bottom w:w="65" w:type="dxa"/>
            </w:tcMar>
            <w:vAlign w:val="center"/>
          </w:tcPr>
          <w:p>
            <w:pPr>
              <w:pStyle w:val="TableContents"/>
              <w:bidi w:val="0"/>
              <w:spacing w:before="0" w:after="283"/>
              <w:jc w:val="right"/>
              <w:rPr/>
            </w:pPr>
            <w:r>
              <w:rPr/>
              <w:t>​</w:t>
            </w:r>
          </w:p>
        </w:tc>
        <w:tc>
          <w:tcPr>
            <w:tcW w:w="984" w:type="dxa"/>
            <w:tcBorders>
              <w:bottom w:val="single" w:sz="2" w:space="0" w:color="BFBFBF"/>
            </w:tcBorders>
            <w:tcMar>
              <w:bottom w:w="65" w:type="dxa"/>
            </w:tcMar>
            <w:vAlign w:val="center"/>
          </w:tcPr>
          <w:p>
            <w:pPr>
              <w:pStyle w:val="TableContents"/>
              <w:bidi w:val="0"/>
              <w:spacing w:before="0" w:after="283"/>
              <w:jc w:val="right"/>
              <w:rPr/>
            </w:pPr>
            <w:r>
              <w:rPr/>
              <w:t>—</w:t>
            </w:r>
          </w:p>
        </w:tc>
        <w:tc>
          <w:tcPr>
            <w:tcW w:w="31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tcMar>
              <w:bottom w:w="65" w:type="dxa"/>
            </w:tcMar>
            <w:vAlign w:val="center"/>
          </w:tcPr>
          <w:p>
            <w:pPr>
              <w:pStyle w:val="TableContents"/>
              <w:bidi w:val="0"/>
              <w:spacing w:before="0" w:after="283"/>
              <w:jc w:val="right"/>
              <w:rPr/>
            </w:pPr>
            <w:r>
              <w:rPr/>
              <w:t>​</w:t>
            </w:r>
          </w:p>
        </w:tc>
        <w:tc>
          <w:tcPr>
            <w:tcW w:w="1560" w:type="dxa"/>
            <w:tcBorders>
              <w:bottom w:val="single" w:sz="2" w:space="0" w:color="BFBFBF"/>
            </w:tcBorders>
            <w:tcMar>
              <w:bottom w:w="65" w:type="dxa"/>
            </w:tcMar>
            <w:vAlign w:val="center"/>
          </w:tcPr>
          <w:p>
            <w:pPr>
              <w:pStyle w:val="TableContents"/>
              <w:bidi w:val="0"/>
              <w:spacing w:before="0" w:after="283"/>
              <w:jc w:val="right"/>
              <w:rPr/>
            </w:pPr>
            <w:r>
              <w:rPr/>
              <w:t>269,931</w:t>
            </w:r>
          </w:p>
        </w:tc>
        <w:tc>
          <w:tcPr>
            <w:tcW w:w="161"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53" w:type="dxa"/>
            <w:tcBorders>
              <w:bottom w:val="single" w:sz="2" w:space="0" w:color="BFBFBF"/>
            </w:tcBorders>
            <w:tcMar>
              <w:bottom w:w="65" w:type="dxa"/>
            </w:tcMar>
            <w:vAlign w:val="center"/>
          </w:tcPr>
          <w:p>
            <w:pPr>
              <w:pStyle w:val="TableContents"/>
              <w:bidi w:val="0"/>
              <w:spacing w:before="0" w:after="0"/>
              <w:jc w:val="left"/>
              <w:rPr>
                <w:i/>
              </w:rPr>
            </w:pPr>
            <w:r>
              <w:rPr>
                <w:i/>
              </w:rPr>
              <w:t>2014 Long-Term Incentive Plan, as amended</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65" w:type="dxa"/>
            </w:tcMar>
            <w:vAlign w:val="center"/>
          </w:tcPr>
          <w:p>
            <w:pPr>
              <w:pStyle w:val="TableContents"/>
              <w:bidi w:val="0"/>
              <w:spacing w:before="0" w:after="283"/>
              <w:jc w:val="right"/>
              <w:rPr/>
            </w:pPr>
            <w:r>
              <w:rPr/>
              <w:t>​</w:t>
            </w:r>
          </w:p>
        </w:tc>
        <w:tc>
          <w:tcPr>
            <w:tcW w:w="1480" w:type="dxa"/>
            <w:tcBorders>
              <w:bottom w:val="single" w:sz="2" w:space="0" w:color="BFBFBF"/>
            </w:tcBorders>
            <w:tcMar>
              <w:bottom w:w="65" w:type="dxa"/>
            </w:tcMar>
            <w:vAlign w:val="center"/>
          </w:tcPr>
          <w:p>
            <w:pPr>
              <w:pStyle w:val="TableContents"/>
              <w:bidi w:val="0"/>
              <w:spacing w:before="0" w:after="283"/>
              <w:jc w:val="right"/>
              <w:rPr/>
            </w:pPr>
            <w:r>
              <w:rPr/>
              <w:t>1,880,592</w:t>
            </w:r>
            <w:r>
              <w:rPr>
                <w:sz w:val="12"/>
              </w:rPr>
              <w:t>(3)</w:t>
            </w:r>
            <w:r>
              <w:rPr/>
              <w:t xml:space="preserve"> </w:t>
            </w:r>
          </w:p>
        </w:tc>
        <w:tc>
          <w:tcPr>
            <w:tcW w:w="14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tcMar>
              <w:bottom w:w="65" w:type="dxa"/>
            </w:tcMar>
            <w:vAlign w:val="center"/>
          </w:tcPr>
          <w:p>
            <w:pPr>
              <w:pStyle w:val="TableContents"/>
              <w:bidi w:val="0"/>
              <w:spacing w:before="0" w:after="283"/>
              <w:jc w:val="right"/>
              <w:rPr/>
            </w:pPr>
            <w:r>
              <w:rPr/>
              <w:t>​</w:t>
            </w:r>
          </w:p>
        </w:tc>
        <w:tc>
          <w:tcPr>
            <w:tcW w:w="984" w:type="dxa"/>
            <w:tcBorders>
              <w:bottom w:val="single" w:sz="2" w:space="0" w:color="BFBFBF"/>
            </w:tcBorders>
            <w:tcMar>
              <w:bottom w:w="65" w:type="dxa"/>
            </w:tcMar>
            <w:vAlign w:val="center"/>
          </w:tcPr>
          <w:p>
            <w:pPr>
              <w:pStyle w:val="TableContents"/>
              <w:bidi w:val="0"/>
              <w:spacing w:before="0" w:after="283"/>
              <w:jc w:val="right"/>
              <w:rPr/>
            </w:pPr>
            <w:r>
              <w:rPr/>
              <w:t>—</w:t>
            </w:r>
          </w:p>
        </w:tc>
        <w:tc>
          <w:tcPr>
            <w:tcW w:w="31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tcMar>
              <w:bottom w:w="65" w:type="dxa"/>
            </w:tcMar>
            <w:vAlign w:val="center"/>
          </w:tcPr>
          <w:p>
            <w:pPr>
              <w:pStyle w:val="TableContents"/>
              <w:bidi w:val="0"/>
              <w:spacing w:before="0" w:after="283"/>
              <w:jc w:val="right"/>
              <w:rPr/>
            </w:pPr>
            <w:r>
              <w:rPr/>
              <w:t>​</w:t>
            </w:r>
          </w:p>
        </w:tc>
        <w:tc>
          <w:tcPr>
            <w:tcW w:w="1560" w:type="dxa"/>
            <w:tcBorders>
              <w:bottom w:val="single" w:sz="2" w:space="0" w:color="BFBFBF"/>
            </w:tcBorders>
            <w:tcMar>
              <w:bottom w:w="65" w:type="dxa"/>
            </w:tcMar>
            <w:vAlign w:val="center"/>
          </w:tcPr>
          <w:p>
            <w:pPr>
              <w:pStyle w:val="TableContents"/>
              <w:bidi w:val="0"/>
              <w:spacing w:before="0" w:after="283"/>
              <w:jc w:val="right"/>
              <w:rPr/>
            </w:pPr>
            <w:r>
              <w:rPr/>
              <w:t>1,929,485</w:t>
            </w:r>
          </w:p>
        </w:tc>
        <w:tc>
          <w:tcPr>
            <w:tcW w:w="161"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53" w:type="dxa"/>
            <w:tcBorders>
              <w:bottom w:val="single" w:sz="2" w:space="0" w:color="BFBFBF"/>
            </w:tcBorders>
            <w:tcMar>
              <w:bottom w:w="65" w:type="dxa"/>
            </w:tcMar>
            <w:vAlign w:val="center"/>
          </w:tcPr>
          <w:p>
            <w:pPr>
              <w:pStyle w:val="TableContents"/>
              <w:bidi w:val="0"/>
              <w:spacing w:before="0" w:after="283"/>
              <w:jc w:val="left"/>
              <w:rPr/>
            </w:pPr>
            <w:r>
              <w:rPr/>
              <w:t xml:space="preserve">Equity compensation plans not approved by shareholders: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65" w:type="dxa"/>
            </w:tcMar>
            <w:vAlign w:val="center"/>
          </w:tcPr>
          <w:p>
            <w:pPr>
              <w:pStyle w:val="TableContents"/>
              <w:bidi w:val="0"/>
              <w:spacing w:before="0" w:after="283"/>
              <w:jc w:val="right"/>
              <w:rPr/>
            </w:pPr>
            <w:r>
              <w:rPr/>
              <w:t>​</w:t>
            </w:r>
          </w:p>
        </w:tc>
        <w:tc>
          <w:tcPr>
            <w:tcW w:w="1480" w:type="dxa"/>
            <w:tcBorders>
              <w:bottom w:val="single" w:sz="2" w:space="0" w:color="BFBFBF"/>
            </w:tcBorders>
            <w:tcMar>
              <w:bottom w:w="65" w:type="dxa"/>
            </w:tcMar>
            <w:vAlign w:val="center"/>
          </w:tcPr>
          <w:p>
            <w:pPr>
              <w:pStyle w:val="TableContents"/>
              <w:bidi w:val="0"/>
              <w:spacing w:before="0" w:after="283"/>
              <w:jc w:val="right"/>
              <w:rPr/>
            </w:pPr>
            <w:r>
              <w:rPr/>
              <w:t>—</w:t>
            </w:r>
          </w:p>
        </w:tc>
        <w:tc>
          <w:tcPr>
            <w:tcW w:w="14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tcMar>
              <w:bottom w:w="65" w:type="dxa"/>
            </w:tcMar>
            <w:vAlign w:val="center"/>
          </w:tcPr>
          <w:p>
            <w:pPr>
              <w:pStyle w:val="TableContents"/>
              <w:bidi w:val="0"/>
              <w:spacing w:before="0" w:after="283"/>
              <w:jc w:val="right"/>
              <w:rPr/>
            </w:pPr>
            <w:r>
              <w:rPr/>
              <w:t>​</w:t>
            </w:r>
          </w:p>
        </w:tc>
        <w:tc>
          <w:tcPr>
            <w:tcW w:w="984" w:type="dxa"/>
            <w:tcBorders>
              <w:bottom w:val="single" w:sz="2" w:space="0" w:color="BFBFBF"/>
            </w:tcBorders>
            <w:tcMar>
              <w:bottom w:w="65" w:type="dxa"/>
            </w:tcMar>
            <w:vAlign w:val="center"/>
          </w:tcPr>
          <w:p>
            <w:pPr>
              <w:pStyle w:val="TableContents"/>
              <w:bidi w:val="0"/>
              <w:spacing w:before="0" w:after="283"/>
              <w:jc w:val="right"/>
              <w:rPr/>
            </w:pPr>
            <w:r>
              <w:rPr/>
              <w:t>—</w:t>
            </w:r>
          </w:p>
        </w:tc>
        <w:tc>
          <w:tcPr>
            <w:tcW w:w="31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tcMar>
              <w:bottom w:w="65" w:type="dxa"/>
            </w:tcMar>
            <w:vAlign w:val="center"/>
          </w:tcPr>
          <w:p>
            <w:pPr>
              <w:pStyle w:val="TableContents"/>
              <w:bidi w:val="0"/>
              <w:spacing w:before="0" w:after="283"/>
              <w:jc w:val="right"/>
              <w:rPr/>
            </w:pPr>
            <w:r>
              <w:rPr/>
              <w:t>​</w:t>
            </w:r>
          </w:p>
        </w:tc>
        <w:tc>
          <w:tcPr>
            <w:tcW w:w="1560" w:type="dxa"/>
            <w:tcBorders>
              <w:bottom w:val="single" w:sz="2" w:space="0" w:color="BFBFBF"/>
            </w:tcBorders>
            <w:tcMar>
              <w:bottom w:w="65" w:type="dxa"/>
            </w:tcMar>
            <w:vAlign w:val="center"/>
          </w:tcPr>
          <w:p>
            <w:pPr>
              <w:pStyle w:val="TableContents"/>
              <w:bidi w:val="0"/>
              <w:spacing w:before="0" w:after="283"/>
              <w:jc w:val="right"/>
              <w:rPr/>
            </w:pPr>
            <w:r>
              <w:rPr/>
              <w:t>—</w:t>
            </w:r>
          </w:p>
        </w:tc>
        <w:tc>
          <w:tcPr>
            <w:tcW w:w="161"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2153" w:type="dxa"/>
            <w:tcBorders>
              <w:bottom w:val="single" w:sz="2" w:space="0" w:color="BFBFBF"/>
            </w:tcBorders>
            <w:tcMar>
              <w:bottom w:w="65" w:type="dxa"/>
            </w:tcMar>
            <w:vAlign w:val="center"/>
          </w:tcPr>
          <w:p>
            <w:pPr>
              <w:pStyle w:val="TableContents"/>
              <w:bidi w:val="0"/>
              <w:spacing w:before="0" w:after="283"/>
              <w:jc w:val="left"/>
              <w:rPr/>
            </w:pPr>
            <w:r>
              <w:rPr/>
              <w:t xml:space="preserve">Total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vAlign w:val="center"/>
          </w:tcPr>
          <w:p>
            <w:pPr>
              <w:pStyle w:val="TableContents"/>
              <w:bidi w:val="0"/>
              <w:spacing w:before="0" w:after="283"/>
              <w:jc w:val="left"/>
              <w:rPr/>
            </w:pPr>
            <w:r>
              <w:rPr/>
              <w:t>​</w:t>
            </w:r>
          </w:p>
        </w:tc>
        <w:tc>
          <w:tcPr>
            <w:tcW w:w="145" w:type="dxa"/>
            <w:tcBorders>
              <w:bottom w:val="single" w:sz="2" w:space="0" w:color="BFBFBF"/>
            </w:tcBorders>
            <w:tcMar>
              <w:bottom w:w="65" w:type="dxa"/>
            </w:tcMar>
            <w:vAlign w:val="center"/>
          </w:tcPr>
          <w:p>
            <w:pPr>
              <w:pStyle w:val="TableContents"/>
              <w:bidi w:val="0"/>
              <w:spacing w:before="0" w:after="283"/>
              <w:jc w:val="right"/>
              <w:rPr/>
            </w:pPr>
            <w:r>
              <w:rPr/>
              <w:t>​</w:t>
            </w:r>
          </w:p>
        </w:tc>
        <w:tc>
          <w:tcPr>
            <w:tcW w:w="1480" w:type="dxa"/>
            <w:tcBorders>
              <w:bottom w:val="single" w:sz="2" w:space="0" w:color="BFBFBF"/>
            </w:tcBorders>
            <w:tcMar>
              <w:bottom w:w="65" w:type="dxa"/>
            </w:tcMar>
            <w:vAlign w:val="center"/>
          </w:tcPr>
          <w:p>
            <w:pPr>
              <w:pStyle w:val="TableContents"/>
              <w:bidi w:val="0"/>
              <w:spacing w:before="0" w:after="283"/>
              <w:jc w:val="right"/>
              <w:rPr/>
            </w:pPr>
            <w:r>
              <w:rPr/>
              <w:t>1,967,588</w:t>
            </w:r>
          </w:p>
        </w:tc>
        <w:tc>
          <w:tcPr>
            <w:tcW w:w="146"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vAlign w:val="center"/>
          </w:tcPr>
          <w:p>
            <w:pPr>
              <w:pStyle w:val="TableContents"/>
              <w:bidi w:val="0"/>
              <w:spacing w:before="0" w:after="283"/>
              <w:jc w:val="left"/>
              <w:rPr/>
            </w:pPr>
            <w:r>
              <w:rPr/>
              <w:t>​</w:t>
            </w:r>
          </w:p>
        </w:tc>
        <w:tc>
          <w:tcPr>
            <w:tcW w:w="309" w:type="dxa"/>
            <w:tcBorders>
              <w:bottom w:val="single" w:sz="2" w:space="0" w:color="BFBFBF"/>
            </w:tcBorders>
            <w:tcMar>
              <w:bottom w:w="65" w:type="dxa"/>
            </w:tcMar>
            <w:vAlign w:val="center"/>
          </w:tcPr>
          <w:p>
            <w:pPr>
              <w:pStyle w:val="TableContents"/>
              <w:bidi w:val="0"/>
              <w:spacing w:before="0" w:after="283"/>
              <w:jc w:val="right"/>
              <w:rPr/>
            </w:pPr>
            <w:r>
              <w:rPr/>
              <w:t>​</w:t>
            </w:r>
          </w:p>
        </w:tc>
        <w:tc>
          <w:tcPr>
            <w:tcW w:w="984" w:type="dxa"/>
            <w:tcBorders>
              <w:bottom w:val="single" w:sz="2" w:space="0" w:color="BFBFBF"/>
            </w:tcBorders>
            <w:tcMar>
              <w:bottom w:w="65" w:type="dxa"/>
            </w:tcMar>
            <w:vAlign w:val="center"/>
          </w:tcPr>
          <w:p>
            <w:pPr>
              <w:pStyle w:val="TableContents"/>
              <w:bidi w:val="0"/>
              <w:spacing w:before="0" w:after="283"/>
              <w:jc w:val="right"/>
              <w:rPr/>
            </w:pPr>
            <w:r>
              <w:rPr/>
              <w:t>—</w:t>
            </w:r>
          </w:p>
        </w:tc>
        <w:tc>
          <w:tcPr>
            <w:tcW w:w="312"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vAlign w:val="center"/>
          </w:tcPr>
          <w:p>
            <w:pPr>
              <w:pStyle w:val="TableContents"/>
              <w:bidi w:val="0"/>
              <w:spacing w:before="0" w:after="283"/>
              <w:jc w:val="left"/>
              <w:rPr/>
            </w:pPr>
            <w:r>
              <w:rPr/>
              <w:t>​</w:t>
            </w:r>
          </w:p>
        </w:tc>
        <w:tc>
          <w:tcPr>
            <w:tcW w:w="159" w:type="dxa"/>
            <w:tcBorders>
              <w:bottom w:val="single" w:sz="2" w:space="0" w:color="BFBFBF"/>
            </w:tcBorders>
            <w:tcMar>
              <w:bottom w:w="65" w:type="dxa"/>
            </w:tcMar>
            <w:vAlign w:val="center"/>
          </w:tcPr>
          <w:p>
            <w:pPr>
              <w:pStyle w:val="TableContents"/>
              <w:bidi w:val="0"/>
              <w:spacing w:before="0" w:after="283"/>
              <w:jc w:val="right"/>
              <w:rPr/>
            </w:pPr>
            <w:r>
              <w:rPr/>
              <w:t>​</w:t>
            </w:r>
          </w:p>
        </w:tc>
        <w:tc>
          <w:tcPr>
            <w:tcW w:w="1560" w:type="dxa"/>
            <w:tcBorders>
              <w:bottom w:val="single" w:sz="2" w:space="0" w:color="BFBFBF"/>
            </w:tcBorders>
            <w:tcMar>
              <w:bottom w:w="65" w:type="dxa"/>
            </w:tcMar>
            <w:vAlign w:val="center"/>
          </w:tcPr>
          <w:p>
            <w:pPr>
              <w:pStyle w:val="TableContents"/>
              <w:bidi w:val="0"/>
              <w:spacing w:before="0" w:after="283"/>
              <w:jc w:val="right"/>
              <w:rPr/>
            </w:pPr>
            <w:r>
              <w:rPr/>
              <w:t>2,199,416</w:t>
            </w:r>
          </w:p>
        </w:tc>
        <w:tc>
          <w:tcPr>
            <w:tcW w:w="161" w:type="dxa"/>
            <w:tcBorders>
              <w:bottom w:val="single" w:sz="2" w:space="0" w:color="BFBFBF"/>
            </w:tcBorders>
            <w:vAlign w:val="center"/>
          </w:tcPr>
          <w:p>
            <w:pPr>
              <w:pStyle w:val="TableContents"/>
              <w:bidi w:val="0"/>
              <w:spacing w:before="0" w:after="283"/>
              <w:jc w:val="left"/>
              <w:rPr/>
            </w:pPr>
            <w:r>
              <w:rPr/>
              <w:t>​</w:t>
            </w:r>
          </w:p>
        </w:tc>
        <w:tc>
          <w:tcPr>
            <w:tcW w:w="158"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26" w:before="109"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Restricted share units are not taken into account in the computation of the weighted-average exercise price since they do not have an exercise price.</w:t>
      </w:r>
      <w:r>
        <mc:AlternateContent>
          <mc:Choice Requires="wps">
            <w:drawing>
              <wp:anchor behindDoc="0" distT="69215" distB="0" distL="254000" distR="0" simplePos="0" locked="0" layoutInCell="1" allowOverlap="1" relativeHeight="193">
                <wp:simplePos x="0" y="0"/>
                <wp:positionH relativeFrom="column">
                  <wp:align>left</wp:align>
                </wp:positionH>
                <wp:positionV relativeFrom="line">
                  <wp:align>top</wp:align>
                </wp:positionV>
                <wp:extent cx="254000" cy="287020"/>
                <wp:effectExtent l="0" t="0" r="0" b="0"/>
                <wp:wrapSquare wrapText="right"/>
                <wp:docPr id="191" name="Frame150"/>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b w:val="false"/>
                                <w:color w:val="000000"/>
                                <w:sz w:val="19"/>
                              </w:rPr>
                            </w:pPr>
                            <w:r>
                              <w:rPr>
                                <w:b w:val="false"/>
                                <w:color w:val="000000"/>
                                <w:sz w:val="19"/>
                              </w:rPr>
                              <w:t>(1)</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5.45pt;mso-wrap-distance-bottom:0pt;margin-top:5.45pt;mso-position-vertical:top;mso-position-vertical-relative:text;margin-left:20pt;mso-position-horizontal:left;mso-position-horizontal-relative:text">
                <v:textbox>
                  <w:txbxContent>
                    <w:p>
                      <w:pPr>
                        <w:pStyle w:val="TextBody"/>
                        <w:bidi w:val="0"/>
                        <w:spacing w:lineRule="atLeast" w:line="226" w:before="0" w:after="283"/>
                        <w:jc w:val="left"/>
                        <w:rPr>
                          <w:b w:val="false"/>
                          <w:color w:val="000000"/>
                          <w:sz w:val="19"/>
                        </w:rPr>
                      </w:pPr>
                      <w:r>
                        <w:rPr>
                          <w:b w:val="false"/>
                          <w:color w:val="000000"/>
                          <w:sz w:val="19"/>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Consists solely of Service-Based RSUs.</w:t>
      </w:r>
      <w:r>
        <mc:AlternateContent>
          <mc:Choice Requires="wps">
            <w:drawing>
              <wp:anchor behindDoc="0" distT="0" distB="0" distL="254000" distR="0" simplePos="0" locked="0" layoutInCell="1" allowOverlap="1" relativeHeight="194">
                <wp:simplePos x="0" y="0"/>
                <wp:positionH relativeFrom="column">
                  <wp:align>left</wp:align>
                </wp:positionH>
                <wp:positionV relativeFrom="line">
                  <wp:posOffset>635</wp:posOffset>
                </wp:positionV>
                <wp:extent cx="254000" cy="287020"/>
                <wp:effectExtent l="0" t="0" r="0" b="0"/>
                <wp:wrapSquare wrapText="right"/>
                <wp:docPr id="192" name="Frame151"/>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b w:val="false"/>
                                <w:color w:val="000000"/>
                                <w:sz w:val="19"/>
                              </w:rPr>
                            </w:pPr>
                            <w:r>
                              <w:rPr>
                                <w:b w:val="false"/>
                                <w:color w:val="000000"/>
                                <w:sz w:val="19"/>
                              </w:rPr>
                              <w:t>(2)</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b w:val="false"/>
                          <w:color w:val="000000"/>
                          <w:sz w:val="19"/>
                        </w:rPr>
                      </w:pPr>
                      <w:r>
                        <w:rPr>
                          <w:b w:val="false"/>
                          <w:color w:val="000000"/>
                          <w:sz w:val="19"/>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Includes (i) 585,666 Service-Based RSUs, and (ii) 1,294,926 PRSUs, which includes PRSUs issued in 2023 that were earned as of December 31, 2025 and PRSUs issued in 2024 and 2025 assuming maximum payout. </w:t>
      </w:r>
      <w:r>
        <mc:AlternateContent>
          <mc:Choice Requires="wps">
            <w:drawing>
              <wp:anchor behindDoc="0" distT="0" distB="0" distL="254000" distR="0" simplePos="0" locked="0" layoutInCell="1" allowOverlap="1" relativeHeight="195">
                <wp:simplePos x="0" y="0"/>
                <wp:positionH relativeFrom="column">
                  <wp:align>left</wp:align>
                </wp:positionH>
                <wp:positionV relativeFrom="line">
                  <wp:posOffset>635</wp:posOffset>
                </wp:positionV>
                <wp:extent cx="254000" cy="287020"/>
                <wp:effectExtent l="0" t="0" r="0" b="0"/>
                <wp:wrapSquare wrapText="right"/>
                <wp:docPr id="193" name="Frame152"/>
                <a:graphic xmlns:a="http://schemas.openxmlformats.org/drawingml/2006/main">
                  <a:graphicData uri="http://schemas.microsoft.com/office/word/2010/wordprocessingShape">
                    <wps:wsp>
                      <wps:cNvSpPr txBox="1"/>
                      <wps:spPr>
                        <a:xfrm>
                          <a:off x="0" y="0"/>
                          <a:ext cx="254000" cy="287020"/>
                        </a:xfrm>
                        <a:prstGeom prst="rect"/>
                        <a:solidFill>
                          <a:srgbClr val="FFFFFF"/>
                        </a:solidFill>
                      </wps:spPr>
                      <wps:txbx>
                        <w:txbxContent>
                          <w:p>
                            <w:pPr>
                              <w:pStyle w:val="TextBody"/>
                              <w:bidi w:val="0"/>
                              <w:spacing w:lineRule="atLeast" w:line="226" w:before="0" w:after="283"/>
                              <w:jc w:val="left"/>
                              <w:rPr>
                                <w:b w:val="false"/>
                                <w:color w:val="000000"/>
                                <w:sz w:val="19"/>
                              </w:rPr>
                            </w:pPr>
                            <w:r>
                              <w:rPr>
                                <w:b w:val="false"/>
                                <w:color w:val="000000"/>
                                <w:sz w:val="19"/>
                              </w:rPr>
                              <w:t>(3)</w:t>
                              <w:br/>
                            </w:r>
                          </w:p>
                        </w:txbxContent>
                      </wps:txbx>
                      <wps:bodyPr anchor="t" lIns="0" tIns="0" rIns="0" bIns="0">
                        <a:noAutofit/>
                      </wps:bodyPr>
                    </wps:wsp>
                  </a:graphicData>
                </a:graphic>
              </wp:anchor>
            </w:drawing>
          </mc:Choice>
          <mc:Fallback>
            <w:pict>
              <v:rect style="position:absolute;rotation:-0;width:20pt;height:22.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b w:val="false"/>
                          <w:color w:val="000000"/>
                          <w:sz w:val="19"/>
                        </w:rPr>
                      </w:pPr>
                      <w:r>
                        <w:rPr>
                          <w:b w:val="false"/>
                          <w:color w:val="000000"/>
                          <w:sz w:val="19"/>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2C73"/>
        </w:rPr>
      </w:pPr>
      <w:r>
        <w:rPr>
          <w:caps w:val="false"/>
          <w:smallCaps w:val="false"/>
          <w:color w:val="002C73"/>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49</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RAR"/>
      <w:bookmarkEnd w:id="35"/>
      <w:r>
        <w:rPr>
          <w:rFonts w:ascii="calibri;arial;sans-serif" w:hAnsi="calibri;arial;sans-serif"/>
          <w:b w:val="false"/>
          <w:i w:val="false"/>
          <w:caps w:val="false"/>
          <w:smallCaps w:val="false"/>
          <w:color w:val="000000"/>
          <w:sz w:val="16"/>
        </w:rPr>
        <w:t>​</w:t>
      </w:r>
      <w:bookmarkStart w:id="36" w:name="tPAPF"/>
      <w:bookmarkEnd w:id="36"/>
      <w:r>
        <w:rPr>
          <w:rFonts w:ascii="calibri;arial;sans-serif" w:hAnsi="calibri;arial;sans-serif"/>
          <w:b w:val="false"/>
          <w:i w:val="false"/>
          <w:caps w:val="false"/>
          <w:smallCaps w:val="false"/>
          <w:color w:val="000000"/>
          <w:sz w:val="16"/>
        </w:rPr>
        <w:t>​</w:t>
      </w:r>
      <w:bookmarkStart w:id="37" w:name="tRPTW"/>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950" w:before="30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CERTAIN RELATIONSHIPS AND RELATED TRANSACTIONS</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360" w:before="12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Policies and Procedures for Related Person Transactions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have adopted a written related person transactions policy pursuant to which our executive officers, directors and principal shareholders, including their immediate family members, are not permitted to enter into a related person transaction with us if the amount involved exceeds $120,000 (a “Related Party Transaction”) without the consent of our Audit Committee. Any request for us to enter into a Related Party Transaction is required to be presented to our Audit Committee for review, consideration and approval. In approving or rejecting a proposed related party transaction, our Audit Committee will take into account, among other factors it deems appropriate, whether the proposed Related Party Transaction is on terms no less favorable than terms generally available to an unaffiliated third-party under the same or similar circumstances, the extent of the related person’s interest in the transaction and, if applicable, the impact on a director’s independence. Under the policy, if we should discover Related Party Transactions that have not been approved, our Audit Committee will be notified and will determine the appropriate action, including ratification, rescission or amendment of the transaction.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Related Party Transactions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Transactions with Gallatin Point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February 24, 2022, we entered into an investment agreement (the “Investment Agreement”) with GPC Thames, an affiliate of Gallatin Point, relating to the issuance and sale by the Company to GPC Thames of 150,000 Series A Preferred Shares, for an aggregate purchase price of $150 million, or $1,000 per share (the “GP Issuance”). Pursuant to the Investment Agreement, until GPC Thames and its permitted transferees no longer beneficially own Series A Preferred Shares and/or shares of common stock issued or issuable upon conversion of such Series A Preferred Shares that represent in the aggregate (a) at least 50% of the number of shares of common stock beneficially owned by GPC Thames, on an as-converted basis, as of the date of issuance of the Series A Preferred Shares and (b) at least 5% of the number of shares of common stock on an as-converted basis, GPC Thames is entitled to designate one individual for nomination to our Board of Directors. GPC Thames designated Mr. Botein for nomination for re-election as a director at the annual meeting of shareholders held in 2025 and at the Annual Meeting. In connection with the GP Issuance, we entered into a registration rights agreement with GPC Thames, as amended on November 11, 2024, pursuant to which we agreed to provide to holders of the Series A Preferred Shares certain customary registration rights with respect to shares of common stock issued in connection with any future conversion of the Series A Preferred Shares.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November 11, 2024, we entered into an amendment to the Investment Agreement (the “Investment Agreement Amendment”). The Investment Agreement Amendment documents the terms of Gallatin Point’s exchange of 37,500 Series A Preferred Shares for 5,859,375 shares of the Company’s common stock, par value $0.0002 per share (the “Common Shares”), which is equivalent to a price of  $6.40 per share. The Investment Agreement also modified the restrictions on Gallatin Point’s ability to transfer Series A Preferred Shares, and shares of common stock issued upon conversion of the Series A Preferred Shares, to third parties. Our director, Mr. Botein, is a founder and Managing Partner of Gallatin Point.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At the same time we entered into the Investment Agreement Amendment, we adopted an amended and restated certificate of designations (the “Amended and Restated Certificate of Designations”) governing the terms of the Series A Preferred Shares. The Amended and Restated Certificate of Designations (i) provided for the exchange of the 37,500 Series A Preferred Shares into 5,859,375 Common Shares, (ii) modified certain optional conversion provisions (including reducing the conversion price to $8.32 per share, subject to adjustment) and mandatory conversion provisions, and (iii) provided for a fixed dividend rate of 7% per annum of the liquidation preference until September 30, 2029, with the dividend rate to reset on October 1, 2029, and each five-year anniversary thereafter, at a rate equal to the five-year U.S. treasury rate plus 5.2%, up to a maximum dividend rate of 8.0%.</w:t>
      </w:r>
    </w:p>
    <w:p>
      <w:pPr>
        <w:pStyle w:val="TextBody"/>
        <w:bidi w:val="0"/>
        <w:spacing w:lineRule="atLeast" w:line="240" w:before="120" w:after="283"/>
        <w:jc w:val="left"/>
        <w:rPr>
          <w:rFonts w:ascii="Arial Narrow;Arial;Helvetica;sans-serif" w:hAnsi="Arial Narrow;Arial;Helvetica;sans-serif"/>
          <w:b w:val="false"/>
          <w:i/>
          <w:caps w:val="false"/>
          <w:smallCaps w:val="false"/>
          <w:color w:val="002C73"/>
          <w:sz w:val="20"/>
        </w:rPr>
      </w:pPr>
      <w:r>
        <w:rPr>
          <w:rFonts w:ascii="Arial Narrow;Arial;Helvetica;sans-serif" w:hAnsi="Arial Narrow;Arial;Helvetica;sans-serif"/>
          <w:b w:val="false"/>
          <w:i/>
          <w:caps w:val="false"/>
          <w:smallCaps w:val="false"/>
          <w:color w:val="002C73"/>
          <w:sz w:val="20"/>
        </w:rPr>
        <w:t>Transactions with Cavello Bay</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 November 11, 2024, we entered into a subscription agreement (the “Subscription Agreement”) with Cavello Bay providing for the issuance and sale of 1,953,125 of the Common Shares for an aggregate purchase price of  $12.5 million, or $6.40 per share. The share sale closed on December 23, 2024. In connection with the share sale, we entered into a registration rights agreement with Cavello Bay pursuant to which we agreed to provide Cavello Bay with certain customary registration rights with respect to the shares of common stock received in the share sale.</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Simultaneously with the entry into the Subscription Agreement, Cavello Bay entered into an adverse development cover agreement (the “E&amp;S Top Up ADC”) with our subsidiaries, James River Insurance Company and James River Casualty Company (together, “James River”). Pursuant to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50</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this agreement, in exchange for a premium of  $52.8 million (less an amount equal to the federal excise tax payable on the premium), Cavello Bay reinsures, effective January 1, 2024, 100% of the losses associated with James River’s E&amp;S Segment portfolio attaching to premium earned during 2010-2023 (both years inclusive). The agreement excludes losses related to commercial auto policies issued to a former large insured or its affiliates. It is subject to a retention by James River of  $1,183.7 million (the limit of the combined loss portfolio transfer and adverse development cover for our Excess &amp; Surplus Lines business executed on July 2, 2024) and up to an aggregate limit of  $75.0 million. The E&amp;S Top Up ADC closed on December 23, 2024.</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further information regarding the Investment Agreement, the Investment Agreement Amendment, the Amended and Restated Certificate of Designations, the Subscription Agreement and the E&amp;S Top Up ADC, including a description of certain obligations and restrictions binding on the parties thereto, please refer to the Company’s Current Reports on Form 8-K filed with the SEC on February 28, 2022, March 8, 2022 and November 13, 2024 and our Annual Report on Form 10-K for the fiscal year ended December 31, 2025.</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On April 11, 2025, the Company entered into an agreement with entities controlled by Sixth Street, an affiliate of Cavello Bay, pursuant to which the Company’s E&amp;S Segment will invest up to $75 million into a private asset-based credit strategy with exposures primarily in collateralized investment grade notes. Pursuant to the terms of its investment, the Company will pay Sixth Street an annual management fee of 1% of the invested amount and cover certain expenses, and may also pay performance fees over time if pre-specified return hurdles are achieved. As of September 1, 2026, Cavello Bay and its affiliates hold approximately 5.6% of our outstanding shares of common stock.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51</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SOOC"/>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960" w:before="30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SECURITIES OWNERSHIP OF CERTAIN BENEFICIAL OWNERS</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below table sets forth information as of September 1, 2026 regarding the beneficial ownership of our common stock by (1) each person, or group of affiliated persons, known by us to be the beneficial owner of 5% or more of our outstanding shares of common stock, (2) each of our directors, (3) each of our named executive officers included in the Summary Compensation Table appearing in this proxy statement and (4) all directors, nominees and executive officers as of September 1, 2026 as a group.</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amounts and percentages owned are reported on the basis of the SEC’s rules governing the determination of beneficial ownership of securities. The SEC’s rules generally attribute beneficial ownership of securities to each person who possesses, either solely or shared with others, the voting power or investment power, which includes the power to dispose of those securities. The rules also treat as issued and outstanding all shares that a person would receive upon exercise of options or conversion of a security held by that person that are immediately exercisable or convertible, or exercisable or convertible within sixty days of September 1, 2026. These shares are deemed to be outstanding and to be beneficially owned by the person holding those options or convertible security for the purpose of computing the number of shares beneficially owned and the percentage ownership of that person, but they are not treated as issued and outstanding for the purpose of computing the percentage ownership of any other person. Under these rules, one or more persons may be a deemed beneficial owner of the same securities.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As of September 1, 2026, there were a total of 46,249,038 shares of common stock and 112,500 Series A Preferred Shares issued and outstanding. </w:t>
      </w:r>
    </w:p>
    <w:tbl>
      <w:tblPr>
        <w:tblW w:w="10561" w:type="dxa"/>
        <w:jc w:val="left"/>
        <w:tblInd w:w="920" w:type="dxa"/>
        <w:tblLayout w:type="fixed"/>
        <w:tblCellMar>
          <w:top w:w="0" w:type="dxa"/>
          <w:left w:w="0" w:type="dxa"/>
          <w:bottom w:w="28" w:type="dxa"/>
          <w:right w:w="0" w:type="dxa"/>
        </w:tblCellMar>
      </w:tblPr>
      <w:tblGrid>
        <w:gridCol w:w="124"/>
        <w:gridCol w:w="1531"/>
        <w:gridCol w:w="109"/>
        <w:gridCol w:w="109"/>
        <w:gridCol w:w="109"/>
        <w:gridCol w:w="130"/>
        <w:gridCol w:w="130"/>
        <w:gridCol w:w="1470"/>
        <w:gridCol w:w="131"/>
        <w:gridCol w:w="109"/>
        <w:gridCol w:w="109"/>
        <w:gridCol w:w="109"/>
        <w:gridCol w:w="237"/>
        <w:gridCol w:w="237"/>
        <w:gridCol w:w="1147"/>
        <w:gridCol w:w="240"/>
        <w:gridCol w:w="109"/>
        <w:gridCol w:w="109"/>
        <w:gridCol w:w="109"/>
        <w:gridCol w:w="167"/>
        <w:gridCol w:w="167"/>
        <w:gridCol w:w="1359"/>
        <w:gridCol w:w="168"/>
        <w:gridCol w:w="109"/>
        <w:gridCol w:w="109"/>
        <w:gridCol w:w="109"/>
        <w:gridCol w:w="186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531"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NAME OF BENEFICIAL OWNER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NUMBER OF</w:t>
              <w:br/>
              <w:t>SHARES OF</w:t>
              <w:br/>
              <w:t>COMMON STOCK</w:t>
              <w:br/>
              <w:t>BENEFICIALLY</w:t>
              <w:br/>
              <w:t xml:space="preserve">OWNED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PERCENTAGE</w:t>
              <w:br/>
              <w:t>OF SHARES OF</w:t>
              <w:br/>
              <w:t>COMMON</w:t>
              <w:br/>
              <w:t>STOCK</w:t>
              <w:br/>
              <w:t>BENEFICIALLY</w:t>
              <w:br/>
              <w:t xml:space="preserve">OWNED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NUMBER OF</w:t>
              <w:br/>
              <w:t>SERIES A</w:t>
              <w:br/>
              <w:t>PREFERRED</w:t>
              <w:br/>
              <w:t>SHARES</w:t>
              <w:br/>
              <w:t>BENEFICIALLY</w:t>
              <w:br/>
              <w:t xml:space="preserve">OWNED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tcBorders>
              <w:bottom w:val="single" w:sz="12" w:space="0" w:color="3F3F3F"/>
            </w:tcBorders>
            <w:shd w:fill="F2F2F2" w:val="clear"/>
            <w:tcMar>
              <w:bottom w:w="127" w:type="dxa"/>
            </w:tcMar>
            <w:vAlign w:val="center"/>
          </w:tcPr>
          <w:p>
            <w:pPr>
              <w:pStyle w:val="TableContents"/>
              <w:bidi w:val="0"/>
              <w:spacing w:before="0" w:after="0"/>
              <w:jc w:val="center"/>
              <w:rPr/>
            </w:pPr>
            <w:r>
              <w:rPr/>
              <w:t>PERCENTAGE OF</w:t>
              <w:br/>
              <w:t>SERIES A</w:t>
              <w:br/>
              <w:t>PREFERRED</w:t>
              <w:br/>
              <w:t>SHARES</w:t>
              <w:br/>
              <w:t>BENEFICIALLY</w:t>
              <w:br/>
              <w:t xml:space="preserve">OWNED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5% or more Shareholders:</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GPC Partners Investments (Thames) LP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19,381,009</w:t>
            </w:r>
            <w:r>
              <w:rPr>
                <w:sz w:val="12"/>
              </w:rPr>
              <w:t>(1)</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32.4%</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112,500</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0"/>
              <w:jc w:val="right"/>
              <w:rPr/>
            </w:pPr>
            <w:r>
              <w:rPr/>
              <w:t>100%</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Zimmer Partners, LP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4,623,685</w:t>
            </w:r>
            <w:r>
              <w:rPr>
                <w:sz w:val="12"/>
              </w:rPr>
              <w:t>(2)</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10.0%</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T. Rowe Price Investment Management,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4,500,097</w:t>
            </w:r>
            <w:r>
              <w:rPr>
                <w:sz w:val="12"/>
              </w:rPr>
              <w:t>(3)</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9.7%</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BlackRock,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2,863,911</w:t>
            </w:r>
            <w:r>
              <w:rPr>
                <w:sz w:val="12"/>
              </w:rPr>
              <w:t>(4)</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6.2%</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Cavello Bay Reinsurance Limited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2,590,765</w:t>
            </w:r>
            <w:r>
              <w:rPr>
                <w:sz w:val="12"/>
              </w:rPr>
              <w:t>(5)</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5.6%</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Donald Smith &amp; Co., Inc.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2,440,347</w:t>
            </w:r>
            <w:r>
              <w:rPr>
                <w:sz w:val="12"/>
              </w:rPr>
              <w:t>(6)</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5.3%</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Continental General Insurance Company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2,424,813</w:t>
            </w:r>
            <w:r>
              <w:rPr>
                <w:sz w:val="12"/>
              </w:rPr>
              <w:t>(7)</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5.2%</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0"/>
              <w:jc w:val="left"/>
              <w:rPr/>
            </w:pPr>
            <w:r>
              <w:rPr/>
              <w:t>Directors, Nominees and Executive Officers:</w:t>
            </w:r>
            <w:r>
              <w:rPr>
                <w:sz w:val="12"/>
              </w:rPr>
              <w:t>(8)</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Frank N. D’Orazio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298,943</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Rajiv Basu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Matthew B. Botein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19,381,009</w:t>
            </w:r>
            <w:r>
              <w:rPr>
                <w:sz w:val="12"/>
              </w:rPr>
              <w:t>(9)</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32.4%</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112,500</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0"/>
              <w:jc w:val="right"/>
              <w:rPr/>
            </w:pPr>
            <w:r>
              <w:rPr/>
              <w:t>100%</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Thomas L. Brown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30,140</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Joel D. Cavaness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5,479</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Christine LaSala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60,758</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Peter B. Migliorato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39,201</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Sarah C. Doran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113,186</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Michael J. Hoffmann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40,444</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52</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tbl>
      <w:tblPr>
        <w:tblW w:w="10561" w:type="dxa"/>
        <w:jc w:val="left"/>
        <w:tblInd w:w="920" w:type="dxa"/>
        <w:tblLayout w:type="fixed"/>
        <w:tblCellMar>
          <w:top w:w="0" w:type="dxa"/>
          <w:left w:w="0" w:type="dxa"/>
          <w:bottom w:w="28" w:type="dxa"/>
          <w:right w:w="0" w:type="dxa"/>
        </w:tblCellMar>
      </w:tblPr>
      <w:tblGrid>
        <w:gridCol w:w="124"/>
        <w:gridCol w:w="1531"/>
        <w:gridCol w:w="109"/>
        <w:gridCol w:w="109"/>
        <w:gridCol w:w="109"/>
        <w:gridCol w:w="130"/>
        <w:gridCol w:w="130"/>
        <w:gridCol w:w="1470"/>
        <w:gridCol w:w="131"/>
        <w:gridCol w:w="109"/>
        <w:gridCol w:w="109"/>
        <w:gridCol w:w="109"/>
        <w:gridCol w:w="237"/>
        <w:gridCol w:w="237"/>
        <w:gridCol w:w="1147"/>
        <w:gridCol w:w="240"/>
        <w:gridCol w:w="109"/>
        <w:gridCol w:w="109"/>
        <w:gridCol w:w="109"/>
        <w:gridCol w:w="167"/>
        <w:gridCol w:w="167"/>
        <w:gridCol w:w="1359"/>
        <w:gridCol w:w="168"/>
        <w:gridCol w:w="109"/>
        <w:gridCol w:w="109"/>
        <w:gridCol w:w="109"/>
        <w:gridCol w:w="1861"/>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531"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NAME OF BENEFICIAL OWNER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NUMBER OF</w:t>
              <w:br/>
              <w:t>SHARES OF</w:t>
              <w:br/>
              <w:t>COMMON STOCK</w:t>
              <w:br/>
              <w:t>BENEFICIALLY</w:t>
              <w:br/>
              <w:t xml:space="preserve">OWNED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PERCENTAGE</w:t>
              <w:br/>
              <w:t>OF SHARES OF</w:t>
              <w:br/>
              <w:t>COMMON</w:t>
              <w:br/>
              <w:t>STOCK</w:t>
              <w:br/>
              <w:t>BENEFICIALLY</w:t>
              <w:br/>
              <w:t xml:space="preserve">OWNED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NUMBER OF</w:t>
              <w:br/>
              <w:t>SERIES A</w:t>
              <w:br/>
              <w:t>PREFERRED</w:t>
              <w:br/>
              <w:t>SHARES</w:t>
              <w:br/>
              <w:t>BENEFICIALLY</w:t>
              <w:br/>
              <w:t xml:space="preserve">OWNED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861" w:type="dxa"/>
            <w:tcBorders>
              <w:bottom w:val="single" w:sz="12" w:space="0" w:color="3F3F3F"/>
            </w:tcBorders>
            <w:shd w:fill="F2F2F2" w:val="clear"/>
            <w:tcMar>
              <w:bottom w:w="127" w:type="dxa"/>
            </w:tcMar>
            <w:vAlign w:val="center"/>
          </w:tcPr>
          <w:p>
            <w:pPr>
              <w:pStyle w:val="TableContents"/>
              <w:bidi w:val="0"/>
              <w:spacing w:before="0" w:after="0"/>
              <w:jc w:val="center"/>
              <w:rPr/>
            </w:pPr>
            <w:r>
              <w:rPr/>
              <w:t>PERCENTAGE OF</w:t>
              <w:br/>
              <w:t>SERIES A</w:t>
              <w:br/>
              <w:t>PREFERRED</w:t>
              <w:br/>
              <w:t>SHARES</w:t>
              <w:br/>
              <w:t>BENEFICIALLY</w:t>
              <w:br/>
              <w:t xml:space="preserve">OWNED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Jeanette L. Miller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28,382</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Todd R. Sutherland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33,528</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Richard J. Schmitzer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270,030</w:t>
            </w:r>
            <w:r>
              <w:rPr>
                <w:sz w:val="12"/>
              </w:rPr>
              <w:t>(10)</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65" w:type="dxa"/>
            </w:tcMar>
            <w:vAlign w:val="center"/>
          </w:tcPr>
          <w:p>
            <w:pPr>
              <w:pStyle w:val="TableContents"/>
              <w:bidi w:val="0"/>
              <w:spacing w:before="0" w:after="283"/>
              <w:jc w:val="right"/>
              <w:rPr/>
            </w:pPr>
            <w:r>
              <w:rPr/>
              <w:t>​</w:t>
            </w:r>
          </w:p>
        </w:tc>
        <w:tc>
          <w:tcPr>
            <w:tcW w:w="1359" w:type="dxa"/>
            <w:tcBorders>
              <w:bottom w:val="single" w:sz="2" w:space="0" w:color="BFBFBF"/>
            </w:tcBorders>
            <w:tcMar>
              <w:bottom w:w="65" w:type="dxa"/>
            </w:tcMar>
            <w:vAlign w:val="center"/>
          </w:tcPr>
          <w:p>
            <w:pPr>
              <w:pStyle w:val="TableContents"/>
              <w:bidi w:val="0"/>
              <w:spacing w:before="0" w:after="283"/>
              <w:jc w:val="right"/>
              <w:rPr/>
            </w:pPr>
            <w:r>
              <w:rPr/>
              <w:t>​</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65" w:type="dxa"/>
            </w:tcMar>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531" w:type="dxa"/>
            <w:tcBorders>
              <w:bottom w:val="single" w:sz="2" w:space="0" w:color="BFBFBF"/>
            </w:tcBorders>
            <w:tcMar>
              <w:bottom w:w="65" w:type="dxa"/>
            </w:tcMar>
            <w:vAlign w:val="center"/>
          </w:tcPr>
          <w:p>
            <w:pPr>
              <w:pStyle w:val="TableContents"/>
              <w:bidi w:val="0"/>
              <w:spacing w:before="0" w:after="283"/>
              <w:jc w:val="left"/>
              <w:rPr/>
            </w:pPr>
            <w:r>
              <w:rPr/>
              <w:t xml:space="preserve">All directors, nominees and executive officers as a </w:t>
              <w:br/>
              <w:t xml:space="preserve">group (12 persons)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vAlign w:val="center"/>
          </w:tcPr>
          <w:p>
            <w:pPr>
              <w:pStyle w:val="TableContents"/>
              <w:bidi w:val="0"/>
              <w:spacing w:before="0" w:after="283"/>
              <w:jc w:val="left"/>
              <w:rPr/>
            </w:pPr>
            <w:r>
              <w:rPr/>
              <w:t>​</w:t>
            </w:r>
          </w:p>
        </w:tc>
        <w:tc>
          <w:tcPr>
            <w:tcW w:w="130" w:type="dxa"/>
            <w:tcBorders>
              <w:bottom w:val="single" w:sz="2" w:space="0" w:color="BFBFBF"/>
            </w:tcBorders>
            <w:tcMar>
              <w:bottom w:w="65" w:type="dxa"/>
            </w:tcMar>
            <w:vAlign w:val="center"/>
          </w:tcPr>
          <w:p>
            <w:pPr>
              <w:pStyle w:val="TableContents"/>
              <w:bidi w:val="0"/>
              <w:spacing w:before="0" w:after="283"/>
              <w:jc w:val="right"/>
              <w:rPr/>
            </w:pPr>
            <w:r>
              <w:rPr/>
              <w:t>​</w:t>
            </w:r>
          </w:p>
        </w:tc>
        <w:tc>
          <w:tcPr>
            <w:tcW w:w="1470" w:type="dxa"/>
            <w:tcBorders>
              <w:bottom w:val="single" w:sz="2" w:space="0" w:color="BFBFBF"/>
            </w:tcBorders>
            <w:tcMar>
              <w:bottom w:w="65" w:type="dxa"/>
            </w:tcMar>
            <w:vAlign w:val="center"/>
          </w:tcPr>
          <w:p>
            <w:pPr>
              <w:pStyle w:val="TableContents"/>
              <w:bidi w:val="0"/>
              <w:spacing w:before="0" w:after="283"/>
              <w:jc w:val="right"/>
              <w:rPr/>
            </w:pPr>
            <w:r>
              <w:rPr/>
              <w:t>20,301,100</w:t>
            </w:r>
            <w:r>
              <w:rPr>
                <w:sz w:val="12"/>
              </w:rPr>
              <w:t>(11)</w:t>
            </w:r>
            <w:r>
              <w:rPr/>
              <w:t xml:space="preserve"> </w:t>
            </w:r>
          </w:p>
        </w:tc>
        <w:tc>
          <w:tcPr>
            <w:tcW w:w="131"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vAlign w:val="center"/>
          </w:tcPr>
          <w:p>
            <w:pPr>
              <w:pStyle w:val="TableContents"/>
              <w:bidi w:val="0"/>
              <w:spacing w:before="0" w:after="283"/>
              <w:jc w:val="left"/>
              <w:rPr/>
            </w:pPr>
            <w:r>
              <w:rPr/>
              <w:t>​</w:t>
            </w:r>
          </w:p>
        </w:tc>
        <w:tc>
          <w:tcPr>
            <w:tcW w:w="237" w:type="dxa"/>
            <w:tcBorders>
              <w:bottom w:val="single" w:sz="2" w:space="0" w:color="BFBFBF"/>
            </w:tcBorders>
            <w:tcMar>
              <w:bottom w:w="65" w:type="dxa"/>
            </w:tcMar>
            <w:vAlign w:val="center"/>
          </w:tcPr>
          <w:p>
            <w:pPr>
              <w:pStyle w:val="TableContents"/>
              <w:bidi w:val="0"/>
              <w:spacing w:before="0" w:after="283"/>
              <w:jc w:val="right"/>
              <w:rPr/>
            </w:pPr>
            <w:r>
              <w:rPr/>
              <w:t>​</w:t>
            </w:r>
          </w:p>
        </w:tc>
        <w:tc>
          <w:tcPr>
            <w:tcW w:w="1147" w:type="dxa"/>
            <w:tcBorders>
              <w:bottom w:val="single" w:sz="2" w:space="0" w:color="BFBFBF"/>
            </w:tcBorders>
            <w:tcMar>
              <w:bottom w:w="65" w:type="dxa"/>
            </w:tcMar>
            <w:vAlign w:val="center"/>
          </w:tcPr>
          <w:p>
            <w:pPr>
              <w:pStyle w:val="TableContents"/>
              <w:bidi w:val="0"/>
              <w:spacing w:before="0" w:after="283"/>
              <w:jc w:val="right"/>
              <w:rPr/>
            </w:pPr>
            <w:r>
              <w:rPr/>
              <w:t>34.0%</w:t>
            </w:r>
          </w:p>
        </w:tc>
        <w:tc>
          <w:tcPr>
            <w:tcW w:w="240"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vAlign w:val="center"/>
          </w:tcPr>
          <w:p>
            <w:pPr>
              <w:pStyle w:val="TableContents"/>
              <w:bidi w:val="0"/>
              <w:spacing w:before="0" w:after="283"/>
              <w:jc w:val="left"/>
              <w:rPr/>
            </w:pPr>
            <w:r>
              <w:rPr/>
              <w:t>​</w:t>
            </w:r>
          </w:p>
        </w:tc>
        <w:tc>
          <w:tcPr>
            <w:tcW w:w="167" w:type="dxa"/>
            <w:tcBorders>
              <w:bottom w:val="single" w:sz="2" w:space="0" w:color="BFBFBF"/>
            </w:tcBorders>
            <w:tcMar>
              <w:bottom w:w="53" w:type="dxa"/>
            </w:tcMar>
            <w:vAlign w:val="center"/>
          </w:tcPr>
          <w:p>
            <w:pPr>
              <w:pStyle w:val="TableContents"/>
              <w:bidi w:val="0"/>
              <w:spacing w:before="0" w:after="283"/>
              <w:jc w:val="right"/>
              <w:rPr/>
            </w:pPr>
            <w:r>
              <w:rPr/>
              <w:t>​</w:t>
            </w:r>
          </w:p>
        </w:tc>
        <w:tc>
          <w:tcPr>
            <w:tcW w:w="1359" w:type="dxa"/>
            <w:tcBorders>
              <w:bottom w:val="single" w:sz="2" w:space="0" w:color="BFBFBF"/>
            </w:tcBorders>
            <w:tcMar>
              <w:bottom w:w="53" w:type="dxa"/>
            </w:tcMar>
            <w:vAlign w:val="center"/>
          </w:tcPr>
          <w:p>
            <w:pPr>
              <w:pStyle w:val="TableContents"/>
              <w:bidi w:val="0"/>
              <w:spacing w:before="0" w:after="283"/>
              <w:jc w:val="right"/>
              <w:rPr/>
            </w:pPr>
            <w:r>
              <w:rPr/>
              <w:t>112,500</w:t>
            </w:r>
          </w:p>
        </w:tc>
        <w:tc>
          <w:tcPr>
            <w:tcW w:w="168"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861" w:type="dxa"/>
            <w:tcBorders>
              <w:bottom w:val="single" w:sz="2" w:space="0" w:color="BFBFBF"/>
            </w:tcBorders>
            <w:tcMar>
              <w:bottom w:w="53" w:type="dxa"/>
            </w:tcMar>
            <w:vAlign w:val="center"/>
          </w:tcPr>
          <w:p>
            <w:pPr>
              <w:pStyle w:val="TableContents"/>
              <w:bidi w:val="0"/>
              <w:spacing w:before="0" w:after="0"/>
              <w:jc w:val="right"/>
              <w:rPr/>
            </w:pPr>
            <w:r>
              <w:rPr/>
              <w:t>100%</w:t>
            </w:r>
          </w:p>
        </w:tc>
        <w:tc>
          <w:tcPr>
            <w:tcW w:w="154"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161"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beneficial ownership of less than 1%.</w:t>
      </w:r>
      <w:r>
        <mc:AlternateContent>
          <mc:Choice Requires="wps">
            <w:drawing>
              <wp:anchor behindDoc="0" distT="102235"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4"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05pt;mso-wrap-distance-bottom:0pt;margin-top:8.05pt;mso-position-vertical:top;mso-position-vertical-relative:text;margin-left:20pt;mso-position-horizontal:left;mso-position-horizontal-relative:text">
                <v:textbox>
                  <w:txbxContent>
                    <w:p>
                      <w:pPr>
                        <w:pStyle w:val="TextBody"/>
                        <w:bidi w:val="0"/>
                        <w:spacing w:lineRule="atLeast" w:line="226" w:before="0" w:after="283"/>
                        <w:jc w:val="left"/>
                        <w:rPr/>
                      </w:pPr>
                      <w:r>
                        <w:rPr/>
                        <w:t>*</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Beneficial ownership information of the Series A Preferred Shares is based on information contained in post-effective amendment no. 1 to the registration statement on Form S-3 filed by the Company on November 10, 2025. The number of shares of common stock beneficially owned represents 5,859,375 outstanding shares of common stock and 13,521,634 shares of common stock issuable upon conversion of the Series A Preferred Shares outstanding as of September 1, 2026 (the “Conversion Shares”), without giving effect to the conversion limitation set forth in the amended and restated certificate of designations (“Certificate of Designations”) dated as of November 11, 2024 (the “Conversion Limitation”). In certain circumstances, the issuance of shares of common stock upon conversion of the Series A Preferred Shares may be subject to the Conversion Limitation. Pursuant to the Conversion Limitation, unless and until we obtain the shareholder approval required by Nasdaq Listing Standard Rule 5635 for the issuance of shares of common stock upon conversion of the Series A Preferred Shares in excess of the limitations imposed by such rule, if such rule is applicable, no shares of common stock will be issued or delivered upon conversion of any Series A Preferred Share, and no Series A Preferred Share will be convertible, in each case to the extent, and only to the extent, that such issuance, delivery, conversion or convertibility would result in the holders of the Series A Preferred Shares in the aggregate beneficially owning more than 19.9% of the number of shares of common stock then outstanding or the total voting power of our then-outstanding voting securities. GPC Partners Investments (Thames) LP (“GPC Thames”), GPC Partners II GP LLC (“GPC II GP”), Gallatin Point Capital LLC (“Gallatin Point”), Matthew B. Botein and Lewis A. (Lee) Sachs (collectively, the “GPC Parties”) also beneficially own the shares of common stock. GPC Thames, GPC II GP and Gallatin Point reported sole voting and sole dispositive power over the shares of common stock and Conversion Shares (together, the “GPC Subject Shares”), and Messrs. Botein and Sachs reported shared voting and shared dispositive power over the GPC Subject Shares. GPC Thames is the direct holder of the 5,859,375 shares of common stock and 112,500 Series A Preferred Shares that may be converted into the Conversion Shares. Gallatin Point is the managing member of GPC II GP, which, in turn, is the general partner of GPC Thames. Messrs. Botein and Sachs jointly control Gallatin Point through multiple intermediate entities. The Series A Preferred Shares vote on an as converted basis with holders of our shares of common stock; provided, however, that pursuant to the terms of the Series A Preferred Shares, they may not be voted by the GPC Parties in excess of 9.9% of the aggregate voting power of the then-outstanding shares of common stock on an as converted basis or of our outstanding voting securities. The address of the GPC Parties is 660 Steamboat Road, Greenwich, CT 06830.</w:t>
      </w:r>
      <w:r>
        <mc:AlternateContent>
          <mc:Choice Requires="wps">
            <w:drawing>
              <wp:anchor behindDoc="0" distT="0" distB="0" distL="254000" distR="0" simplePos="0" locked="0" layoutInCell="1" allowOverlap="1" relativeHeight="197">
                <wp:simplePos x="0" y="0"/>
                <wp:positionH relativeFrom="column">
                  <wp:align>left</wp:align>
                </wp:positionH>
                <wp:positionV relativeFrom="line">
                  <wp:posOffset>635</wp:posOffset>
                </wp:positionV>
                <wp:extent cx="254000" cy="350520"/>
                <wp:effectExtent l="0" t="0" r="0" b="0"/>
                <wp:wrapSquare wrapText="right"/>
                <wp:docPr id="195"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26" w:before="0" w:after="283"/>
                        <w:jc w:val="left"/>
                        <w:rPr/>
                      </w:pPr>
                      <w:r>
                        <w:rPr/>
                        <w:t>(1)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Information is based on the Schedule 13D filed with the SEC on May 15, 2026 by Zimmer Partners, LP (“ZP Investment Manager”), Zimmer Financial Services Group LLC (“ZFSG”), Zimmer Partners GP, LLC (“ZPGP”) and Stuart J. Zimmer (collectively, the “Zimmer Parties”). Each of the Zimmer Parties reported shared voting and dispositive power over 4,623,685 shares of common stock. ZPGP is the general partner of ZP Investment Manager, ZFSG is the sole member of ZPGP, and in turn, the sole members of ZFSG are Mr. Zimmer, a revocable trust for his benefit, and an irrevocable trust for his immediate family. ZP Investment Manager is the investment manager of Zimmer Master Infrastructure Fund, LP and ZP Master MidCap Fund, Ltd. The address of the Zimmer Parties is c/o Zimmer Partners, LP, 9 West 57th Street, 33rd Floor, New York, NY 10019.</w:t>
      </w:r>
      <w:r>
        <mc:AlternateContent>
          <mc:Choice Requires="wps">
            <w:drawing>
              <wp:anchor behindDoc="0" distT="0" distB="0" distL="254000" distR="0" simplePos="0" locked="0" layoutInCell="1" allowOverlap="1" relativeHeight="198">
                <wp:simplePos x="0" y="0"/>
                <wp:positionH relativeFrom="column">
                  <wp:align>left</wp:align>
                </wp:positionH>
                <wp:positionV relativeFrom="line">
                  <wp:posOffset>635</wp:posOffset>
                </wp:positionV>
                <wp:extent cx="254000" cy="350520"/>
                <wp:effectExtent l="0" t="0" r="0" b="0"/>
                <wp:wrapSquare wrapText="right"/>
                <wp:docPr id="196"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(2)</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Information is based on Amendment No. 4 to Schedule 13G filed with the SEC on August 14, 2025 by T. Rowe Price Investment Management, Inc. (“Price Investment Management”). Price Investment Management reported sole voting and dispositive power over 4,500,097 shares of common stock. The address of Price Investment Management is 1307 Point Street, Baltimore, MD 21231.</w:t>
      </w:r>
      <w:r>
        <mc:AlternateContent>
          <mc:Choice Requires="wps">
            <w:drawing>
              <wp:anchor behindDoc="0" distT="0" distB="0" distL="254000" distR="0" simplePos="0" locked="0" layoutInCell="1" allowOverlap="1" relativeHeight="199">
                <wp:simplePos x="0" y="0"/>
                <wp:positionH relativeFrom="column">
                  <wp:align>left</wp:align>
                </wp:positionH>
                <wp:positionV relativeFrom="line">
                  <wp:posOffset>635</wp:posOffset>
                </wp:positionV>
                <wp:extent cx="254000" cy="350520"/>
                <wp:effectExtent l="0" t="0" r="0" b="0"/>
                <wp:wrapSquare wrapText="right"/>
                <wp:docPr id="197"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(3)</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Information is based on Amendment No. 11 to Schedule 13G filed with the SEC on April 23, 2025 by BlackRock, Inc. (“BlackRock”). BlackRock reported sole voting power over 2,813,344 shares of common stock and sole dispositive power over 2,863,911 shares of common stock. The common stock is reported as beneficially owned by BlackRock and certain of its subsidiaries. The address of BlackRock is 50 Hudson Yards, New York, NY 10001.</w:t>
      </w:r>
      <w:r>
        <mc:AlternateContent>
          <mc:Choice Requires="wps">
            <w:drawing>
              <wp:anchor behindDoc="0" distT="0" distB="0" distL="254000" distR="0" simplePos="0" locked="0" layoutInCell="1" allowOverlap="1" relativeHeight="200">
                <wp:simplePos x="0" y="0"/>
                <wp:positionH relativeFrom="column">
                  <wp:align>left</wp:align>
                </wp:positionH>
                <wp:positionV relativeFrom="line">
                  <wp:posOffset>635</wp:posOffset>
                </wp:positionV>
                <wp:extent cx="254000" cy="350520"/>
                <wp:effectExtent l="0" t="0" r="0" b="0"/>
                <wp:wrapSquare wrapText="right"/>
                <wp:docPr id="19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(4)</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Information is based on Amendment No. 2 to Schedule 13G filed with the SEC on August 13, 2026 by Enstar Group Limited (“Enstar”), Elk Insurance Holdings, LLC (“Elk”), Jennifer Gordon, and Anthony Michael Muscolino. Enstar, Elk, Ms. Gordon and Mr. Muscolino reported shared voting and dispositive power over 2,590,765 shares of common stock (the “Subject Shares”) and that Cavello Bay Reinsurance Limited (“Cavello Bay”) is the direct holder of the Subject Shares. Enstar is the parent of Cavello Bay and an indirect subsidiary of Elk. The sole shareholder of Enstar is Elk Bidco Limited, the sole owner of the ordinary shares of Elk Bidco Limited is Elk </w:t>
      </w:r>
      <w:r>
        <mc:AlternateContent>
          <mc:Choice Requires="wps">
            <w:drawing>
              <wp:anchor behindDoc="0" distT="0" distB="0" distL="254000" distR="0" simplePos="0" locked="0" layoutInCell="1" allowOverlap="1" relativeHeight="201">
                <wp:simplePos x="0" y="0"/>
                <wp:positionH relativeFrom="column">
                  <wp:align>left</wp:align>
                </wp:positionH>
                <wp:positionV relativeFrom="line">
                  <wp:posOffset>635</wp:posOffset>
                </wp:positionV>
                <wp:extent cx="254000" cy="350520"/>
                <wp:effectExtent l="0" t="0" r="0" b="0"/>
                <wp:wrapSquare wrapText="right"/>
                <wp:docPr id="19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(5)</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53</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Parent Limited, Elk Parent Limited is wholly owned by Elk Intermediate Holdings, LLC, and Elk Intermediate Holdings, LLC is wholly owned by Elk Topco, LLC. Elk owns 100% of the voting non-economic interests in Elk Topco, LLC, and Ms. Gordon and Mr. Muscolino are the sole members of Elk. As a result, Ms. Gordon, Mr. Muscolino and certain intermediate holding companies may be deemed to beneficially own the Subject Shares. Each reporting person disclaims beneficial ownership of the Subject Shares held directly by Cavello Bay. The address of Enstar is A.S. Cooper Building, 4th Floor, 26 Reid Street, Hamilton HM 11, Bermuda. The address of Elk, Ms. Gordon and Mr. Muscolino is 2100 McKinney Avenue, Suite 1500, Dallas, TX 75201.</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Information is based on the Schedule 13G filed with the SEC on August 11, 2026 by Donald Smith &amp; Co., Inc. (“DSCI”) and DSCO Value Fund, L.P. (“DSCO”). DSCI reported sole voting power over 2,361,019 shares and sole dispositive power over 2,417,519 shares. DSCO reported sole voting and dispositive power over 22,828 shares. The address for DSCI is 152 West 57</w:t>
      </w:r>
      <w:r>
        <w:rPr>
          <w:rFonts w:ascii="Arial Narrow;Arial;Helvetica;sans-serif" w:hAnsi="Arial Narrow;Arial;Helvetica;sans-serif"/>
          <w:b w:val="false"/>
          <w:i w:val="false"/>
          <w:caps w:val="false"/>
          <w:smallCaps w:val="false"/>
          <w:color w:val="000000"/>
          <w:sz w:val="14"/>
        </w:rPr>
        <w:t>th</w:t>
      </w:r>
      <w:r>
        <w:rPr>
          <w:rFonts w:ascii="Arial Narrow;Arial;Helvetica;sans-serif" w:hAnsi="Arial Narrow;Arial;Helvetica;sans-serif"/>
          <w:b w:val="false"/>
          <w:i w:val="false"/>
          <w:caps w:val="false"/>
          <w:smallCaps w:val="false"/>
          <w:color w:val="000000"/>
          <w:sz w:val="19"/>
        </w:rPr>
        <w:t xml:space="preserve"> Street, 29th Floor, New York, NY 10019.</w:t>
      </w:r>
      <w:r>
        <mc:AlternateContent>
          <mc:Choice Requires="wps">
            <w:drawing>
              <wp:anchor behindDoc="0" distT="0" distB="0" distL="254000" distR="0" simplePos="0" locked="0" layoutInCell="1" allowOverlap="1" relativeHeight="202">
                <wp:simplePos x="0" y="0"/>
                <wp:positionH relativeFrom="column">
                  <wp:align>left</wp:align>
                </wp:positionH>
                <wp:positionV relativeFrom="line">
                  <wp:posOffset>635</wp:posOffset>
                </wp:positionV>
                <wp:extent cx="254000" cy="350520"/>
                <wp:effectExtent l="0" t="0" r="0" b="0"/>
                <wp:wrapSquare wrapText="right"/>
                <wp:docPr id="20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(6)</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Information is based on the Schedule 13G filed with the SEC on March 24, 2026 by Continental General Insurance Company (“CGIC”), Continental Insurance Group, Ltd. (“CIG”), Continental General Holdings LLC (“CGH”) and Michael Gorzynski (collectively, the “Continental Parties”). Each of the Continental Parties reported shared voting and dispositive power over 2,424,813 shares of common stock. Mr. Gorzynski is a manager of CGH, CGH is the sole owner of CIG and CIG is the sole owner of CGIC. The address for each of CGIC, CIG and CGH is 11001 Lakeline Boulevard, Suite 120, Austin, TX 78717.</w: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254000" cy="350520"/>
                <wp:effectExtent l="0" t="0" r="0" b="0"/>
                <wp:wrapSquare wrapText="right"/>
                <wp:docPr id="20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(7)</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(7)</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address of each director, nominee and executive officer listed is c/o James River Group Holdings, Inc., 1414 Raleigh Road, Suite 405, Chapel Hill, North Carolina 27517.</w:t>
      </w:r>
      <w:r>
        <mc:AlternateContent>
          <mc:Choice Requires="wps">
            <w:drawing>
              <wp:anchor behindDoc="0" distT="0" distB="0" distL="254000" distR="0" simplePos="0" locked="0" layoutInCell="1" allowOverlap="1" relativeHeight="204">
                <wp:simplePos x="0" y="0"/>
                <wp:positionH relativeFrom="column">
                  <wp:align>left</wp:align>
                </wp:positionH>
                <wp:positionV relativeFrom="line">
                  <wp:posOffset>635</wp:posOffset>
                </wp:positionV>
                <wp:extent cx="254000" cy="350520"/>
                <wp:effectExtent l="0" t="0" r="0" b="0"/>
                <wp:wrapSquare wrapText="right"/>
                <wp:docPr id="202"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(8)</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(8)</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Represents beneficial ownership of the GPC Subject Shares beneficially owned by the GPC Parties. See footnote 1 above.</w:t>
      </w:r>
      <w:r>
        <mc:AlternateContent>
          <mc:Choice Requires="wps">
            <w:drawing>
              <wp:anchor behindDoc="0" distT="0" distB="0" distL="254000" distR="0" simplePos="0" locked="0" layoutInCell="1" allowOverlap="1" relativeHeight="205">
                <wp:simplePos x="0" y="0"/>
                <wp:positionH relativeFrom="column">
                  <wp:align>left</wp:align>
                </wp:positionH>
                <wp:positionV relativeFrom="line">
                  <wp:posOffset>635</wp:posOffset>
                </wp:positionV>
                <wp:extent cx="254000" cy="350520"/>
                <wp:effectExtent l="0" t="0" r="0" b="0"/>
                <wp:wrapSquare wrapText="right"/>
                <wp:docPr id="20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(9)</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(9)</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Information is based on the amount of securities beneficially owned by Mr. Schmitzer as of the date of his retirement on October 15, 2025, the securities acquired on the acceleration of certain RSU awards due to his retirement and the settlement of his 2023 PRSUs on March 2, 2026.</w:t>
      </w:r>
      <w:r>
        <mc:AlternateContent>
          <mc:Choice Requires="wps">
            <w:drawing>
              <wp:anchor behindDoc="0" distT="0" distB="0" distL="254000" distR="0" simplePos="0" locked="0" layoutInCell="1" allowOverlap="1" relativeHeight="206">
                <wp:simplePos x="0" y="0"/>
                <wp:positionH relativeFrom="column">
                  <wp:align>left</wp:align>
                </wp:positionH>
                <wp:positionV relativeFrom="line">
                  <wp:posOffset>635</wp:posOffset>
                </wp:positionV>
                <wp:extent cx="254000" cy="350520"/>
                <wp:effectExtent l="0" t="0" r="0" b="0"/>
                <wp:wrapSquare wrapText="right"/>
                <wp:docPr id="204"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(10)</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(10)</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7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reported amount includes 13,521,634 shares of common stock issuable upon conversion of the Series A Preferred Shares beneficially owned by the GPC Parties. See footnote 1 above.</w:t>
      </w:r>
      <w:r>
        <mc:AlternateContent>
          <mc:Choice Requires="wps">
            <w:drawing>
              <wp:anchor behindDoc="0" distT="0" distB="0" distL="254000" distR="0" simplePos="0" locked="0" layoutInCell="1" allowOverlap="1" relativeHeight="207">
                <wp:simplePos x="0" y="0"/>
                <wp:positionH relativeFrom="column">
                  <wp:align>left</wp:align>
                </wp:positionH>
                <wp:positionV relativeFrom="line">
                  <wp:posOffset>635</wp:posOffset>
                </wp:positionV>
                <wp:extent cx="254000" cy="350520"/>
                <wp:effectExtent l="0" t="0" r="0" b="0"/>
                <wp:wrapSquare wrapText="right"/>
                <wp:docPr id="20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t>(11)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t>(11)</w:t>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54</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1OD"/>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48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PROPOSAL 1</w:t>
      </w:r>
      <w:r>
        <w:rPr>
          <w:rFonts w:ascii="Arial Narrow;Arial;Helvetica;sans-serif" w:hAnsi="Arial Narrow;Arial;Helvetica;sans-serif"/>
          <w:b w:val="false"/>
          <w:i w:val="false"/>
          <w:caps w:val="false"/>
          <w:smallCaps w:val="false"/>
          <w:color w:val="002C73"/>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4"/>
          <w:sz w:val="32"/>
        </w:rPr>
        <w:t>ELECTION OF DIRECTORS</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At the Annual Meeting, shareholders will elect six individuals to serve as directors and hold office until our 2027 annual meeting of shareholders.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nominees were recommended and approved for nomination by the Nominating and Corporate Governance Committee of our Board of Directors. The directors shall serve until their successors have been duly elected and qualified or until any such director’s earlier resignation or removal. Proxies cannot be voted for a greater number of persons than the number of nominees named.</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If, for any reason, any nominee is unable or unwilling to serve, the persons named in the proxy will use their best judgment in selecting and voting for a substitute candidate or our Board of Directors may reduce the size of our Board and eliminate the vacancy. Our Board of Directors, however, has no reason to believe that the nominees will be unable or unwilling to be a candidate for election at the time of the Annual Meeting.</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Shareholders will be voting at the Annual Meeting to elect Rajiv Basu, Matthew B. Botein, Joel D. Cavaness, Frank N. D’Orazio, Christine LaSala and Peter B. Migliorato as directors to serve until the 2027 annual meeting of shareholders and until their successors are duly elected and qualified.</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Required Vote and Recommendation</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Each director will be elected by a majority of the votes cast on the proposal in favor of the director nominee’s election, either in person or represented by a properly authorized proxy. This means that, to be elected, the number of votes cast “for” a director nominee must exceed the number of votes cast “against” that director nominee.</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0" w:type="dxa"/>
          <w:right w:w="0" w:type="dxa"/>
        </w:tblCellMar>
      </w:tblPr>
      <w:tblGrid>
        <w:gridCol w:w="124"/>
        <w:gridCol w:w="9007"/>
        <w:gridCol w:w="154"/>
      </w:tblGrid>
      <w:tr>
        <w:trPr/>
        <w:tc>
          <w:tcPr>
            <w:tcW w:w="124" w:type="dxa"/>
            <w:tcBorders/>
            <w:shd w:fill="EFEFEF" w:val="clear"/>
            <w:vAlign w:val="center"/>
          </w:tcPr>
          <w:p>
            <w:pPr>
              <w:pStyle w:val="TableContents"/>
              <w:bidi w:val="0"/>
              <w:spacing w:before="0" w:after="283"/>
              <w:jc w:val="left"/>
              <w:rPr/>
            </w:pPr>
            <w:r>
              <w:rPr/>
              <w:t>​</w:t>
            </w:r>
          </w:p>
        </w:tc>
        <w:tc>
          <w:tcPr>
            <w:tcW w:w="9007" w:type="dxa"/>
            <w:tcBorders/>
            <w:shd w:fill="EFEFEF" w:val="clear"/>
            <w:vAlign w:val="center"/>
          </w:tcPr>
          <w:p>
            <w:pPr>
              <w:pStyle w:val="TableContents"/>
              <w:bidi w:val="0"/>
              <w:spacing w:lineRule="atLeast" w:line="190" w:before="0" w:after="0"/>
              <w:jc w:val="left"/>
              <w:rPr/>
            </w:pPr>
            <w:r>
              <w:rPr/>
              <w:t>THE BOARD OF DIRECTORS RECOMMENDS A VOTE FOR THE ELECTION OF EACH OF THE NOMINATED DIRECTORS.</w:t>
            </w:r>
          </w:p>
        </w:tc>
        <w:tc>
          <w:tcPr>
            <w:tcW w:w="154" w:type="dxa"/>
            <w:tcBorders/>
            <w:shd w:fill="EFEFEF" w:val="clear"/>
            <w:vAlign w:val="center"/>
          </w:tcPr>
          <w:p>
            <w:pPr>
              <w:pStyle w:val="TableContents"/>
              <w:bidi w:val="0"/>
              <w:spacing w:before="0" w:after="283"/>
              <w:jc w:val="left"/>
              <w:rPr/>
            </w:pPr>
            <w:r>
              <w:rPr/>
              <w:t>​</w:t>
            </w:r>
          </w:p>
        </w:tc>
      </w:tr>
    </w:tbl>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55</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P2RT"/>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30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PROPOSAL 2</w:t>
      </w:r>
      <w:r>
        <w:rPr>
          <w:rFonts w:ascii="Arial Narrow;Arial;Helvetica;sans-serif" w:hAnsi="Arial Narrow;Arial;Helvetica;sans-serif"/>
          <w:b w:val="false"/>
          <w:i w:val="false"/>
          <w:caps w:val="false"/>
          <w:smallCaps w:val="false"/>
          <w:color w:val="002C73"/>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4"/>
          <w:sz w:val="32"/>
        </w:rPr>
        <w:t>TO RATIFY THE APPOINTMENT OF ERNST &amp; YOUNG LLP, AN INDEPENDENT REGISTERED PUBLIC ACCOUNTING FIRM, AS OUR INDEPENDENT AUDITOR TO SERVE UNTIL THE 2027 ANNUAL MEETING OF SHAREHOLDERS</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Audit Committee has appointed Ernst &amp; Young LLP, an independent registered public accounting firm, as our independent registered public accounting firm to serve until the 2027 annual meeting of shareholders, and our Board of Directors is asking our shareholders to ratify that appointment. A representative of Ernst &amp; Young LLP is expected to be available during the Annual Meeting with the opportunity to make any statement he or she may desire, and to respond to appropriate questions from shareholders.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Audit Committee engages in an annual evaluation of Ernst &amp; Young LLP’s insurance industry qualifications and expertise, assesses the quality of its service, its sufficiency of resources, the quality, timeliness and practicality of communication and interaction with it, the adequacy of information provided on accounting issues, auditing issues and regulatory developments affecting the property and casualty insurance industry, its ability to meet deadlines and respond quickly, its timeliness and accuracy of all services presented to the Audit Committee for pre-approval and review, management’s feedback, the lead partner’s performance, the comprehensiveness of evaluations of our internal control structure, and its independence, candor, objectivity and professional skepticism. The Audit Committee also considers the advisability and potential impact of selecting a different independent public accounting firm.</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Required Vote and Recommendation</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ratification of the appointment of Ernst &amp; Young LLP as our independent auditor requires the affirmative vote of a majority of the votes cast on the matter. If our shareholders do not vote to ratify the appointment of Ernst &amp; Young LLP as our independent auditor, our Audit Committee will reconsider such appointment, but retains the discretion to continue the retention of such firm if it believes it is in the best interest of the Company and our shareholders. Even if our shareholders do vote to ratify the appointment of Ernst &amp; Young LLP, our Audit Committee retains the discretion to reconsider its appointment as our independent auditor if the Audit Committee believes it necessary to do so in the best interest of the Company and our shareholders.</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0" w:type="dxa"/>
          <w:right w:w="0" w:type="dxa"/>
        </w:tblCellMar>
      </w:tblPr>
      <w:tblGrid>
        <w:gridCol w:w="124"/>
        <w:gridCol w:w="9007"/>
        <w:gridCol w:w="154"/>
      </w:tblGrid>
      <w:tr>
        <w:trPr/>
        <w:tc>
          <w:tcPr>
            <w:tcW w:w="124" w:type="dxa"/>
            <w:tcBorders/>
            <w:shd w:fill="EFEFEF" w:val="clear"/>
            <w:vAlign w:val="center"/>
          </w:tcPr>
          <w:p>
            <w:pPr>
              <w:pStyle w:val="TableContents"/>
              <w:bidi w:val="0"/>
              <w:spacing w:before="0" w:after="283"/>
              <w:jc w:val="left"/>
              <w:rPr/>
            </w:pPr>
            <w:r>
              <w:rPr/>
              <w:t>​</w:t>
            </w:r>
          </w:p>
        </w:tc>
        <w:tc>
          <w:tcPr>
            <w:tcW w:w="9007" w:type="dxa"/>
            <w:tcBorders/>
            <w:shd w:fill="EFEFEF" w:val="clear"/>
            <w:vAlign w:val="center"/>
          </w:tcPr>
          <w:p>
            <w:pPr>
              <w:pStyle w:val="TableContents"/>
              <w:bidi w:val="0"/>
              <w:spacing w:lineRule="atLeast" w:line="226" w:before="0" w:after="0"/>
              <w:jc w:val="left"/>
              <w:rPr/>
            </w:pPr>
            <w:r>
              <w:rPr/>
              <w:t>THE BOARD OF DIRECTORS RECOMMENDS A VOTE FOR THE RATIFICATION OF THE APPOINTMENT OF ERNST &amp; YOUNG LLP AS OUR INDEPENDENT AUDITOR TO SERVE UNTIL THE 2027 ANNUAL MEETING OF SHAREHOLDERS.</w:t>
            </w:r>
          </w:p>
        </w:tc>
        <w:tc>
          <w:tcPr>
            <w:tcW w:w="154" w:type="dxa"/>
            <w:tcBorders/>
            <w:shd w:fill="EFEFEF" w:val="clear"/>
            <w:vAlign w:val="center"/>
          </w:tcPr>
          <w:p>
            <w:pPr>
              <w:pStyle w:val="TableContents"/>
              <w:bidi w:val="0"/>
              <w:spacing w:before="0" w:after="283"/>
              <w:jc w:val="left"/>
              <w:rPr/>
            </w:pPr>
            <w:r>
              <w:rPr/>
              <w:t>​</w:t>
            </w:r>
          </w:p>
        </w:tc>
      </w:tr>
    </w:tbl>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56</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Fees Paid to Independent Registered Public Accounting Firm</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Aggregate fees for professional services rendered to us or on our behalf by Ernst &amp; Young LLP (“EY”) for the years ended December 31, 2025 and 2024 are as follows:</w:t>
      </w:r>
      <w:r>
        <w:rPr>
          <w:rFonts w:ascii="Arial Narrow;Arial;Helvetica;sans-serif" w:hAnsi="Arial Narrow;Arial;Helvetica;sans-serif"/>
          <w:b w:val="false"/>
          <w:i w:val="false"/>
          <w:caps w:val="false"/>
          <w:smallCaps w:val="false"/>
          <w:color w:val="000000"/>
          <w:spacing w:val="4"/>
          <w:sz w:val="19"/>
        </w:rPr>
        <w:t xml:space="preserve"> </w:t>
      </w:r>
    </w:p>
    <w:tbl>
      <w:tblPr>
        <w:tblW w:w="5714" w:type="dxa"/>
        <w:jc w:val="left"/>
        <w:tblInd w:w="920" w:type="dxa"/>
        <w:tblLayout w:type="fixed"/>
        <w:tblCellMar>
          <w:top w:w="0" w:type="dxa"/>
          <w:left w:w="0" w:type="dxa"/>
          <w:bottom w:w="28" w:type="dxa"/>
          <w:right w:w="0" w:type="dxa"/>
        </w:tblCellMar>
      </w:tblPr>
      <w:tblGrid>
        <w:gridCol w:w="124"/>
        <w:gridCol w:w="1996"/>
        <w:gridCol w:w="109"/>
        <w:gridCol w:w="109"/>
        <w:gridCol w:w="109"/>
        <w:gridCol w:w="109"/>
        <w:gridCol w:w="109"/>
        <w:gridCol w:w="1066"/>
        <w:gridCol w:w="109"/>
        <w:gridCol w:w="109"/>
        <w:gridCol w:w="109"/>
        <w:gridCol w:w="109"/>
        <w:gridCol w:w="109"/>
        <w:gridCol w:w="109"/>
        <w:gridCol w:w="1066"/>
        <w:gridCol w:w="109"/>
        <w:gridCol w:w="154"/>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1996" w:type="dxa"/>
            <w:tcBorders>
              <w:bottom w:val="single" w:sz="12" w:space="0" w:color="3F3F3F"/>
            </w:tcBorders>
            <w:shd w:fill="F2F2F2" w:val="clear"/>
            <w:tcMar>
              <w:bottom w:w="127" w:type="dxa"/>
            </w:tcM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9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2025</w:t>
              <w:br/>
              <w:t xml:space="preserve">($)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393" w:type="dxa"/>
            <w:gridSpan w:val="4"/>
            <w:tcBorders>
              <w:bottom w:val="single" w:sz="12" w:space="0" w:color="3F3F3F"/>
            </w:tcBorders>
            <w:shd w:fill="F2F2F2" w:val="clear"/>
            <w:tcMar>
              <w:bottom w:w="127" w:type="dxa"/>
            </w:tcMar>
            <w:vAlign w:val="center"/>
          </w:tcPr>
          <w:p>
            <w:pPr>
              <w:pStyle w:val="TableContents"/>
              <w:bidi w:val="0"/>
              <w:spacing w:before="0" w:after="0"/>
              <w:jc w:val="center"/>
              <w:rPr/>
            </w:pPr>
            <w:r>
              <w:rPr/>
              <w:t>2024</w:t>
              <w:br/>
              <w:t xml:space="preserve">($) </w:t>
            </w:r>
          </w:p>
        </w:tc>
        <w:tc>
          <w:tcPr>
            <w:tcW w:w="154"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96" w:type="dxa"/>
            <w:tcBorders>
              <w:bottom w:val="single" w:sz="2" w:space="0" w:color="BFBFBF"/>
            </w:tcBorders>
            <w:vAlign w:val="center"/>
          </w:tcPr>
          <w:p>
            <w:pPr>
              <w:pStyle w:val="TableContents"/>
              <w:bidi w:val="0"/>
              <w:spacing w:before="0" w:after="283"/>
              <w:jc w:val="left"/>
              <w:rPr/>
            </w:pPr>
            <w:r>
              <w:rPr/>
              <w:t xml:space="preserve">Audit Fees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2,435,000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2,714,162</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96" w:type="dxa"/>
            <w:tcBorders>
              <w:bottom w:val="single" w:sz="2" w:space="0" w:color="BFBFBF"/>
            </w:tcBorders>
            <w:vAlign w:val="center"/>
          </w:tcPr>
          <w:p>
            <w:pPr>
              <w:pStyle w:val="TableContents"/>
              <w:bidi w:val="0"/>
              <w:spacing w:before="0" w:after="283"/>
              <w:jc w:val="left"/>
              <w:rPr/>
            </w:pPr>
            <w:r>
              <w:rPr/>
              <w:t xml:space="preserve">Audit-Related Fees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59,000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9,000</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96" w:type="dxa"/>
            <w:tcBorders>
              <w:bottom w:val="single" w:sz="2" w:space="0" w:color="BFBFBF"/>
            </w:tcBorders>
            <w:vAlign w:val="center"/>
          </w:tcPr>
          <w:p>
            <w:pPr>
              <w:pStyle w:val="TableContents"/>
              <w:bidi w:val="0"/>
              <w:spacing w:before="0" w:after="283"/>
              <w:jc w:val="left"/>
              <w:rPr/>
            </w:pPr>
            <w:r>
              <w:rPr/>
              <w:t xml:space="preserve">Tax Fees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455,570</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148,165</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1996" w:type="dxa"/>
            <w:tcBorders>
              <w:bottom w:val="single" w:sz="2" w:space="0" w:color="BFBFBF"/>
            </w:tcBorders>
            <w:vAlign w:val="center"/>
          </w:tcPr>
          <w:p>
            <w:pPr>
              <w:pStyle w:val="TableContents"/>
              <w:bidi w:val="0"/>
              <w:spacing w:before="0" w:after="283"/>
              <w:jc w:val="left"/>
              <w:rPr/>
            </w:pPr>
            <w:r>
              <w:rPr/>
              <w:t xml:space="preserve">All Other Fees </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right"/>
              <w:rPr/>
            </w:pPr>
            <w:r>
              <w:rPr/>
              <w:t>​</w:t>
            </w:r>
          </w:p>
        </w:tc>
        <w:tc>
          <w:tcPr>
            <w:tcW w:w="1066" w:type="dxa"/>
            <w:tcBorders>
              <w:bottom w:val="single" w:sz="2" w:space="0" w:color="BFBFBF"/>
            </w:tcBorders>
            <w:vAlign w:val="center"/>
          </w:tcPr>
          <w:p>
            <w:pPr>
              <w:pStyle w:val="TableContents"/>
              <w:bidi w:val="0"/>
              <w:spacing w:before="0" w:after="283"/>
              <w:jc w:val="righ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54"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996" w:type="dxa"/>
            <w:tcBorders>
              <w:bottom w:val="single" w:sz="6" w:space="0" w:color="BFBFBF"/>
            </w:tcBorders>
            <w:tcMar>
              <w:bottom w:w="40" w:type="dxa"/>
            </w:tcMar>
            <w:vAlign w:val="center"/>
          </w:tcPr>
          <w:p>
            <w:pPr>
              <w:pStyle w:val="TableContents"/>
              <w:bidi w:val="0"/>
              <w:spacing w:before="0" w:after="283"/>
              <w:jc w:val="left"/>
              <w:rPr/>
            </w:pPr>
            <w:r>
              <w:rPr/>
              <w:t xml:space="preserve">Total Fees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2,949,570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0" w:type="dxa"/>
            </w:tcMar>
            <w:vAlign w:val="center"/>
          </w:tcPr>
          <w:p>
            <w:pPr>
              <w:pStyle w:val="TableContents"/>
              <w:bidi w:val="0"/>
              <w:spacing w:before="0" w:after="283"/>
              <w:jc w:val="right"/>
              <w:rPr/>
            </w:pPr>
            <w:r>
              <w:rPr/>
              <w:t>​</w:t>
            </w:r>
          </w:p>
        </w:tc>
        <w:tc>
          <w:tcPr>
            <w:tcW w:w="1066" w:type="dxa"/>
            <w:tcBorders>
              <w:bottom w:val="single" w:sz="6" w:space="0" w:color="BFBFBF"/>
            </w:tcBorders>
            <w:tcMar>
              <w:bottom w:w="40" w:type="dxa"/>
            </w:tcMar>
            <w:vAlign w:val="center"/>
          </w:tcPr>
          <w:p>
            <w:pPr>
              <w:pStyle w:val="TableContents"/>
              <w:bidi w:val="0"/>
              <w:spacing w:before="0" w:after="283"/>
              <w:jc w:val="right"/>
              <w:rPr/>
            </w:pPr>
            <w:r>
              <w:rPr/>
              <w:t>2,871,327</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bl>
    <w:p>
      <w:pPr>
        <w:pStyle w:val="TextBody"/>
        <w:bidi w:val="0"/>
        <w:spacing w:lineRule="atLeast" w:line="220" w:before="225"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items set forth in the above table generally consisted of the following items:</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Audit Fees</w:t>
      </w:r>
      <w:r>
        <w:rPr>
          <w:rFonts w:ascii="Arial Narrow;Arial;Helvetica;sans-serif" w:hAnsi="Arial Narrow;Arial;Helvetica;sans-serif"/>
          <w:b w:val="false"/>
          <w:i w:val="false"/>
          <w:caps w:val="false"/>
          <w:smallCaps w:val="false"/>
          <w:color w:val="000000"/>
          <w:sz w:val="19"/>
        </w:rPr>
        <w:t>. Audit fees consisted of fees incurred in connection with the Company’s annual financial statement audits and statutory audits, review of quarterly financial statements, and post-report review procedures in 2025 and 2024.</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Audit-related fees</w:t>
      </w:r>
      <w:r>
        <w:rPr>
          <w:rFonts w:ascii="Arial Narrow;Arial;Helvetica;sans-serif" w:hAnsi="Arial Narrow;Arial;Helvetica;sans-serif"/>
          <w:b w:val="false"/>
          <w:i w:val="false"/>
          <w:caps w:val="false"/>
          <w:smallCaps w:val="false"/>
          <w:color w:val="000000"/>
          <w:sz w:val="19"/>
        </w:rPr>
        <w:t>. Audit-related fees in 2025 and 2024 included fees incurred in connection with the Company’s S-3, S-4, and S-8 registration statements.</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Tax Fees</w:t>
      </w:r>
      <w:r>
        <w:rPr>
          <w:rFonts w:ascii="Arial Narrow;Arial;Helvetica;sans-serif" w:hAnsi="Arial Narrow;Arial;Helvetica;sans-serif"/>
          <w:b w:val="false"/>
          <w:i w:val="false"/>
          <w:caps w:val="false"/>
          <w:smallCaps w:val="false"/>
          <w:color w:val="000000"/>
          <w:sz w:val="19"/>
        </w:rPr>
        <w:t>. Tax fees in 2025 and 2024 primarily consisted of tax compliance services and tax advisory services related to foreign tax filings and transfer pricing.</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has concluded that the provision of the aforementioned services by EY was compatible with the maintenance of that firm’s independence in the conduct of its auditing functions.</w:t>
      </w:r>
    </w:p>
    <w:p>
      <w:pPr>
        <w:pStyle w:val="TextBody"/>
        <w:bidi w:val="0"/>
        <w:spacing w:lineRule="atLeast" w:line="360" w:before="1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Pre-Approval of Services</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 has a policy requiring it to pre-approve all audit and non-audit services performed by the Company’s independent auditor. The Committee may delegate pre-approval authority to the chair of the Audit Committee or his designee (collectively, the “Audit Committee Chair”) provided that all services pre-approved by the Audit Committee Chair in an interim time period are presented to the full Audit Committee at its next scheduled meeting. When pre-approving all services by the independent auditor, the Committee will consider whether the provision of such services is consistent with maintaining the independent auditor’s independence.</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During our 2025 and 2024 fiscal years, all audit, audit-related, tax fees and other fees for services performed by EY were pre-approved by the Audit Committee in compliance with applicable SEC requirements.</w:t>
      </w:r>
    </w:p>
    <w:p>
      <w:pPr>
        <w:pStyle w:val="TextBody"/>
        <w:bidi w:val="0"/>
        <w:spacing w:lineRule="atLeast" w:line="360" w:before="1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Report of the Audit Committee</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The Audit Committee has reviewed and discussed the Company’s audited financial statements for the fiscal year ended December 31, 2025 with management of the Company and the Company’s independent registered public accounting firm, EY. The Audit Committee has discussed with EY the matters required to be discussed by the applicable requirements of the PCAOB and the SEC. The Audit Committee also has received the written disclosures and the letter from the independent registered public accounting firm required by PCAOB Ethics and Independence Rule 3526, </w:t>
      </w:r>
      <w:r>
        <w:rPr>
          <w:rFonts w:ascii="Arial Narrow;Arial;Helvetica;sans-serif" w:hAnsi="Arial Narrow;Arial;Helvetica;sans-serif"/>
          <w:b w:val="false"/>
          <w:i/>
          <w:caps w:val="false"/>
          <w:smallCaps w:val="false"/>
          <w:color w:val="000000"/>
          <w:sz w:val="19"/>
        </w:rPr>
        <w:t>Communication with Audit Committees Concerning Independence</w:t>
      </w:r>
      <w:r>
        <w:rPr>
          <w:rFonts w:ascii="Arial Narrow;Arial;Helvetica;sans-serif" w:hAnsi="Arial Narrow;Arial;Helvetica;sans-serif"/>
          <w:b w:val="false"/>
          <w:i w:val="false"/>
          <w:caps w:val="false"/>
          <w:smallCaps w:val="false"/>
          <w:color w:val="000000"/>
          <w:sz w:val="19"/>
        </w:rPr>
        <w:t xml:space="preserve"> and has discussed with EY the independence of such independent registered public accounting firm. The Audit Committee also has considered whether EY’s provision of non-audit services to the Company is compatible with the independent registered public accounting firm’s independence.</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Based on its review and discussions referred to in the preceding paragraph, the Audit Committee recommended to the Board that the audited financial statements for the Company’s fiscal year ended December 31, 2025 be included in the Company’s Annual Report on Form 10-K for the Company’s fiscal year ended December 31, 2025 for filing with the SEC.</w:t>
      </w:r>
    </w:p>
    <w:p>
      <w:pPr>
        <w:pStyle w:val="TextBody"/>
        <w:bidi w:val="0"/>
        <w:spacing w:lineRule="atLeast" w:line="220" w:before="10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Audit Committee’s responsibility is to monitor and oversee the audit and financial reporting processes. However, the members of the Audit Committee are not practicing certified public accountants or professional auditors and rely, without independent verification, on the information provided to them and on the representations made by management, and the reports issued by the independent registered public accounting firm.</w:t>
      </w:r>
    </w:p>
    <w:p>
      <w:pPr>
        <w:pStyle w:val="TextBody"/>
        <w:bidi w:val="0"/>
        <w:spacing w:lineRule="atLeast" w:line="220" w:before="120" w:after="283"/>
        <w:jc w:val="right"/>
        <w:rPr>
          <w:rFonts w:ascii="Arial Narrow;Arial;Helvetica;sans-serif" w:hAnsi="Arial Narrow;Arial;Helvetica;sans-serif"/>
          <w:b/>
          <w:i w:val="false"/>
          <w:caps w:val="false"/>
          <w:smallCaps w:val="false"/>
          <w:color w:val="000000"/>
          <w:sz w:val="19"/>
        </w:rPr>
      </w:pPr>
      <w:r>
        <w:rPr>
          <w:rFonts w:ascii="Arial Narrow;Arial;Helvetica;sans-serif" w:hAnsi="Arial Narrow;Arial;Helvetica;sans-serif"/>
          <w:b/>
          <w:i w:val="false"/>
          <w:caps w:val="false"/>
          <w:smallCaps w:val="false"/>
          <w:color w:val="000000"/>
          <w:sz w:val="19"/>
        </w:rPr>
        <w:t>Audit Committee​</w:t>
      </w:r>
    </w:p>
    <w:p>
      <w:pPr>
        <w:pStyle w:val="TextBody"/>
        <w:bidi w:val="0"/>
        <w:spacing w:lineRule="atLeast" w:line="220" w:before="120" w:after="283"/>
        <w:jc w:val="righ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Rajiv Basu, Chair</w:t>
        <w:br/>
        <w:t>Thomas L. Brown</w:t>
        <w:br/>
        <w:t>Peter B. Migliorato​</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57</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P3AO"/>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30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PROPOSAL 3</w:t>
      </w:r>
      <w:r>
        <w:rPr>
          <w:rFonts w:ascii="Arial Narrow;Arial;Helvetica;sans-serif" w:hAnsi="Arial Narrow;Arial;Helvetica;sans-serif"/>
          <w:b w:val="false"/>
          <w:i w:val="false"/>
          <w:caps w:val="false"/>
          <w:smallCaps w:val="false"/>
          <w:color w:val="002C73"/>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4"/>
          <w:sz w:val="32"/>
        </w:rPr>
        <w:t>TO APPROVE, ON A NON-BINDING, ADVISORY BASIS, THE 2025 COMPENSATION OF OUR NAMED EXECUTIVE OFFICERS</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 required by Section 14A of the Exchange Act, we are providing our shareholders the opportunity to vote to approve, on a non-binding, advisory basis, the compensation of our named executive officers as disclosed in this proxy statement in accordance with the SEC’s rules. This proposal, commonly known as a “say-on-pay” proposal, gives our shareholders the opportunity to express their views on the compensation of our named executive officers.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 described in detail above under the heading “Executive Compensation — Compensation Discussion and Analysis,” our executive compensation programs are designed to achieve three principal objectives: (i) to establish compensation on a fair and reasonable basis that is competitive with our peers in the specialty insurance business, so that we may attract, motivate and retain talented executive officers, (ii) to create an alignment of interests between our executive officers and shareholders through the grant of one or more forms of equity awards, and (iii) to reward performance that supports our principles of building long-term shareholder value overall and to recognize individual performance that contributes to the success of our Company. Please read the “Compensation Discussion and Analysis” and the “Summary Compensation Table” and related information in this proxy statement for additional details about our executive compensation programs, including information about the compensation of our named executive officers in 2025.</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are asking our shareholders to indicate their support for the compensation of our named executive officers as described in this proxy statement. This vote is not intended to address any specific item of compensation, but rather the overall compensation of our named executive officers and the philosophy, policies and practices described in this proxy statement. Accordingly, we are asking our shareholders to vote “FOR” adoption of the following resolution at the Annual Meeting:</w:t>
      </w:r>
    </w:p>
    <w:p>
      <w:pPr>
        <w:pStyle w:val="TextBody"/>
        <w:bidi w:val="0"/>
        <w:spacing w:lineRule="atLeast" w:line="220" w:before="120" w:after="283"/>
        <w:jc w:val="left"/>
        <w:rPr>
          <w:caps w:val="false"/>
          <w:smallCaps w:val="false"/>
          <w:color w:val="000000"/>
        </w:rPr>
      </w:pPr>
      <w:r>
        <w:rPr>
          <w:caps w:val="false"/>
          <w:smallCaps w:val="false"/>
          <w:color w:val="000000"/>
        </w:rPr>
        <w:t>“</w:t>
      </w:r>
      <w:r>
        <w:rPr>
          <w:rFonts w:ascii="Arial Narrow;Arial;Helvetica;sans-serif" w:hAnsi="Arial Narrow;Arial;Helvetica;sans-serif"/>
          <w:b w:val="false"/>
          <w:i w:val="false"/>
          <w:caps w:val="false"/>
          <w:smallCaps w:val="false"/>
          <w:color w:val="000000"/>
          <w:sz w:val="19"/>
        </w:rPr>
        <w:t>RESOLVED, that the Company’s shareholders approve, on a non-binding, advisory basis, the compensation paid to our named executive officers, as disclosed in the Company’s proxy statement for the 2026 Annual Meeting of Shareholders pursuant to the compensation disclosure rules of the Securities and Exchange Commission, including the Compensation Discussion and Analysis, the Summary Compensation Table and the other related tables and disclosure.”</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While the advisory vote on executive compensation is non-binding, we expect that our Compensation and Human Capital Committee and Board will consider the voting results for this proposal in evaluating our executive compensation programs.</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Required Vote and Recommendation</w:t>
      </w:r>
      <w:r>
        <w:rPr>
          <w:rFonts w:ascii="Arial;Helvetica;sans-serif" w:hAnsi="Arial;Helvetica;sans-serif"/>
          <w:b/>
          <w:i w:val="false"/>
          <w:caps w:val="false"/>
          <w:smallCaps w:val="false"/>
          <w:color w:val="7F7F7F"/>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approval of the 2025 compensation of our named executive officers requires the affirmative vote of a majority of the votes cast on the matter.</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0" w:type="dxa"/>
          <w:right w:w="0" w:type="dxa"/>
        </w:tblCellMar>
      </w:tblPr>
      <w:tblGrid>
        <w:gridCol w:w="124"/>
        <w:gridCol w:w="9007"/>
        <w:gridCol w:w="154"/>
      </w:tblGrid>
      <w:tr>
        <w:trPr/>
        <w:tc>
          <w:tcPr>
            <w:tcW w:w="124" w:type="dxa"/>
            <w:tcBorders/>
            <w:shd w:fill="EFEFEF" w:val="clear"/>
            <w:vAlign w:val="center"/>
          </w:tcPr>
          <w:p>
            <w:pPr>
              <w:pStyle w:val="TableContents"/>
              <w:bidi w:val="0"/>
              <w:spacing w:before="0" w:after="283"/>
              <w:jc w:val="left"/>
              <w:rPr/>
            </w:pPr>
            <w:r>
              <w:rPr/>
              <w:t>​</w:t>
            </w:r>
          </w:p>
        </w:tc>
        <w:tc>
          <w:tcPr>
            <w:tcW w:w="9007" w:type="dxa"/>
            <w:tcBorders/>
            <w:shd w:fill="EFEFEF" w:val="clear"/>
            <w:vAlign w:val="center"/>
          </w:tcPr>
          <w:p>
            <w:pPr>
              <w:pStyle w:val="TableContents"/>
              <w:bidi w:val="0"/>
              <w:spacing w:lineRule="atLeast" w:line="226" w:before="0" w:after="0"/>
              <w:jc w:val="left"/>
              <w:rPr/>
            </w:pPr>
            <w:r>
              <w:rPr/>
              <w:t>THE BOARD OF DIRECTORS RECOMMENDS A VOTE FOR THE APPROVAL ON A NON-BINDING, ADVISORY BASIS, OF THE 2025 COMPENSATION OF OUR NAMED EXECUTIVE OFFICERS, AS DISCLOSED IN THIS PROXY STATEMENT.</w:t>
            </w:r>
          </w:p>
        </w:tc>
        <w:tc>
          <w:tcPr>
            <w:tcW w:w="154" w:type="dxa"/>
            <w:tcBorders/>
            <w:shd w:fill="EFEFEF" w:val="clear"/>
            <w:vAlign w:val="center"/>
          </w:tcPr>
          <w:p>
            <w:pPr>
              <w:pStyle w:val="TableContents"/>
              <w:bidi w:val="0"/>
              <w:spacing w:before="0" w:after="283"/>
              <w:jc w:val="left"/>
              <w:rPr/>
            </w:pPr>
            <w:r>
              <w:rPr/>
              <w:t>​</w:t>
            </w:r>
          </w:p>
        </w:tc>
      </w:tr>
    </w:tbl>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58</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OMBA"/>
      <w:bookmarkEnd w:id="42"/>
      <w:r>
        <w:rPr>
          <w:rFonts w:ascii="calibri;arial;sans-serif" w:hAnsi="calibri;arial;sans-serif"/>
          <w:b w:val="false"/>
          <w:i w:val="false"/>
          <w:caps w:val="false"/>
          <w:smallCaps w:val="false"/>
          <w:color w:val="000000"/>
          <w:sz w:val="16"/>
        </w:rPr>
        <w:t>​</w:t>
      </w:r>
      <w:bookmarkStart w:id="43" w:name="tOBAT"/>
      <w:bookmarkEnd w:id="43"/>
      <w:r>
        <w:rPr>
          <w:rFonts w:ascii="calibri;arial;sans-serif" w:hAnsi="calibri;arial;sans-serif"/>
          <w:b w:val="false"/>
          <w:i w:val="false"/>
          <w:caps w:val="false"/>
          <w:smallCaps w:val="false"/>
          <w:color w:val="000000"/>
          <w:sz w:val="16"/>
        </w:rPr>
        <w:t>​</w:t>
      </w:r>
      <w:bookmarkStart w:id="44" w:name="tSPAD"/>
      <w:bookmarkEnd w:id="44"/>
      <w:r>
        <w:rPr>
          <w:rFonts w:ascii="calibri;arial;sans-serif" w:hAnsi="calibri;arial;sans-serif"/>
          <w:b w:val="false"/>
          <w:i w:val="false"/>
          <w:caps w:val="false"/>
          <w:smallCaps w:val="false"/>
          <w:color w:val="000000"/>
          <w:sz w:val="16"/>
        </w:rPr>
        <w:t>​</w:t>
      </w:r>
      <w:bookmarkStart w:id="45" w:name="tSSTS"/>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before="48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OTHER MATTERS</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Other Business at the Annual Meeting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Board of Directors does not intend to present any other matter for action at the Annual Meeting. The Board has not been informed that any other person intends to present any other item for action at the Annual Meeting. If any other matters properly come before the Annual Meeting, the persons named in the accompanying proxy intend to vote the proxies in accordance with their best judgment.</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Shareholder Proposals and Director Nominations for the 2027 Annual Meeting of Shareholders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Any shareholder of the Company desiring to include a proposal pursuant to Rule 14a-8 under the Exchange Act in our 2027 proxy statement for action at the 2027 annual meeting of shareholders must deliver the proposal no later than May 19, 2027, unless the date of the 2027 annual meeting of shareholders is more than 30 days before or after October 22, 2027 (the one year anniversary of the Annual Meeting), in which case the proposal must be received a reasonable time before we begin to print and send our proxy materials. The proposals must comply with all of the requirements of SEC Rule 14a-8. Proposals should be addressed to: Secretary at James River Group Holdings, Inc., 1414 Raleigh Road, Suite 405, Chapel Hill, North Carolina 27517. As the rules of the SEC make clear, simply submitting a proposal does not guarantee its inclusion in the proxy statement.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Company’s By-laws establish an advance notice procedure for shareholders to make nominations of candidates for election as directors or to bring other business before an annual meeting of shareholders. The By-laws provide that any shareholder wishing to nominate persons for election as directors at, or bring other business before, an annual meeting of shareholders must deliver to the Company’s Secretary a written notice of the shareholder’s intention to do so, which notice must include the information required by the By-laws. To be timely, the shareholder’s notice must be delivered to the Secretary at the principal executive offices of the Company not less than 90 days nor more than 120 days prior to October 22, 2027 (the first anniversary of the preceding year’s annual meeting of shareholders); provided that if the date of the annual meeting of shareholders is advanced or delayed more than 25 days prior to such anniversary date then to be timely such notice must be delivered to the Secretary no earlier than 120 days prior to such annual meeting of shareholders and no later than close of business on the later of the 70th day prior to such annual meeting or the close of business on the 10th day following the date on which public announcement of the date of such meeting was first made by the Company. In addition to satisfying the foregoing requirements under the By-laws, to comply with the universal proxy rules, shareholders who intend to solicit proxies in support of director nominees other than the Board of Director’s nominees must provide a notice that sets forth the information required by Rule 14a-19 promulgated under the Exchange Act, which must be received no later than 90 days prior to October 22, 2027; provided, that if we change the date of the 2027 annual meeting of shareholders by more than 30 days from October 22, 2027 (the anniversary date of the Annual Meeting), a shareholder’s prior written notice must be received by the Company on the later of the 70th day prior to the date of the 2027 annual meeting of shareholders or the close of business on the 10th day following the date on which public announcement of the date of such meeting was first made by the Company. In no event shall the public announcement of an adjournment or postponement of an annual meeting of shareholders commence a new time period (or extend any time period) for the giving of a shareholder’s notice.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Shareholders Sharing the Same Address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SEC has adopted rules that permit companies and intermediaries (such as brokerage firms, banks, and other nominees) to implement a delivery procedure called “householding.” Under this procedure, multiple shareholders who reside at the same address may receive a single copy of our proxy materials and annual reports unless an affected shareholder has provided contrary instructions. This procedure reduces printing costs and postage fees.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If you are a beneficial owner of our shares of common stock or Series A Preferred Shares and you share an address with other beneficial owners, then your brokerage firm, bank, or other nominee may have delivered a single copy of this proxy statement and of our Annual Report for all beneficial owners sharing your address. To make a written or oral request for an individual copy of this proxy statement and of such Annual Report, please contact us at James River Group Holdings, Inc., 1414 Raleigh Road, Suite 405, Chapel Hill, North Carolina 27517, or call us at (919) 900-1200. We will promptly deliver them to you.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59</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FAQA"/>
      <w:bookmarkEnd w:id="46"/>
      <w:r>
        <w:rPr>
          <w:rFonts w:ascii="calibri;arial;sans-serif" w:hAnsi="calibri;arial;sans-serif"/>
          <w:b w:val="false"/>
          <w:i w:val="false"/>
          <w:caps w:val="false"/>
          <w:smallCaps w:val="false"/>
          <w:color w:val="000000"/>
          <w:sz w:val="16"/>
        </w:rPr>
        <w:t>​</w:t>
      </w:r>
      <w:bookmarkStart w:id="47" w:name="tWAWW"/>
      <w:bookmarkEnd w:id="47"/>
      <w:r>
        <w:rPr>
          <w:rFonts w:ascii="calibri;arial;sans-serif" w:hAnsi="calibri;arial;sans-serif"/>
          <w:b w:val="false"/>
          <w:i w:val="false"/>
          <w:caps w:val="false"/>
          <w:smallCaps w:val="false"/>
          <w:color w:val="000000"/>
          <w:sz w:val="16"/>
        </w:rPr>
        <w:t>​</w:t>
      </w:r>
      <w:bookmarkStart w:id="48" w:name="tWPAT"/>
      <w:bookmarkEnd w:id="48"/>
      <w:r>
        <w:rPr>
          <w:rFonts w:ascii="calibri;arial;sans-serif" w:hAnsi="calibri;arial;sans-serif"/>
          <w:b w:val="false"/>
          <w:i w:val="false"/>
          <w:caps w:val="false"/>
          <w:smallCaps w:val="false"/>
          <w:color w:val="000000"/>
          <w:sz w:val="16"/>
        </w:rPr>
        <w:t>​</w:t>
      </w:r>
      <w:bookmarkStart w:id="49" w:name="tWIET"/>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950" w:before="303" w:after="283"/>
        <w:ind w:left="920" w:right="0" w:hanging="0"/>
        <w:jc w:val="left"/>
        <w:rPr>
          <w:rFonts w:ascii="Arial Narrow;Arial;Helvetica;sans-serif" w:hAnsi="Arial Narrow;Arial;Helvetica;sans-serif"/>
          <w:b w:val="false"/>
          <w:i w:val="false"/>
          <w:caps w:val="false"/>
          <w:smallCaps w:val="false"/>
          <w:color w:val="002C73"/>
          <w:sz w:val="80"/>
        </w:rPr>
      </w:pPr>
      <w:r>
        <w:rPr>
          <w:rFonts w:ascii="Arial Narrow;Arial;Helvetica;sans-serif" w:hAnsi="Arial Narrow;Arial;Helvetica;sans-serif"/>
          <w:b w:val="false"/>
          <w:i w:val="false"/>
          <w:caps w:val="false"/>
          <w:smallCaps w:val="false"/>
          <w:color w:val="002C73"/>
          <w:spacing w:val="-10"/>
          <w:sz w:val="80"/>
        </w:rPr>
        <w:t>FREQUENTLY ASKED QUESTIONS</w:t>
      </w:r>
      <w:r>
        <w:rPr>
          <w:rFonts w:ascii="Arial Narrow;Arial;Helvetica;sans-serif" w:hAnsi="Arial Narrow;Arial;Helvetica;sans-serif"/>
          <w:b w:val="false"/>
          <w:i w:val="false"/>
          <w:caps w:val="false"/>
          <w:smallCaps w:val="false"/>
          <w:color w:val="000000"/>
          <w:spacing w:val="16"/>
          <w:sz w:val="80"/>
        </w:rPr>
        <w:t xml:space="preserve"> </w:t>
      </w:r>
    </w:p>
    <w:p>
      <w:pPr>
        <w:pStyle w:val="TextBody"/>
        <w:bidi w:val="0"/>
        <w:spacing w:lineRule="atLeast" w:line="360" w:before="48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Where and when will the Annual Meeting take place?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Annual Meeting will be held at 8:00 a.m. Eastern time on Thursday, October 22, 2026, at our office located at 6641 West Broad Street, Suite 300, Richmond, Virginia 23230.</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5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proposals are to be presented at the Annual Meeting and what are the Board of Directors recommendations?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 described in further detail in this proxy statement, the purpose of the Annual Meeting is to consider and vote upon the following proposals. The Board of Directors’ recommendation on each of the proposals is indicated below.</w:t>
      </w:r>
      <w:r>
        <w:rPr>
          <w:rFonts w:ascii="Arial Narrow;Arial;Helvetica;sans-serif" w:hAnsi="Arial Narrow;Arial;Helvetica;sans-serif"/>
          <w:b w:val="false"/>
          <w:i w:val="false"/>
          <w:caps w:val="false"/>
          <w:smallCaps w:val="false"/>
          <w:color w:val="000000"/>
          <w:spacing w:val="4"/>
          <w:sz w:val="19"/>
        </w:rPr>
        <w:t xml:space="preserve"> </w:t>
      </w:r>
    </w:p>
    <w:tbl>
      <w:tblPr>
        <w:tblW w:w="9285" w:type="dxa"/>
        <w:jc w:val="left"/>
        <w:tblInd w:w="920" w:type="dxa"/>
        <w:tblLayout w:type="fixed"/>
        <w:tblCellMar>
          <w:top w:w="0" w:type="dxa"/>
          <w:left w:w="0" w:type="dxa"/>
          <w:bottom w:w="28" w:type="dxa"/>
          <w:right w:w="0" w:type="dxa"/>
        </w:tblCellMar>
      </w:tblPr>
      <w:tblGrid>
        <w:gridCol w:w="124"/>
        <w:gridCol w:w="6203"/>
        <w:gridCol w:w="109"/>
        <w:gridCol w:w="109"/>
        <w:gridCol w:w="109"/>
        <w:gridCol w:w="2476"/>
        <w:gridCol w:w="155"/>
      </w:tblGrid>
      <w:tr>
        <w:trPr/>
        <w:tc>
          <w:tcPr>
            <w:tcW w:w="124" w:type="dxa"/>
            <w:tcBorders>
              <w:bottom w:val="single" w:sz="12" w:space="0" w:color="3F3F3F"/>
            </w:tcBorders>
            <w:shd w:fill="F2F2F2" w:val="clear"/>
            <w:vAlign w:val="center"/>
          </w:tcPr>
          <w:p>
            <w:pPr>
              <w:pStyle w:val="TableContents"/>
              <w:bidi w:val="0"/>
              <w:spacing w:before="0" w:after="283"/>
              <w:jc w:val="left"/>
              <w:rPr/>
            </w:pPr>
            <w:r>
              <w:rPr/>
              <w:t>​</w:t>
            </w:r>
          </w:p>
        </w:tc>
        <w:tc>
          <w:tcPr>
            <w:tcW w:w="6203" w:type="dxa"/>
            <w:tcBorders>
              <w:bottom w:val="single" w:sz="12" w:space="0" w:color="3F3F3F"/>
            </w:tcBorders>
            <w:shd w:fill="F2F2F2" w:val="clear"/>
            <w:tcMar>
              <w:bottom w:w="127" w:type="dxa"/>
            </w:tcMar>
            <w:vAlign w:val="center"/>
          </w:tcPr>
          <w:p>
            <w:pPr>
              <w:pStyle w:val="TableContents"/>
              <w:bidi w:val="0"/>
              <w:spacing w:before="0" w:after="0"/>
              <w:jc w:val="left"/>
              <w:rPr/>
            </w:pPr>
            <w:r>
              <w:rPr/>
              <w:t xml:space="preserve">PROPOSAL </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109" w:type="dxa"/>
            <w:tcBorders>
              <w:bottom w:val="single" w:sz="12" w:space="0" w:color="BFBFBF"/>
            </w:tcBorders>
            <w:shd w:fill="BFBFBF" w:val="clear"/>
            <w:vAlign w:val="center"/>
          </w:tcPr>
          <w:p>
            <w:pPr>
              <w:pStyle w:val="TableContents"/>
              <w:bidi w:val="0"/>
              <w:spacing w:before="0" w:after="283"/>
              <w:jc w:val="left"/>
              <w:rPr/>
            </w:pPr>
            <w:r>
              <w:rPr/>
              <w:t>​</w:t>
            </w:r>
          </w:p>
        </w:tc>
        <w:tc>
          <w:tcPr>
            <w:tcW w:w="109" w:type="dxa"/>
            <w:tcBorders>
              <w:bottom w:val="single" w:sz="12" w:space="0" w:color="3F3F3F"/>
            </w:tcBorders>
            <w:shd w:fill="F2F2F2" w:val="clear"/>
            <w:vAlign w:val="center"/>
          </w:tcPr>
          <w:p>
            <w:pPr>
              <w:pStyle w:val="TableContents"/>
              <w:bidi w:val="0"/>
              <w:spacing w:before="0" w:after="283"/>
              <w:jc w:val="left"/>
              <w:rPr/>
            </w:pPr>
            <w:r>
              <w:rPr/>
              <w:t>​</w:t>
            </w:r>
          </w:p>
        </w:tc>
        <w:tc>
          <w:tcPr>
            <w:tcW w:w="2476" w:type="dxa"/>
            <w:tcBorders>
              <w:bottom w:val="single" w:sz="12" w:space="0" w:color="3F3F3F"/>
            </w:tcBorders>
            <w:shd w:fill="F2F2F2" w:val="clear"/>
            <w:tcMar>
              <w:bottom w:w="127" w:type="dxa"/>
            </w:tcMar>
            <w:vAlign w:val="center"/>
          </w:tcPr>
          <w:p>
            <w:pPr>
              <w:pStyle w:val="TableContents"/>
              <w:bidi w:val="0"/>
              <w:spacing w:before="0" w:after="0"/>
              <w:jc w:val="center"/>
              <w:rPr/>
            </w:pPr>
            <w:r>
              <w:rPr/>
              <w:t>BOARD</w:t>
              <w:br/>
              <w:t xml:space="preserve">RECOMMENDATION </w:t>
            </w:r>
          </w:p>
        </w:tc>
        <w:tc>
          <w:tcPr>
            <w:tcW w:w="155" w:type="dxa"/>
            <w:tcBorders>
              <w:bottom w:val="single" w:sz="12" w:space="0" w:color="3F3F3F"/>
            </w:tcBorders>
            <w:shd w:fill="F2F2F2" w:val="clear"/>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6203" w:type="dxa"/>
            <w:tcBorders>
              <w:bottom w:val="single" w:sz="2" w:space="0" w:color="BFBFBF"/>
            </w:tcBorders>
            <w:tcMar>
              <w:bottom w:w="53" w:type="dxa"/>
            </w:tcMar>
            <w:vAlign w:val="center"/>
          </w:tcPr>
          <w:p>
            <w:pPr>
              <w:pStyle w:val="TableContents"/>
              <w:bidi w:val="0"/>
              <w:spacing w:lineRule="atLeast" w:line="226" w:before="0" w:after="0"/>
              <w:ind w:left="1200" w:right="0" w:hanging="0"/>
              <w:jc w:val="both"/>
              <w:rPr/>
            </w:pPr>
            <w:r>
              <w:rPr/>
              <w:t xml:space="preserve">The election of six directors for a one-year term to hold office until the 2027 annual meeting of shareholders;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762000" cy="350520"/>
                      <wp:effectExtent l="0" t="0" r="0" b="0"/>
                      <wp:wrapSquare wrapText="right"/>
                      <wp:docPr id="206" name="Frame16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26" w:before="0" w:after="283"/>
                                    <w:jc w:val="both"/>
                                    <w:rPr/>
                                  </w:pPr>
                                  <w:r>
                                    <w:rPr>
                                      <w:b/>
                                    </w:rPr>
                                    <w:t>Proposal 1</w:t>
                                  </w:r>
                                  <w:r>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both"/>
                              <w:rPr/>
                            </w:pPr>
                            <w:r>
                              <w:rPr>
                                <w:b/>
                              </w:rPr>
                              <w:t>Proposal 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76" w:type="dxa"/>
            <w:tcBorders>
              <w:bottom w:val="single" w:sz="2" w:space="0" w:color="BFBFBF"/>
            </w:tcBorders>
            <w:tcMar>
              <w:bottom w:w="53" w:type="dxa"/>
            </w:tcMar>
            <w:vAlign w:val="center"/>
          </w:tcPr>
          <w:p>
            <w:pPr>
              <w:pStyle w:val="TableContents"/>
              <w:bidi w:val="0"/>
              <w:spacing w:before="0" w:after="0"/>
              <w:jc w:val="center"/>
              <w:rPr>
                <w:b/>
              </w:rPr>
            </w:pPr>
            <w:r>
              <w:rPr>
                <w:b/>
              </w:rPr>
              <w:t>FOR each nominee</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6203" w:type="dxa"/>
            <w:tcBorders>
              <w:bottom w:val="single" w:sz="2" w:space="0" w:color="BFBFBF"/>
            </w:tcBorders>
            <w:tcMar>
              <w:bottom w:w="53" w:type="dxa"/>
            </w:tcMar>
            <w:vAlign w:val="center"/>
          </w:tcPr>
          <w:p>
            <w:pPr>
              <w:pStyle w:val="TableContents"/>
              <w:bidi w:val="0"/>
              <w:spacing w:lineRule="atLeast" w:line="226" w:before="0" w:after="0"/>
              <w:ind w:left="1200" w:right="0" w:hanging="0"/>
              <w:jc w:val="both"/>
              <w:rPr/>
            </w:pPr>
            <w:r>
              <w:rPr/>
              <w:t xml:space="preserve">Ratification of the appointment of Ernst &amp; Young LLP, an independent registered public accounting firm, as our independent auditor to serve until the 2027 annual meeting of shareholders; and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762000" cy="350520"/>
                      <wp:effectExtent l="0" t="0" r="0" b="0"/>
                      <wp:wrapSquare wrapText="right"/>
                      <wp:docPr id="207" name="Frame166"/>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26" w:before="0" w:after="283"/>
                                    <w:jc w:val="both"/>
                                    <w:rPr/>
                                  </w:pPr>
                                  <w:r>
                                    <w:rPr>
                                      <w:b/>
                                    </w:rPr>
                                    <w:t>Proposal 2</w:t>
                                  </w:r>
                                  <w:r>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both"/>
                              <w:rPr/>
                            </w:pPr>
                            <w:r>
                              <w:rPr>
                                <w:b/>
                              </w:rPr>
                              <w:t>Proposal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76" w:type="dxa"/>
            <w:tcBorders>
              <w:bottom w:val="single" w:sz="2" w:space="0" w:color="BFBFBF"/>
            </w:tcBorders>
            <w:tcMar>
              <w:bottom w:w="53" w:type="dxa"/>
            </w:tcMar>
            <w:vAlign w:val="center"/>
          </w:tcPr>
          <w:p>
            <w:pPr>
              <w:pStyle w:val="TableContents"/>
              <w:bidi w:val="0"/>
              <w:spacing w:before="0" w:after="0"/>
              <w:jc w:val="center"/>
              <w:rPr>
                <w:b/>
              </w:rPr>
            </w:pPr>
            <w:r>
              <w:rPr>
                <w:b/>
              </w:rPr>
              <w:t>FOR</w:t>
            </w:r>
          </w:p>
        </w:tc>
        <w:tc>
          <w:tcPr>
            <w:tcW w:w="155" w:type="dxa"/>
            <w:tcBorders>
              <w:bottom w:val="single" w:sz="2" w:space="0" w:color="BFBFBF"/>
            </w:tcBorders>
            <w:vAlign w:val="center"/>
          </w:tcPr>
          <w:p>
            <w:pPr>
              <w:pStyle w:val="TableContents"/>
              <w:bidi w:val="0"/>
              <w:spacing w:before="0" w:after="283"/>
              <w:jc w:val="left"/>
              <w:rPr/>
            </w:pPr>
            <w:r>
              <w:rPr/>
              <w:t>​</w:t>
            </w:r>
          </w:p>
        </w:tc>
      </w:tr>
      <w:tr>
        <w:trPr/>
        <w:tc>
          <w:tcPr>
            <w:tcW w:w="124" w:type="dxa"/>
            <w:tcBorders>
              <w:bottom w:val="single" w:sz="2" w:space="0" w:color="BFBFBF"/>
            </w:tcBorders>
            <w:vAlign w:val="center"/>
          </w:tcPr>
          <w:p>
            <w:pPr>
              <w:pStyle w:val="TableContents"/>
              <w:bidi w:val="0"/>
              <w:spacing w:before="0" w:after="283"/>
              <w:jc w:val="left"/>
              <w:rPr/>
            </w:pPr>
            <w:r>
              <w:rPr/>
              <w:t>​</w:t>
            </w:r>
          </w:p>
        </w:tc>
        <w:tc>
          <w:tcPr>
            <w:tcW w:w="6203" w:type="dxa"/>
            <w:tcBorders>
              <w:bottom w:val="single" w:sz="2" w:space="0" w:color="BFBFBF"/>
            </w:tcBorders>
            <w:tcMar>
              <w:bottom w:w="53" w:type="dxa"/>
            </w:tcMar>
            <w:vAlign w:val="center"/>
          </w:tcPr>
          <w:p>
            <w:pPr>
              <w:pStyle w:val="TableContents"/>
              <w:bidi w:val="0"/>
              <w:spacing w:lineRule="atLeast" w:line="226" w:before="0" w:after="0"/>
              <w:ind w:left="1200" w:right="0" w:hanging="0"/>
              <w:jc w:val="both"/>
              <w:rPr>
                <w:b w:val="false"/>
              </w:rPr>
            </w:pPr>
            <w:r>
              <w:rPr>
                <w:b w:val="false"/>
              </w:rPr>
              <w:t xml:space="preserve">To approve, on a non-binding, advisory basis, the 2025 compensation of our named executive officers.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762000" cy="350520"/>
                      <wp:effectExtent l="0" t="0" r="0" b="0"/>
                      <wp:wrapSquare wrapText="right"/>
                      <wp:docPr id="208" name="Frame16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26" w:before="0" w:after="283"/>
                                    <w:jc w:val="both"/>
                                    <w:rPr>
                                      <w:b w:val="false"/>
                                    </w:rPr>
                                  </w:pPr>
                                  <w:r>
                                    <w:rPr>
                                      <w:b/>
                                    </w:rPr>
                                    <w:t>Proposal 3</w:t>
                                  </w:r>
                                  <w:r>
                                    <w:rPr>
                                      <w:b w:val="false"/>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6" w:before="0" w:after="283"/>
                              <w:jc w:val="both"/>
                              <w:rPr>
                                <w:b w:val="false"/>
                              </w:rPr>
                            </w:pPr>
                            <w:r>
                              <w:rPr>
                                <w:b/>
                              </w:rPr>
                              <w:t>Proposal 3</w:t>
                            </w:r>
                            <w:r>
                              <w:rPr>
                                <w:b w:val="false"/>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109" w:type="dxa"/>
            <w:tcBorders>
              <w:bottom w:val="single" w:sz="2" w:space="0" w:color="BFBFBF"/>
            </w:tcBorders>
            <w:shd w:fill="BFBFBF" w:val="clear"/>
            <w:vAlign w:val="center"/>
          </w:tcPr>
          <w:p>
            <w:pPr>
              <w:pStyle w:val="TableContents"/>
              <w:bidi w:val="0"/>
              <w:spacing w:before="0" w:after="283"/>
              <w:jc w:val="left"/>
              <w:rPr/>
            </w:pPr>
            <w:r>
              <w:rPr/>
              <w:t>​</w:t>
            </w:r>
          </w:p>
        </w:tc>
        <w:tc>
          <w:tcPr>
            <w:tcW w:w="109" w:type="dxa"/>
            <w:tcBorders>
              <w:bottom w:val="single" w:sz="2" w:space="0" w:color="BFBFBF"/>
            </w:tcBorders>
            <w:vAlign w:val="center"/>
          </w:tcPr>
          <w:p>
            <w:pPr>
              <w:pStyle w:val="TableContents"/>
              <w:bidi w:val="0"/>
              <w:spacing w:before="0" w:after="283"/>
              <w:jc w:val="left"/>
              <w:rPr/>
            </w:pPr>
            <w:r>
              <w:rPr/>
              <w:t>​</w:t>
            </w:r>
          </w:p>
        </w:tc>
        <w:tc>
          <w:tcPr>
            <w:tcW w:w="2476" w:type="dxa"/>
            <w:tcBorders>
              <w:bottom w:val="single" w:sz="2" w:space="0" w:color="BFBFBF"/>
            </w:tcBorders>
            <w:tcMar>
              <w:bottom w:w="53" w:type="dxa"/>
            </w:tcMar>
            <w:vAlign w:val="center"/>
          </w:tcPr>
          <w:p>
            <w:pPr>
              <w:pStyle w:val="TableContents"/>
              <w:bidi w:val="0"/>
              <w:spacing w:before="0" w:after="0"/>
              <w:jc w:val="center"/>
              <w:rPr/>
            </w:pPr>
            <w:r>
              <w:rPr/>
              <w:t>FOR</w:t>
            </w:r>
          </w:p>
        </w:tc>
        <w:tc>
          <w:tcPr>
            <w:tcW w:w="155" w:type="dxa"/>
            <w:tcBorders>
              <w:bottom w:val="single" w:sz="2" w:space="0" w:color="BFBFBF"/>
            </w:tcBorders>
            <w:vAlign w:val="center"/>
          </w:tcPr>
          <w:p>
            <w:pPr>
              <w:pStyle w:val="TableContents"/>
              <w:bidi w:val="0"/>
              <w:spacing w:before="0" w:after="283"/>
              <w:jc w:val="left"/>
              <w:rPr/>
            </w:pPr>
            <w:r>
              <w:rPr/>
              <w:t>​</w:t>
            </w:r>
          </w:p>
        </w:tc>
      </w:tr>
    </w:tbl>
    <w:p>
      <w:pPr>
        <w:pStyle w:val="TextBody"/>
        <w:bidi w:val="0"/>
        <w:spacing w:lineRule="atLeast" w:line="220" w:before="95"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 of the date of the Notice of Annual Meeting, we know of no other matters to be presented at the Annual Meeting.</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are providing these proxy materials in connection with the solicitation by our Board of Directors of matters to be voted on at the Annual Meeting and any adjournments or postponements thereof.</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Pursuant to the Investment Agreement, the holder of the Series A Preferred Shares has agreed to vote its shares on an as-converted basis in favor of Proposal 1, Proposal 2 and Proposal 3.</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Who is entitled to vote at the Annual Meeting?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Our Board of Directors has set September 1, 2026 as the record date for the Annual Meeting. All shareholders who owned shares of common stock or Series A Preferred Shares at the close of business on September 1, 2026 may vote at the Annual Meeting, either in person or by proxy. As of the record date, there were 46,249,038 shares of common stock outstanding and 112,500 Series A Preferred Shares outstanding. The current holder of all of the Series A Preferred Shares is GPC Thames.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Holders of the Series A Preferred Shares are entitled to vote with the holders of our shares of common stock on an as-converted basis as determined in accordance with the Certificate of Designations setting forth the terms of the Series A Preferred Shares. However, so long as GPC Thames and its permitted transferees hold the Series A Preferred Shares, they will not be permitted to vote in excess of 9.9% of the aggregate voting power of our then-outstanding shares of common stock on an as-converted basis or of our outstanding voting securities, irrespective of the cumulative voting power that they would otherwise have based upon their ownership of Series A Preferred Shares, any shares of common stock received on conversion of Series A Preferred Shares or as dividends with respect to Series A Preferred Shares.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As of the record date, the number of shares of common stock beneficially owned by the Holder of Series A Preferred Shares is 19,381,009, 13,521,634 of which represents shares of common stock issuable upon conversion of Series A Preferred Shares. However, giving effect to the limit on the voting of 9.9% of the aggregate voting power of our outstanding shares of common stock on an as converted basis, the aggregate voting power of the Holder of the Series A Preferred Shares is equivalent to 4,437,931 shares of common stock.</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60</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HMVD"/>
      <w:bookmarkEnd w:id="50"/>
      <w:r>
        <w:rPr>
          <w:rFonts w:ascii="calibri;arial;sans-serif" w:hAnsi="calibri;arial;sans-serif"/>
          <w:b w:val="false"/>
          <w:i w:val="false"/>
          <w:caps w:val="false"/>
          <w:smallCaps w:val="false"/>
          <w:color w:val="000000"/>
          <w:sz w:val="16"/>
        </w:rPr>
        <w:t>​</w:t>
      </w:r>
      <w:bookmarkStart w:id="51" w:name="tWITD"/>
      <w:bookmarkEnd w:id="51"/>
      <w:r>
        <w:rPr>
          <w:rFonts w:ascii="calibri;arial;sans-serif" w:hAnsi="calibri;arial;sans-serif"/>
          <w:b w:val="false"/>
          <w:i w:val="false"/>
          <w:caps w:val="false"/>
          <w:smallCaps w:val="false"/>
          <w:color w:val="000000"/>
          <w:sz w:val="16"/>
        </w:rPr>
        <w:t>​</w:t>
      </w:r>
      <w:bookmarkStart w:id="52" w:name="tWIID"/>
      <w:bookmarkEnd w:id="52"/>
      <w:r>
        <w:rPr>
          <w:rFonts w:ascii="calibri;arial;sans-serif" w:hAnsi="calibri;arial;sans-serif"/>
          <w:b w:val="false"/>
          <w:i w:val="false"/>
          <w:caps w:val="false"/>
          <w:smallCaps w:val="false"/>
          <w:color w:val="000000"/>
          <w:sz w:val="16"/>
        </w:rPr>
        <w:t>​</w:t>
      </w:r>
      <w:bookmarkStart w:id="53" w:name="tWOAA"/>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360" w:before="303" w:after="283"/>
        <w:ind w:left="920" w:right="0" w:hanging="0"/>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How many votes do I have?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Common shareholders have one vote for each share of common stock that they owned at the close of business on the record date, provided that on the record date those shares were either held directly in your name as the shareholder of record or were held for you as the beneficial owner through a broker, bank or other intermediary. The voting power of the Series A Preferred Shares is equivalent to the votes that may be cast by 4,437,931 shares of common stock. There is no cumulative voting.</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is the difference between holding shares of common stock as a shareholder of record and as a beneficial owner?</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majority of our shareholders hold their shares through a broker, bank or other intermediary rather than directly in their own name. As summarized below, there are some distinctions between shares held of record and those owned beneficially.</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Shareholder of Record.</w:t>
      </w:r>
      <w:r>
        <w:rPr>
          <w:rFonts w:ascii="Arial Narrow;Arial;Helvetica;sans-serif" w:hAnsi="Arial Narrow;Arial;Helvetica;sans-serif"/>
          <w:b w:val="false"/>
          <w:i w:val="false"/>
          <w:caps w:val="false"/>
          <w:smallCaps w:val="false"/>
          <w:color w:val="000000"/>
          <w:sz w:val="19"/>
        </w:rPr>
        <w:t xml:space="preserve"> If your shares are registered directly in your name with our transfer agent, Broadridge Corporate Issuer Solutions, Inc., you are considered to be the shareholder of record with respect to those shares, and these proxy materials are being sent directly to you by us. As a shareholder of record, you have the right to grant your voting proxy directly to us or to vote in person at the Annual Meeting. We have enclosed a proxy card for you to use.</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Beneficial Owner.</w:t>
      </w:r>
      <w:r>
        <w:rPr>
          <w:rFonts w:ascii="Arial Narrow;Arial;Helvetica;sans-serif" w:hAnsi="Arial Narrow;Arial;Helvetica;sans-serif"/>
          <w:b w:val="false"/>
          <w:i w:val="false"/>
          <w:caps w:val="false"/>
          <w:smallCaps w:val="false"/>
          <w:color w:val="000000"/>
          <w:sz w:val="19"/>
        </w:rPr>
        <w:t xml:space="preserve"> If your shares are held in a stock brokerage account or by a bank or other intermediary, you are considered to be the beneficial owner of shares held in “street name,” and this proxy statement and the accompanying materials are being forwarded to you by your broker, bank or other intermediary, which is considered to be the shareholder of record with respect to those shares. As a beneficial owner, you have the right to direct your broker, bank or other intermediary on how to vote and are also invited to attend the Annual Meeting. Your broker, bank or other intermediary has enclosed a voting instruction card for you to use in directing the broker, bank or other intermediary regarding how to vote your shares. However, since you are not the shareholder of record, you may not vote these shares in person at the Annual Meeting unless you obtain a proxy, executed in your favor, from the holder of record of such shares.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if I do not vote for some of the items listed on my proxy card or voting instruction card?</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If you are a record holder and return your signed proxy card in the enclosed envelope but do not mark selections, your shares will be voted in accordance with the recommendations of our Board of Directors. If you indicate a choice with respect to any matter to be acted upon on your proxy card, your shares will be voted in accordance with your instructions.</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If you are a beneficial owner and hold your shares in street name through a broker, bank or other intermediary and do not give voting instructions to the broker, bank or intermediary, then such party will determine if it has the discretionary authority to vote on the particular matter. Under applicable rules, brokers, banks and other intermediaries have the discretion to vote on routine matters, but do not have the discretion to vote on non-routine matters. A vote not cast by a broker, bank or other intermediary because it has not been voted by the beneficial owner and because the broker, bank or intermediary does not have discretionary authority to vote on the particular matter is referred to as a “broker non-vote.”</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Only Proposal 2 (ratification of the appointment of Ernst &amp; Young LLP, an independent registered public accounting firm, as our independent auditor to serve until the 2027 annual meeting of shareholders) is considered a routine matter. All other proposals to be presented at the Annual Meeting are considered “non-routine” and therefore brokers, banks and other intermediaries will not have discretionary authority to vote your shares with respect to the other proposals to be presented at the Annual Meeting. Therefore, it is important that you instruct your broker, bank or other intermediary on how to vote your shares.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options are available to me to vote my shares?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Whether you hold shares directly as the shareholder of record or through a bank, broker or other intermediary, your shares may be voted at the Annual Meeting by following any of the voting options available to you below:</w:t>
      </w:r>
    </w:p>
    <w:p>
      <w:pPr>
        <w:pStyle w:val="TextBody"/>
        <w:bidi w:val="0"/>
        <w:spacing w:lineRule="atLeast" w:line="23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You may vote via the Internet.</w:t>
      </w:r>
      <w:r>
        <w:rPr>
          <w:rFonts w:ascii="Arial Narrow;Arial;Helvetica;sans-serif" w:hAnsi="Arial Narrow;Arial;Helvetica;sans-serif"/>
          <w:b w:val="false"/>
          <w:i w:val="false"/>
          <w:caps w:val="false"/>
          <w:smallCaps w:val="false"/>
          <w:color w:val="000000"/>
          <w:sz w:val="19"/>
        </w:rPr>
        <w:t xml:space="preserve"> You may submit your proxy or voting instructions over the Internet by following the instructions on the proxy card or voting instruction card.</w:t>
      </w:r>
    </w:p>
    <w:p>
      <w:pPr>
        <w:pStyle w:val="TextBody"/>
        <w:bidi w:val="0"/>
        <w:spacing w:lineRule="atLeast" w:line="220" w:before="120" w:after="283"/>
        <w:jc w:val="left"/>
        <w:rPr>
          <w:rFonts w:ascii="Arial Narrow;Arial;Helvetica;sans-serif" w:hAnsi="Arial Narrow;Arial;Helvetica;sans-serif"/>
          <w:b w:val="false"/>
          <w:i/>
          <w:caps w:val="false"/>
          <w:smallCaps w:val="false"/>
          <w:color w:val="002C73"/>
          <w:sz w:val="19"/>
        </w:rPr>
      </w:pPr>
      <w:r>
        <w:rPr>
          <w:rFonts w:ascii="Arial Narrow;Arial;Helvetica;sans-serif" w:hAnsi="Arial Narrow;Arial;Helvetica;sans-serif"/>
          <w:b w:val="false"/>
          <w:i/>
          <w:caps w:val="false"/>
          <w:smallCaps w:val="false"/>
          <w:color w:val="002C73"/>
          <w:sz w:val="19"/>
        </w:rPr>
        <w:t>You may vote via the telephone.</w:t>
      </w:r>
    </w:p>
    <w:p>
      <w:pPr>
        <w:pStyle w:val="TextBody"/>
        <w:bidi w:val="0"/>
        <w:spacing w:lineRule="atLeast" w:line="226" w:before="124"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If you are a shareholder of record, you can submit your proxy by calling the telephone number specified on the paper copy of the proxy card that you received with the proxy materials. You must have the control number that appears on your proxy card available when submitting your proxy over the telephone.</w:t>
      </w:r>
      <w:r>
        <mc:AlternateContent>
          <mc:Choice Requires="wps">
            <w:drawing>
              <wp:anchor behindDoc="0" distT="7874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61</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HMVM"/>
      <w:bookmarkEnd w:id="54"/>
      <w:r>
        <w:rPr>
          <w:rFonts w:ascii="calibri;arial;sans-serif" w:hAnsi="calibri;arial;sans-serif"/>
          <w:b w:val="false"/>
          <w:i w:val="false"/>
          <w:caps w:val="false"/>
          <w:smallCaps w:val="false"/>
          <w:color w:val="000000"/>
          <w:sz w:val="16"/>
        </w:rPr>
        <w:t>​</w:t>
      </w:r>
      <w:bookmarkStart w:id="55" w:name="tWITV"/>
      <w:bookmarkEnd w:id="55"/>
      <w:r>
        <w:rPr>
          <w:rFonts w:ascii="calibri;arial;sans-serif" w:hAnsi="calibri;arial;sans-serif"/>
          <w:b w:val="false"/>
          <w:i w:val="false"/>
          <w:caps w:val="false"/>
          <w:smallCaps w:val="false"/>
          <w:color w:val="000000"/>
          <w:sz w:val="16"/>
        </w:rPr>
        <w:t>​</w:t>
      </w:r>
      <w:bookmarkStart w:id="56" w:name="tWDIM"/>
      <w:bookmarkEnd w:id="56"/>
      <w:r>
        <w:rPr>
          <w:rFonts w:ascii="calibri;arial;sans-serif" w:hAnsi="calibri;arial;sans-serif"/>
          <w:b w:val="false"/>
          <w:i w:val="false"/>
          <w:caps w:val="false"/>
          <w:smallCaps w:val="false"/>
          <w:color w:val="000000"/>
          <w:sz w:val="16"/>
        </w:rPr>
        <w:t>​</w:t>
      </w:r>
      <w:bookmarkStart w:id="57" w:name="tCICO"/>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6" w:before="303" w:after="283"/>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Most shareholders who hold their shares in street name may submit voting instructions by calling the number specified on the paper copy of the voting instruction card provided by their bank, broker or other intermediary. Those shareholders should check the voting instruction card for telephone voting availability.</w:t>
      </w:r>
      <w:r>
        <mc:AlternateContent>
          <mc:Choice Requires="wps">
            <w:drawing>
              <wp:anchor behindDoc="0" distT="0" distB="0" distL="254000" distR="0" simplePos="0" locked="0" layoutInCell="1" allowOverlap="1" relativeHeight="212">
                <wp:simplePos x="0" y="0"/>
                <wp:positionH relativeFrom="column">
                  <wp:align>left</wp:align>
                </wp:positionH>
                <wp:positionV relativeFrom="line">
                  <wp:posOffset>635</wp:posOffset>
                </wp:positionV>
                <wp:extent cx="127000" cy="350520"/>
                <wp:effectExtent l="0" t="0" r="0" b="0"/>
                <wp:wrapSquare wrapText="right"/>
                <wp:docPr id="21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You may vote by mail.</w:t>
      </w:r>
      <w:r>
        <w:rPr>
          <w:rFonts w:ascii="Arial Narrow;Arial;Helvetica;sans-serif" w:hAnsi="Arial Narrow;Arial;Helvetica;sans-serif"/>
          <w:b w:val="false"/>
          <w:i w:val="false"/>
          <w:caps w:val="false"/>
          <w:smallCaps w:val="false"/>
          <w:color w:val="000000"/>
          <w:sz w:val="19"/>
        </w:rPr>
        <w:t xml:space="preserve"> You can submit your proxy or voting instructions by completing and signing the separate proxy card or voting instruction card you received and mailing it in the accompanying prepaid and addressed envelope.</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caps w:val="false"/>
          <w:smallCaps w:val="false"/>
          <w:color w:val="002C73"/>
          <w:sz w:val="19"/>
        </w:rPr>
        <w:t>You may vote in person at the Annual Meeting.</w:t>
      </w:r>
      <w:r>
        <w:rPr>
          <w:rFonts w:ascii="Arial Narrow;Arial;Helvetica;sans-serif" w:hAnsi="Arial Narrow;Arial;Helvetica;sans-serif"/>
          <w:b w:val="false"/>
          <w:i w:val="false"/>
          <w:caps w:val="false"/>
          <w:smallCaps w:val="false"/>
          <w:color w:val="000000"/>
          <w:sz w:val="19"/>
        </w:rPr>
        <w:t xml:space="preserve"> All shareholders of record may vote in person at the Annual Meeting. Written ballots will be passed out to anyone who wants to vote at the Annual Meeting. However, if you are the beneficial owner of shares held in street name through a bank, broker or other intermediary, you may not vote your shares at the Annual Meeting unless you obtain a “legal proxy” from the bank, broker or intermediary that holds your shares, giving you the right to vote the shares at the Annual Meeting.</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Even if you plan to attend the Annual Meeting, we recommend that you submit your proxy or voting instructions in advance to authorize the voting of your shares at the Annual Meeting to ensure that your vote will be counted if you later are unable to attend.</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How many votes must be present to hold the Annual Meeting?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presence in person or by proxy of holders of record of a majority of all issued and outstanding shares entitled to vote at the Annual Meeting is required for the transaction of business at the Annual Meeting. For this purpose, the Series A Preferred Shares are counted on an as-converted basis after giving effect to the 9.9% voting cap. This is called a “quorum.” Your shares will be counted as being present at the Annual Meeting if you are present and vote in person at the Annual Meeting or if a proxy card has been properly submitted by you or on your behalf. Both abstentions and “broker non-votes” will be counted as being present for the purpose of determining the presence of a quorum at the Annual Meeting. If a quorum is not present, the chairperson of the meeting or the shareholders present may, by a majority in voting power of the shares present in person or represented by proxy, adjourn the meeting from time to time until a quorum is present. Notice of an adjourned meeting generally is not required unless the adjournment is for more than 30 days or a new record date is fixed, in which case notice will be given in accordance with our By-laws.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is the vote required to pass each proposal to be presented at the Annual Meeting?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Proposal 1 (the election of six directors), Proposal 2, (the ratification of the appointment of Ernst &amp; Young LLP as our independent auditor) and Proposal 3 (approval of the 2025 compensation of our named executive officers) require the affirmative vote of a majority of votes cast on such proposal (including, for Proposal 1, the election of each director). You may vote “For,” “Against” or “Abstain” on Proposal 1, Proposal 2, and Proposal 3.</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 majority of votes cast means that the number of votes “for” a proposal must exceed the number of votes “against” such proposal. Votes cast includes only votes cast by shares represented in person or by proxy at the Annual Meeting and entitled to vote on the proposal, and excludes abstentions.</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Abstentions and broker non-votes will have no effect on any of the proposals.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does it mean if I receive more than one set of proxy materials?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Generally, it means that you hold shares of common stock registered in more than one account. To ensure that all of your shares are voted, please vote in the manner described above with respect to each proxy card or voting instruction card accompanying the proxy materials.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Can I change or revoke my vote after I return my proxy card or voting instruction card?</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Yes. Any shareholder of record has the power to change or revoke a previously submitted proxy at any time before it is voted at the Annual Meeting by:</w:t>
      </w:r>
    </w:p>
    <w:p>
      <w:pPr>
        <w:pStyle w:val="TextBody"/>
        <w:bidi w:val="0"/>
        <w:spacing w:lineRule="atLeast" w:line="226" w:before="120" w:after="0"/>
        <w:ind w:left="1520" w:right="0" w:hanging="0"/>
        <w:jc w:val="left"/>
        <w:rPr>
          <w:rFonts w:ascii="Arial;Helvetica;sans-serif" w:hAnsi="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submitting to our Secretary, before the voting at the Annual Meeting, a written notice of revocation bearing a later date than the proxy;</w:t>
      </w:r>
      <w:r>
        <w:rPr>
          <w:rFonts w:ascii="Arial;Helvetica;sans-serif" w:hAnsi="Arial;Helvetica;sans-serif"/>
          <w:b w:val="false"/>
          <w:i w:val="false"/>
          <w:caps w:val="false"/>
          <w:smallCaps w:val="false"/>
          <w:color w:val="000000"/>
          <w:sz w:val="19"/>
        </w:rPr>
        <w:t xml:space="preserv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timely delivery of a valid, later-dated proxy (only the last proxy submitted by a shareholder by Internet, telephone or mail will be counted); or</w:t>
      </w:r>
      <w:r>
        <mc:AlternateContent>
          <mc:Choice Requires="wps">
            <w:drawing>
              <wp:anchor behindDoc="0" distT="0" distB="0" distL="254000" distR="0" simplePos="0" locked="0" layoutInCell="1" allowOverlap="1" relativeHeight="214">
                <wp:simplePos x="0" y="0"/>
                <wp:positionH relativeFrom="column">
                  <wp:align>left</wp:align>
                </wp:positionH>
                <wp:positionV relativeFrom="line">
                  <wp:posOffset>635</wp:posOffset>
                </wp:positionV>
                <wp:extent cx="127000" cy="350520"/>
                <wp:effectExtent l="0" t="0" r="0" b="0"/>
                <wp:wrapSquare wrapText="right"/>
                <wp:docPr id="21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26" w:before="0" w:after="0"/>
        <w:ind w:left="15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attending the Annual Meeting and voting in person. </w:t>
        <w:br/>
        <w:t>Please note that your attendance at the Annual Meeting in person will not cause your previously granted proxy to be revoked unless you specifically so request.</w:t>
      </w:r>
      <w:r>
        <mc:AlternateContent>
          <mc:Choice Requires="wps">
            <w:drawing>
              <wp:anchor behindDoc="0" distT="0" distB="0" distL="254000" distR="0" simplePos="0" locked="0" layoutInCell="1" allowOverlap="1" relativeHeight="215">
                <wp:simplePos x="0" y="0"/>
                <wp:positionH relativeFrom="column">
                  <wp:align>left</wp:align>
                </wp:positionH>
                <wp:positionV relativeFrom="line">
                  <wp:posOffset>635</wp:posOffset>
                </wp:positionV>
                <wp:extent cx="127000" cy="350520"/>
                <wp:effectExtent l="0" t="0" r="0" b="0"/>
                <wp:wrapSquare wrapText="right"/>
                <wp:docPr id="21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002C73"/>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6" w:before="0" w:after="283"/>
                        <w:jc w:val="left"/>
                        <w:rPr/>
                      </w:pPr>
                      <w:r>
                        <w:rPr>
                          <w:color w:val="002C73"/>
                          <w:spacing w:val="-7"/>
                        </w:rPr>
                        <w:t>•</w:t>
                      </w:r>
                      <w:r>
                        <w:rPr/>
                        <w:t xml:space="preserve"> </w:t>
                      </w:r>
                      <w:r>
                        <w:rPr/>
                        <w:br/>
                      </w:r>
                    </w:p>
                  </w:txbxContent>
                </v:textbox>
                <w10:wrap type="square" side="right"/>
              </v:rect>
            </w:pict>
          </mc:Fallback>
        </mc:AlternateContent>
      </w:r>
    </w:p>
    <w:p>
      <w:pPr>
        <w:pStyle w:val="TextBody"/>
        <w:bidi w:val="0"/>
        <w:spacing w:before="0" w:after="0"/>
        <w:ind w:left="920" w:right="0" w:hanging="0"/>
        <w:jc w:val="left"/>
        <w:rPr>
          <w:caps w:val="false"/>
          <w:smallCaps w:val="false"/>
          <w:color w:val="000000"/>
        </w:rPr>
      </w:pPr>
      <w:r>
        <w:rPr>
          <w:caps w:val="false"/>
          <w:smallCaps w:val="false"/>
          <w:color w:val="000000"/>
        </w:rPr>
        <w:t>​</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62</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HCIA"/>
      <w:bookmarkEnd w:id="58"/>
      <w:r>
        <w:rPr>
          <w:rFonts w:ascii="calibri;arial;sans-serif" w:hAnsi="calibri;arial;sans-serif"/>
          <w:b w:val="false"/>
          <w:i w:val="false"/>
          <w:caps w:val="false"/>
          <w:smallCaps w:val="false"/>
          <w:color w:val="000000"/>
          <w:sz w:val="16"/>
        </w:rPr>
        <w:t>​</w:t>
      </w:r>
      <w:bookmarkStart w:id="59" w:name="tWIAP"/>
      <w:bookmarkEnd w:id="59"/>
      <w:r>
        <w:rPr>
          <w:rFonts w:ascii="calibri;arial;sans-serif" w:hAnsi="calibri;arial;sans-serif"/>
          <w:b w:val="false"/>
          <w:i w:val="false"/>
          <w:caps w:val="false"/>
          <w:smallCaps w:val="false"/>
          <w:color w:val="000000"/>
          <w:sz w:val="16"/>
        </w:rPr>
        <w:t>​</w:t>
      </w:r>
      <w:bookmarkStart w:id="60" w:name="tWDSO"/>
      <w:bookmarkEnd w:id="60"/>
      <w:r>
        <w:rPr>
          <w:rFonts w:ascii="calibri;arial;sans-serif" w:hAnsi="calibri;arial;sans-serif"/>
          <w:b w:val="false"/>
          <w:i w:val="false"/>
          <w:caps w:val="false"/>
          <w:smallCaps w:val="false"/>
          <w:color w:val="000000"/>
          <w:sz w:val="16"/>
        </w:rPr>
        <w:t>​</w:t>
      </w:r>
      <w:bookmarkStart w:id="61" w:name="tHCIA1"/>
      <w:bookmarkEnd w:id="61"/>
      <w:r>
        <w:rPr>
          <w:rFonts w:ascii="calibri;arial;sans-serif" w:hAnsi="calibri;arial;sans-serif"/>
          <w:b w:val="false"/>
          <w:i w:val="false"/>
          <w:caps w:val="false"/>
          <w:smallCaps w:val="false"/>
          <w:color w:val="000000"/>
          <w:sz w:val="16"/>
        </w:rPr>
        <w:t>​</w:t>
      </w:r>
      <w:bookmarkStart w:id="62" w:name="tHDIF"/>
      <w:bookmarkEnd w:id="62"/>
      <w:r>
        <w:rPr>
          <w:rFonts w:ascii="calibri;arial;sans-serif" w:hAnsi="calibri;arial;sans-serif"/>
          <w:b w:val="false"/>
          <w:i w:val="false"/>
          <w:caps w:val="false"/>
          <w:smallCaps w:val="false"/>
          <w:color w:val="000000"/>
          <w:sz w:val="16"/>
        </w:rPr>
        <w:t>​</w:t>
      </w:r>
      <w:bookmarkStart w:id="63" w:name="tFSPS"/>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1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For shares held in street name, you may revoke any previous voting instructions by submitting new voting instructions to the bank, broker or other intermediary holding your shares by the deadline for voting specified in the voting instructions provided by your bank, broker or other intermediary.</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Alternatively, if your shares are held in street name and you have obtained a legal proxy from the bank, broker or other intermediary giving you the right to vote the shares at the Annual Meeting, you may revoke any previous voting instructions by attending the Annual Meeting and voting in person.</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How can I attend the Annual Meeting?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The Annual Meeting is open to all shareholders holding shares of common stock as of the record date.</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Attendance at the Annual Meeting is limited to persons who were shareholders as of the record date and admission will be on a first-come, first-serve basis. Registration and seating will begin at 7:30 a.m., Eastern time, on the date of the Annual Meeting. Each shareholder will be asked to present proof of identification, such as a driver’s license or passport, prior to admission to the Annual Meeting. Beneficial owners of shares held in street name will need to bring proof of share ownership as of the record date, such as a bank or brokerage firm account statement or a letter from the intermediary holding your shares. Cameras, recording devices and other electronic devices will not be permitted at the Annual Meeting.</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encourage all shareholders, even those who plan to attend the Annual Meeting, to vote in advance.</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5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is a proxy? How do I appoint a proxy and instruct that individual how to vote on my behalf?</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A proxy is your legal designation of another person to vote on your behalf the shares that you hold.</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You may appoint the proxies recommended by our Board of Directors (Frank N. D’Orazio and Sarah C. Doran; see “What does solicitation of proxies mean?” below) to vote on your behalf.</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If you are a shareholder of record, you may also grant a proxy to any other person by executing a written instrument or transmitting an electronic transmission authorizing that person to act as your proxy, in accordance with Section 1.06 of the Company’s By-Laws and Section 212 of the Delaware General Corporation Law. If you or your appointed proxy attend the Annual Meeting in person, valid picture identification will be required for admission.</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If you are a beneficial owner, please contact the broker that holds your shares if you intend to appoint a proxy that is different from those recommended by our Board of Directors.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What does solicitation of proxies mean?</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In a solicitation of proxies, one party (in this case, our Board of Directors) encourages shareholders to appoint one or more particular individuals (in this case Frank N. D’Orazio, our Chief Executive Officer and a member of the Board of Directors, and Sarah C. Doran, our Chief Financial Officer) to vote on their behalf in accordance with their instructions.</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We will bear all of the costs relating to the solicitation of proxies, including the expense of printing and mailing proxy materials. In addition to this solicitation of proxies by mail, our directors, officers and other employees may solicit proxies by personal interview, telephone, facsimile or e-mail. They will not be paid any additional compensation for such solicitation. We will request brokers and intermediaries who hold our shares in their names to furnish proxy materials to beneficial owners of the shares. We will reimburse such brokers and intermediaries for their reasonable expenses incurred in forwarding solicitation materials to such beneficial owners.</w:t>
      </w:r>
      <w:r>
        <w:rPr>
          <w:rFonts w:ascii="Arial Narrow;Arial;Helvetica;sans-serif" w:hAnsi="Arial Narrow;Arial;Helvetica;sans-serif"/>
          <w:b w:val="false"/>
          <w:i w:val="false"/>
          <w:caps w:val="false"/>
          <w:smallCaps w:val="false"/>
          <w:color w:val="000000"/>
          <w:spacing w:val="4"/>
          <w:sz w:val="19"/>
        </w:rPr>
        <w:t xml:space="preserve"> </w:t>
      </w:r>
    </w:p>
    <w:p>
      <w:pPr>
        <w:pStyle w:val="TextBody"/>
        <w:bidi w:val="0"/>
        <w:spacing w:lineRule="atLeast" w:line="34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How can I access James River Group Holdings, Inc.’s proxy materials and annual report electronically?</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This proxy statement and our 2025 Annual Report are available at https://materials.proxyvote.com/46990A.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How do I find out the voting results?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Preliminary voting results will be announced at the Annual Meeting, and final voting results will be reported on a Current Report on Form 8-K filed with the SEC within four business days following the Annual Meeting. </w:t>
      </w:r>
    </w:p>
    <w:p>
      <w:pPr>
        <w:pStyle w:val="TextBody"/>
        <w:bidi w:val="0"/>
        <w:spacing w:lineRule="atLeast" w:line="360" w:before="240" w:after="283"/>
        <w:jc w:val="left"/>
        <w:rPr>
          <w:rFonts w:ascii="Arial;Helvetica;sans-serif" w:hAnsi="Arial;Helvetica;sans-serif"/>
          <w:b/>
          <w:i w:val="false"/>
          <w:caps w:val="false"/>
          <w:smallCaps w:val="false"/>
          <w:color w:val="7F7F7F"/>
          <w:sz w:val="32"/>
        </w:rPr>
      </w:pPr>
      <w:r>
        <w:rPr>
          <w:rFonts w:ascii="Arial;Helvetica;sans-serif" w:hAnsi="Arial;Helvetica;sans-serif"/>
          <w:b/>
          <w:i w:val="false"/>
          <w:caps w:val="false"/>
          <w:smallCaps w:val="false"/>
          <w:color w:val="7F7F7F"/>
          <w:spacing w:val="-1"/>
          <w:sz w:val="32"/>
        </w:rPr>
        <w:t>Forward-Looking Statements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10" w:before="120" w:after="283"/>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 xml:space="preserve">This proxy statement contains forward-looking statements as that term is defined in the Private Securities Litigation Reform Act of 1995. These forward-looking statements include statements regarding the intent, belief or current expectations of the Company, the Board and the Company’s </w:t>
      </w:r>
    </w:p>
    <w:p>
      <w:pPr>
        <w:pStyle w:val="TextBody"/>
        <w:bidi w:val="0"/>
        <w:spacing w:lineRule="atLeast" w:line="220" w:before="580" w:after="294"/>
        <w:ind w:left="1880" w:right="0" w:hanging="0"/>
        <w:jc w:val="righ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2026 Proxy Statement</w:t>
      </w:r>
      <w:r>
        <w:rPr>
          <w:rFonts w:ascii="Arial;Helvetica;sans-serif" w:hAnsi="Arial;Helvetica;sans-serif"/>
          <w:b/>
          <w:i w:val="false"/>
          <w:caps w:val="false"/>
          <w:smallCaps w:val="false"/>
          <w:color w:val="002C73"/>
          <w:spacing w:val="-2"/>
          <w:sz w:val="18"/>
        </w:rPr>
        <w:t>63</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920" w:right="0" w:hanging="0"/>
        <w:jc w:val="left"/>
        <w:rPr>
          <w:caps w:val="false"/>
          <w:smallCaps w:val="false"/>
          <w:color w:val="000000"/>
        </w:rPr>
      </w:pPr>
      <w:r>
        <w:rPr>
          <w:caps w:val="false"/>
          <w:smallCaps w:val="false"/>
          <w:color w:val="000000"/>
        </w:rPr>
        <w:t> </w:t>
      </w:r>
    </w:p>
    <w:p>
      <w:pPr>
        <w:pStyle w:val="TextBody"/>
        <w:bidi w:val="0"/>
        <w:spacing w:lineRule="atLeast" w:line="220" w:before="303" w:after="283"/>
        <w:ind w:left="920" w:right="0" w:hanging="0"/>
        <w:jc w:val="left"/>
        <w:rPr>
          <w:rFonts w:ascii="Arial Narrow;Arial;Helvetica;sans-serif" w:hAnsi="Arial Narrow;Arial;Helvetica;sans-serif"/>
          <w:b w:val="false"/>
          <w:i w:val="false"/>
          <w:caps w:val="false"/>
          <w:smallCaps w:val="false"/>
          <w:color w:val="000000"/>
          <w:sz w:val="19"/>
        </w:rPr>
      </w:pPr>
      <w:r>
        <w:rPr>
          <w:rFonts w:ascii="Arial Narrow;Arial;Helvetica;sans-serif" w:hAnsi="Arial Narrow;Arial;Helvetica;sans-serif"/>
          <w:b w:val="false"/>
          <w:i w:val="false"/>
          <w:caps w:val="false"/>
          <w:smallCaps w:val="false"/>
          <w:color w:val="000000"/>
          <w:sz w:val="19"/>
        </w:rPr>
        <w:t>management team. Forward-looking statements may be identified by terms such as believe, expect, seek, may, will, intend, project, anticipate, plan, estimate or similar words. Forward-looking statements involve risks and uncertainties that could cause actual results to differ materially from those in the forward-looking statements. Important information regarding such risks and uncertainties can be found in our filings with the U.S. Securities and Exchange Commission including our most recently filed Annual Report on Form 10-K and Quarterly Report on Form 10-Q. These forward-looking statements speak only as of the date of this proxy statement and the Company does not undertake any obligation to update or revise any forward-looking information to reflect changes in assumptions, the occurrence of unanticipated events, or otherwise.</w:t>
      </w:r>
    </w:p>
    <w:p>
      <w:pPr>
        <w:pStyle w:val="TextBody"/>
        <w:bidi w:val="0"/>
        <w:spacing w:lineRule="atLeast" w:line="210" w:before="580" w:after="294"/>
        <w:ind w:left="18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2C73"/>
          <w:spacing w:val="-2"/>
          <w:sz w:val="18"/>
        </w:rPr>
        <w:t>64</w:t>
      </w:r>
      <w:r>
        <w:rPr>
          <w:rFonts w:ascii="Arial;Helvetica;sans-serif" w:hAnsi="Arial;Helvetica;sans-serif"/>
          <w:b w:val="false"/>
          <w:i w:val="false"/>
          <w:caps w:val="false"/>
          <w:smallCaps w:val="false"/>
          <w:color w:val="000000"/>
          <w:spacing w:val="-1"/>
          <w:sz w:val="19"/>
        </w:rPr>
        <w:t>James River Group Holdings, Inc.</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458075" cy="9658350"/>
            <wp:effectExtent l="0" t="0" r="0" b="0"/>
            <wp:docPr id="21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41" descr=""/>
                    <pic:cNvPicPr>
                      <a:picLocks noChangeAspect="1" noChangeArrowheads="1"/>
                    </pic:cNvPicPr>
                  </pic:nvPicPr>
                  <pic:blipFill>
                    <a:blip r:embed="rId43"/>
                    <a:stretch>
                      <a:fillRect/>
                    </a:stretch>
                  </pic:blipFill>
                  <pic:spPr bwMode="auto">
                    <a:xfrm>
                      <a:off x="0" y="0"/>
                      <a:ext cx="7458075" cy="96583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26" w:after="283"/>
        <w:jc w:val="left"/>
        <w:rPr>
          <w:rFonts w:ascii="Arial Narrow;Arial;Helvetica;sans-serif" w:hAnsi="Arial Narrow;Arial;Helvetica;sans-serif"/>
          <w:b w:val="false"/>
          <w:i w:val="false"/>
          <w:caps w:val="false"/>
          <w:smallCaps w:val="false"/>
          <w:color w:val="FFFFFF"/>
          <w:sz w:val="2"/>
        </w:rPr>
      </w:pPr>
      <w:r>
        <w:rPr>
          <w:rFonts w:ascii="Arial Narrow;Arial;Helvetica;sans-serif" w:hAnsi="Arial Narrow;Arial;Helvetica;sans-serif"/>
          <w:b w:val="false"/>
          <w:i w:val="false"/>
          <w:caps w:val="false"/>
          <w:smallCaps w:val="false"/>
          <w:color w:val="FFFFFF"/>
          <w:sz w:val="2"/>
        </w:rPr>
        <w:t>JAMES RIVER GROUP HOLDINGS, INC.C/O BROADRIDGE CORPORATE ISSUER SOLUTIONS P.O. BOX 1342BRENTWOOD, NY 11717 SCAN TO VIEW MATERIALS &amp; VOTEVOTE BY INTERNET - www.proxyvote.com or scan the QR Barcode aboveUse the Internet to transmit your voting instructions and for electronic delivery of information up until 11:59 P.M. Eastern Time on October 21, 2026. Have your proxy card in hand when you access the website and follow the instructions to obtain your records and to create an electronic voting instruction form.VOTE BY PHONE - 1-800-690-6903Use any touch-tone telephone to transmit your voting instructions up until 11:59 P.M. Eastern Time on October 21, 2026. Have your proxy card in hand when you call and then follow the instructions.VOTE BY MAILMark, sign and date your proxy card and return it in the postage-paid envelope we have provided or return it to Vote Processing, c/o Broadridge, 51 Mercedes Way, Edgewood, NY 11717. TO VOTE, MARK BLOCKS BELOW IN BLUE OR BLACK INK AS FOLLOWS:T03309-P56961KEEP THIS PORTION FOR YOUR RECORDSTHIS PROXY CARD IS VALID ONLY WHEN SIGNED AND DATED.DETACH AND RETURN THIS PORTION ONLYJAMES RIVER GROUP HOLDINGS, INC. The Board of Directors recommends you vote “FOR” each of the following nominees:1.Election of Directors. Nominees: 1a. Rajiv Basu 1b. Matthew B. Botein 1c. Joel D. Cavaness 1d. Frank N. D’Orazio 1e. Christine LaSala 1f. Peter B. Migliorato For Against Abstain! ! !! ! !! ! !! ! !! ! !! ! ! The Board of Directors recommends you vote "FOR" Proposals 2 and 3.2.Ratification of the appointment of Ernst &amp; Young LLP, an independent registered public accounting firm, as our independent auditor to serve until the 2027 annual meeting of shareholders. 3.To approve, on a non-binding, advisory basis, the 2025 compensation of our named executive officers. NOTE: In their discretion, the proxy holders are authorized to vote on any other matters that may properly come before the meeting or any adjournments or postponements thereof. For Against Abstain! ! !! ! ! YesNoPlease indicate if you plan to attend this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20" w:after="283"/>
        <w:ind w:left="0" w:right="0" w:hanging="0"/>
        <w:jc w:val="center"/>
        <w:rPr>
          <w:caps w:val="false"/>
          <w:smallCaps w:val="false"/>
          <w:color w:val="FFFFFF"/>
        </w:rPr>
      </w:pPr>
      <w:r>
        <w:rPr>
          <w:caps w:val="false"/>
          <w:smallCaps w:val="false"/>
          <w:color w:val="FFFFFF"/>
        </w:rPr>
        <w:drawing>
          <wp:inline distT="0" distB="0" distL="0" distR="0">
            <wp:extent cx="7458075" cy="9658350"/>
            <wp:effectExtent l="0" t="0" r="0" b="0"/>
            <wp:docPr id="21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42" descr=""/>
                    <pic:cNvPicPr>
                      <a:picLocks noChangeAspect="1" noChangeArrowheads="1"/>
                    </pic:cNvPicPr>
                  </pic:nvPicPr>
                  <pic:blipFill>
                    <a:blip r:embed="rId44"/>
                    <a:stretch>
                      <a:fillRect/>
                    </a:stretch>
                  </pic:blipFill>
                  <pic:spPr bwMode="auto">
                    <a:xfrm>
                      <a:off x="0" y="0"/>
                      <a:ext cx="7458075" cy="96583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26" w:after="283"/>
        <w:jc w:val="left"/>
        <w:rPr>
          <w:rFonts w:ascii="Arial Narrow;Arial;Helvetica;sans-serif" w:hAnsi="Arial Narrow;Arial;Helvetica;sans-serif"/>
          <w:b w:val="false"/>
          <w:i w:val="false"/>
          <w:caps w:val="false"/>
          <w:smallCaps w:val="false"/>
          <w:color w:val="FFFFFF"/>
          <w:sz w:val="2"/>
        </w:rPr>
      </w:pPr>
      <w:r>
        <w:rPr>
          <w:rFonts w:ascii="Arial Narrow;Arial;Helvetica;sans-serif" w:hAnsi="Arial Narrow;Arial;Helvetica;sans-serif"/>
          <w:b w:val="false"/>
          <w:i w:val="false"/>
          <w:caps w:val="false"/>
          <w:smallCaps w:val="false"/>
          <w:color w:val="FFFFFF"/>
          <w:sz w:val="2"/>
        </w:rPr>
        <w:t>Important Notice Regarding the Availability of Proxy Materials for the Annual Meeting:The Notice and Proxy Statement and Annual Report are available at www.proxyvote.com.T03310-P56961James River Group Holdings, Inc.Proxy for Annual Meeting of Shareholders on October 22, 2026Solicited on Behalf of the Board of DirectorsThe undersigned hereby appoints Frank N. D’Orazio and Sarah C. Doran, and each of them, or, in the absence of either or both of them, the Chairperson and/or the Secretary of the Annual Meeting of Shareholders of James River Group Holdings, Inc. (the “Company”) to be held on October 22, 2026 at our office located at 6641 West Broad Street, Suite 300, Richmond, Virginia 23230 at 8:00 a.m. Eastern time (the “Annual Meeting”), with the power to act alone, as proxies to vote all of the shares of common stock which the undersigned would be entitled to vote if personally present and acting at the Annual Meeting or at any postponement or adjournment thereof.The shares of common stock represented by this proxy will be voted in the manner directed. In the absence of any direction, the shares of common stock will be voted “FOR” each of the nominees in Proposal 1 and “FOR” Proposals 2 and 3 and in the discretion of the proxy holders on any other matters that may properly come before the meeting and any adjournment or postponements thereof. The undersigned acknowledges receipt of the Notice of the Annual Meeting of Shareholders and the Company’s proxy statement pertaining thereto. Continued and to be signed on reverse side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Narrow">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0.jpeg"/><Relationship Id="rId13" Type="http://schemas.openxmlformats.org/officeDocument/2006/relationships/image" Target="media/image10.jpeg"/><Relationship Id="rId14" Type="http://schemas.openxmlformats.org/officeDocument/2006/relationships/image" Target="media/image2.jpeg"/><Relationship Id="rId15" Type="http://schemas.openxmlformats.org/officeDocument/2006/relationships/image" Target="media/image11.gif"/><Relationship Id="rId16" Type="http://schemas.openxmlformats.org/officeDocument/2006/relationships/image" Target="media/image12.jpeg"/><Relationship Id="rId17" Type="http://schemas.openxmlformats.org/officeDocument/2006/relationships/image" Target="media/image11.gif"/><Relationship Id="rId18" Type="http://schemas.openxmlformats.org/officeDocument/2006/relationships/image" Target="media/image13.jpeg"/><Relationship Id="rId19" Type="http://schemas.openxmlformats.org/officeDocument/2006/relationships/image" Target="media/image11.gif"/><Relationship Id="rId20" Type="http://schemas.openxmlformats.org/officeDocument/2006/relationships/image" Target="media/image14.jpeg"/><Relationship Id="rId21" Type="http://schemas.openxmlformats.org/officeDocument/2006/relationships/image" Target="media/image11.gif"/><Relationship Id="rId22" Type="http://schemas.openxmlformats.org/officeDocument/2006/relationships/image" Target="media/image15.jpeg"/><Relationship Id="rId23" Type="http://schemas.openxmlformats.org/officeDocument/2006/relationships/image" Target="media/image11.gif"/><Relationship Id="rId24" Type="http://schemas.openxmlformats.org/officeDocument/2006/relationships/image" Target="media/image16.jpeg"/><Relationship Id="rId25" Type="http://schemas.openxmlformats.org/officeDocument/2006/relationships/image" Target="media/image11.gif"/><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11.gif"/><Relationship Id="rId30" Type="http://schemas.openxmlformats.org/officeDocument/2006/relationships/image" Target="media/image11.gif"/><Relationship Id="rId31" Type="http://schemas.openxmlformats.org/officeDocument/2006/relationships/image" Target="media/image11.gif"/><Relationship Id="rId32" Type="http://schemas.openxmlformats.org/officeDocument/2006/relationships/image" Target="media/image11.gif"/><Relationship Id="rId33" Type="http://schemas.openxmlformats.org/officeDocument/2006/relationships/image" Target="media/image20.jpeg"/><Relationship Id="rId34" Type="http://schemas.openxmlformats.org/officeDocument/2006/relationships/image" Target="media/image20.jpeg"/><Relationship Id="rId35" Type="http://schemas.openxmlformats.org/officeDocument/2006/relationships/image" Target="media/image11.gif"/><Relationship Id="rId36" Type="http://schemas.openxmlformats.org/officeDocument/2006/relationships/image" Target="media/image11.gif"/><Relationship Id="rId37" Type="http://schemas.openxmlformats.org/officeDocument/2006/relationships/image" Target="media/image11.gif"/><Relationship Id="rId38" Type="http://schemas.openxmlformats.org/officeDocument/2006/relationships/image" Target="media/image11.gif"/><Relationship Id="rId39" Type="http://schemas.openxmlformats.org/officeDocument/2006/relationships/image" Target="media/image21.jpeg"/><Relationship Id="rId40" Type="http://schemas.openxmlformats.org/officeDocument/2006/relationships/image" Target="media/image22.jpeg"/><Relationship Id="rId41" Type="http://schemas.openxmlformats.org/officeDocument/2006/relationships/image" Target="media/image23.jpeg"/><Relationship Id="rId42" Type="http://schemas.openxmlformats.org/officeDocument/2006/relationships/image" Target="media/image24.jpeg"/><Relationship Id="rId43" Type="http://schemas.openxmlformats.org/officeDocument/2006/relationships/image" Target="media/image25.jpeg"/><Relationship Id="rId44" Type="http://schemas.openxmlformats.org/officeDocument/2006/relationships/image" Target="media/image26.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38294</Words>
  <Characters>209011</Characters>
  <CharactersWithSpaces>254922</CharactersWithSpaces>
  <Paragraphs>10527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