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5"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 for the quarterly period</w:t>
      </w: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ended June 30, 2022</w:t>
      </w:r>
    </w:p>
    <w:p>
      <w:pPr>
        <w:spacing w:after="0" w:line="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 for the transition period</w:t>
      </w: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from _______ to _______</w:t>
      </w:r>
    </w:p>
    <w:p>
      <w:pPr>
        <w:spacing w:after="0" w:line="2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001-36777</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-283210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1"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19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9"/>
        </w:trPr>
        <w:tc>
          <w:tcPr>
            <w:tcW w:w="190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5520" w:type="dxa"/>
            <w:vAlign w:val="bottom"/>
          </w:tcPr>
          <w:p>
            <w:pPr>
              <w:jc w:val="center"/>
              <w:ind w:left="4281"/>
              <w:spacing w:after="0"/>
              <w:rPr>
                <w:sz w:val="20"/>
                <w:szCs w:val="20"/>
                <w:color w:val="auto"/>
              </w:rPr>
            </w:pPr>
            <w:r>
              <w:rPr>
                <w:rFonts w:ascii="Times New Roman" w:cs="Times New Roman" w:eastAsia="Times New Roman" w:hAnsi="Times New Roman"/>
                <w:sz w:val="18"/>
                <w:szCs w:val="18"/>
                <w:b w:val="1"/>
                <w:bCs w:val="1"/>
                <w:color w:val="auto"/>
                <w:w w:val="96"/>
              </w:rPr>
              <w:t>98-0585280</w:t>
            </w:r>
          </w:p>
        </w:tc>
      </w:tr>
      <w:tr>
        <w:trPr>
          <w:trHeight w:val="144"/>
        </w:trPr>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520" w:type="dxa"/>
            <w:vAlign w:val="bottom"/>
          </w:tcPr>
          <w:p>
            <w:pPr>
              <w:jc w:val="center"/>
              <w:ind w:left="4301"/>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52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84" w:lineRule="exact"/>
        <w:rPr>
          <w:sz w:val="24"/>
          <w:szCs w:val="24"/>
          <w:color w:val="auto"/>
        </w:rPr>
      </w:pPr>
    </w:p>
    <w:p>
      <w:pPr>
        <w:jc w:val="center"/>
        <w:ind w:left="480" w:right="2720"/>
        <w:spacing w:after="0" w:line="268" w:lineRule="auto"/>
        <w:rPr>
          <w:sz w:val="20"/>
          <w:szCs w:val="20"/>
          <w:color w:val="auto"/>
        </w:rPr>
      </w:pPr>
      <w:r>
        <w:rPr>
          <w:rFonts w:ascii="Times New Roman" w:cs="Times New Roman" w:eastAsia="Times New Roman" w:hAnsi="Times New Roman"/>
          <w:sz w:val="18"/>
          <w:szCs w:val="18"/>
          <w:b w:val="1"/>
          <w:bCs w:val="1"/>
          <w:color w:val="auto"/>
        </w:rPr>
        <w:t>Wellesley House, 2nd Floor, 90 Pitts Bay Road, Pembroke HM08, Bermuda (Address of principal executive offices) (Zip Code)</w:t>
      </w:r>
    </w:p>
    <w:p>
      <w:pPr>
        <w:spacing w:after="0" w:line="227"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(441) 278-4580</w:t>
      </w:r>
    </w:p>
    <w:p>
      <w:pPr>
        <w:spacing w:after="0" w:line="2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1"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Names of each exchange on which registered</w:t>
            </w:r>
          </w:p>
        </w:tc>
      </w:tr>
      <w:tr>
        <w:trPr>
          <w:trHeight w:val="286"/>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Common Shares, par value $0.0002 per share</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JRVR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8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20"/>
        <w:spacing w:after="0" w:line="185" w:lineRule="exact"/>
        <w:tabs>
          <w:tab w:leader="none" w:pos="1960" w:val="left"/>
          <w:tab w:leader="none" w:pos="3660" w:val="left"/>
          <w:tab w:leader="none" w:pos="5720" w:val="left"/>
          <w:tab w:leader="none" w:pos="8340" w:val="left"/>
          <w:tab w:leader="none" w:pos="11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w:cs="Arial" w:eastAsia="Arial" w:hAnsi="Arial"/>
          <w:sz w:val="16"/>
          <w:szCs w:val="16"/>
          <w:color w:val="auto"/>
        </w:rPr>
        <w:t xml:space="preserve">x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1"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8" w:lineRule="exact"/>
        <w:tabs>
          <w:tab w:leader="none" w:pos="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Arial" w:cs="Arial" w:eastAsia="Arial" w:hAnsi="Arial"/>
          <w:sz w:val="18"/>
          <w:szCs w:val="18"/>
          <w:color w:val="auto"/>
        </w:rPr>
        <w:t>x</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July 29, 2022: 37,450,264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448310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360" w:type="dxa"/>
            <w:vAlign w:val="bottom"/>
            <w:gridSpan w:val="2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Balance Sheets—June 30, 2022 and December 31, 2021</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Income (Loss) and Comprehensive (Loss) Income—Three and Six Months Ended June 30,</w:t>
            </w:r>
          </w:p>
        </w:tc>
        <w:tc>
          <w:tcPr>
            <w:tcW w:w="540" w:type="dxa"/>
            <w:vAlign w:val="bottom"/>
            <w:tcBorders>
              <w:right w:val="single" w:sz="8" w:color="CCEEFF"/>
            </w:tcBorders>
            <w:gridSpan w:val="3"/>
            <w:vMerge w:val="restart"/>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40" w:type="dxa"/>
            <w:vAlign w:val="bottom"/>
            <w:tcBorders>
              <w:top w:val="single" w:sz="8" w:color="0000FF"/>
            </w:tcBorders>
            <w:gridSpan w:val="17"/>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0000FF"/>
              </w:rPr>
              <w:t>2022 and 2021</w:t>
            </w: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Changes in Shareholders’ Equity—Three and Six Months Ended June 30, 2022 and 2021</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Flows—Six Months Ended June 30, 2022 and 2021</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60" w:type="dxa"/>
            <w:vAlign w:val="bottom"/>
            <w:gridSpan w:val="2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gridSpan w:val="2"/>
          </w:tcPr>
          <w:p>
            <w:pPr>
              <w:spacing w:after="0"/>
              <w:rPr>
                <w:sz w:val="16"/>
                <w:szCs w:val="16"/>
                <w:color w:val="auto"/>
              </w:rPr>
            </w:pPr>
          </w:p>
        </w:tc>
        <w:tc>
          <w:tcPr>
            <w:tcW w:w="94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shd w:val="clear" w:color="auto" w:fill="CCEEFF"/>
          </w:tcPr>
          <w:p>
            <w:pPr>
              <w:spacing w:after="0"/>
              <w:rPr>
                <w:sz w:val="16"/>
                <w:szCs w:val="16"/>
                <w:color w:val="auto"/>
              </w:rPr>
            </w:pPr>
          </w:p>
        </w:tc>
        <w:tc>
          <w:tcPr>
            <w:tcW w:w="94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5.</w:t>
            </w:r>
          </w:p>
        </w:tc>
        <w:tc>
          <w:tcPr>
            <w:tcW w:w="94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3"/>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6.</w:t>
            </w:r>
          </w:p>
        </w:tc>
        <w:tc>
          <w:tcPr>
            <w:tcW w:w="94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Times New Roman" w:cs="Times New Roman" w:eastAsia="Times New Roman" w:hAnsi="Times New Roman"/>
                <w:sz w:val="18"/>
                <w:szCs w:val="18"/>
                <w:color w:val="0000FF"/>
                <w:w w:val="99"/>
              </w:rPr>
              <w:t>59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16" w:lineRule="exact"/>
        <w:rPr>
          <w:sz w:val="20"/>
          <w:szCs w:val="20"/>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1" w:lineRule="exact"/>
        <w:rPr>
          <w:rFonts w:ascii="Times New Roman" w:cs="Times New Roman" w:eastAsia="Times New Roman" w:hAnsi="Times New Roman"/>
          <w:sz w:val="18"/>
          <w:szCs w:val="18"/>
          <w:color w:val="auto"/>
        </w:rPr>
      </w:pPr>
    </w:p>
    <w:p>
      <w:pPr>
        <w:ind w:left="800" w:right="40" w:hanging="476"/>
        <w:spacing w:after="0" w:line="304" w:lineRule="auto"/>
        <w:tabs>
          <w:tab w:leader="none" w:pos="7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downgrade in the financial strength rating of our regulated insurance subsidiaries announced May 7, 2021, or further downgrades, impacting our ability to attract and retain insurance and reinsurance business that our subsidiaries write, our competitive position, and our financial condition;</w:t>
      </w:r>
    </w:p>
    <w:p>
      <w:pPr>
        <w:spacing w:after="0" w:line="34" w:lineRule="exact"/>
        <w:rPr>
          <w:rFonts w:ascii="Times New Roman" w:cs="Times New Roman" w:eastAsia="Times New Roman" w:hAnsi="Times New Roman"/>
          <w:sz w:val="17"/>
          <w:szCs w:val="17"/>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11" w:lineRule="exact"/>
        <w:rPr>
          <w:rFonts w:ascii="Times New Roman" w:cs="Times New Roman" w:eastAsia="Times New Roman" w:hAnsi="Times New Roman"/>
          <w:sz w:val="18"/>
          <w:szCs w:val="18"/>
          <w:color w:val="auto"/>
        </w:rPr>
      </w:pPr>
    </w:p>
    <w:p>
      <w:pPr>
        <w:ind w:left="800" w:right="1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persistent high inflationary environment could have a negative impact on our reserves, the values of our investments and investment returns, and our compensation expenses;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11" w:lineRule="exact"/>
        <w:rPr>
          <w:rFonts w:ascii="Times New Roman" w:cs="Times New Roman" w:eastAsia="Times New Roman" w:hAnsi="Times New Roman"/>
          <w:sz w:val="18"/>
          <w:szCs w:val="18"/>
          <w:color w:val="auto"/>
        </w:rPr>
      </w:pPr>
    </w:p>
    <w:p>
      <w:pPr>
        <w:ind w:left="800" w:right="32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7" w:lineRule="exact"/>
        <w:rPr>
          <w:rFonts w:ascii="Times New Roman" w:cs="Times New Roman" w:eastAsia="Times New Roman" w:hAnsi="Times New Roman"/>
          <w:sz w:val="18"/>
          <w:szCs w:val="18"/>
          <w:color w:val="auto"/>
        </w:rPr>
      </w:pPr>
    </w:p>
    <w:p>
      <w:pPr>
        <w:ind w:left="800" w:right="24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7" w:lineRule="exact"/>
        <w:rPr>
          <w:rFonts w:ascii="Times New Roman" w:cs="Times New Roman" w:eastAsia="Times New Roman" w:hAnsi="Times New Roman"/>
          <w:sz w:val="18"/>
          <w:szCs w:val="18"/>
          <w:color w:val="auto"/>
        </w:rPr>
      </w:pPr>
    </w:p>
    <w:p>
      <w:pPr>
        <w:ind w:left="800" w:right="4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prices and on terms that allow us to transfer risk and adequately protect our Company against financial loss;</w:t>
      </w:r>
    </w:p>
    <w:p>
      <w:pPr>
        <w:spacing w:after="0" w:line="57" w:lineRule="exact"/>
        <w:rPr>
          <w:rFonts w:ascii="Times New Roman" w:cs="Times New Roman" w:eastAsia="Times New Roman" w:hAnsi="Times New Roman"/>
          <w:sz w:val="18"/>
          <w:szCs w:val="18"/>
          <w:color w:val="auto"/>
        </w:rPr>
      </w:pPr>
    </w:p>
    <w:p>
      <w:pPr>
        <w:ind w:left="800" w:right="520" w:hanging="476"/>
        <w:spacing w:after="0" w:line="259"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w:t>
      </w:r>
    </w:p>
    <w:p>
      <w:pPr>
        <w:spacing w:after="0" w:line="7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11" w:lineRule="exact"/>
        <w:rPr>
          <w:rFonts w:ascii="Times New Roman" w:cs="Times New Roman" w:eastAsia="Times New Roman" w:hAnsi="Times New Roman"/>
          <w:sz w:val="18"/>
          <w:szCs w:val="18"/>
          <w:color w:val="auto"/>
        </w:rPr>
      </w:pPr>
    </w:p>
    <w:p>
      <w:pPr>
        <w:ind w:left="800" w:right="36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57" w:lineRule="exact"/>
        <w:rPr>
          <w:rFonts w:ascii="Times New Roman" w:cs="Times New Roman" w:eastAsia="Times New Roman" w:hAnsi="Times New Roman"/>
          <w:sz w:val="18"/>
          <w:szCs w:val="18"/>
          <w:color w:val="auto"/>
        </w:rPr>
      </w:pPr>
    </w:p>
    <w:p>
      <w:pPr>
        <w:ind w:left="800" w:right="3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foreign subsidiaries becoming subject to U.S. federal income taxation;</w:t>
      </w:r>
    </w:p>
    <w:p>
      <w:pPr>
        <w:spacing w:after="0" w:line="111" w:lineRule="exact"/>
        <w:rPr>
          <w:rFonts w:ascii="Times New Roman" w:cs="Times New Roman" w:eastAsia="Times New Roman" w:hAnsi="Times New Roman"/>
          <w:sz w:val="18"/>
          <w:szCs w:val="18"/>
          <w:color w:val="auto"/>
        </w:rPr>
      </w:pPr>
    </w:p>
    <w:p>
      <w:pPr>
        <w:ind w:left="800" w:right="76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to shield us from unanticipated financial losses or legal exposures, or other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 w:name="page4"/>
    <w:bookmarkEnd w:id="3"/>
    <w:p>
      <w:pPr>
        <w:ind w:left="800" w:right="16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effects of the COVID-19 pandemic and associated government actions on our operations and financial performance;</w:t>
      </w:r>
    </w:p>
    <w:p>
      <w:pPr>
        <w:spacing w:after="0" w:line="111" w:lineRule="exact"/>
        <w:rPr>
          <w:rFonts w:ascii="Times New Roman" w:cs="Times New Roman" w:eastAsia="Times New Roman" w:hAnsi="Times New Roman"/>
          <w:sz w:val="18"/>
          <w:szCs w:val="18"/>
          <w:i w:val="1"/>
          <w:iCs w:val="1"/>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Sarbanes-Oxley Act of 2002, as amended (“Sarbanes-Oxley”);</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 and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elsewhere in this Quarterly Report.</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2021 filed with the SEC on March 1, 2022.</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 June 30,</w:t>
            </w:r>
          </w:p>
        </w:tc>
        <w:tc>
          <w:tcPr>
            <w:tcW w:w="180" w:type="dxa"/>
            <w:vAlign w:val="bottom"/>
          </w:tcPr>
          <w:p>
            <w:pPr>
              <w:spacing w:after="0"/>
              <w:rPr>
                <w:sz w:val="13"/>
                <w:szCs w:val="13"/>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2022 – $1,728,217; 2021 – $1,643,865)</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1,677,561</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fair value (cost: 2022 – $97,018; 2021 – $95,783)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156,043</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136,563</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2,130,485</w:t>
            </w:r>
          </w:p>
        </w:tc>
      </w:tr>
      <w:tr>
        <w:trPr>
          <w:trHeight w:val="252"/>
        </w:trPr>
        <w:tc>
          <w:tcPr>
            <w:tcW w:w="8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190,123</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102,005</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393,967</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1,348,628</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82,235</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291,498</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68,526</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36,039</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r>
      <w:tr>
        <w:trPr>
          <w:trHeight w:val="225"/>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112,176</w:t>
            </w: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5,265,275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4,948,550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 June 30,</w:t>
            </w:r>
          </w:p>
        </w:tc>
        <w:tc>
          <w:tcPr>
            <w:tcW w:w="180" w:type="dxa"/>
            <w:vAlign w:val="bottom"/>
          </w:tcPr>
          <w:p>
            <w:pPr>
              <w:spacing w:after="0"/>
              <w:rPr>
                <w:sz w:val="13"/>
                <w:szCs w:val="13"/>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3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2,748,473</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727,552</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Payables to reinsurers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135,617</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97,360</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262,300</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57,920</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89,911</w:t>
            </w: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4,223,188</w:t>
            </w: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2"/>
        </w:trPr>
        <w:tc>
          <w:tcPr>
            <w:tcW w:w="84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Series A redeemable preferred shares – 2022 and 2021: $0.00125 par value; 20,000,000 shares authorized; 150,000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no shares issued and outstanding, respectively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2"/>
        </w:trPr>
        <w:tc>
          <w:tcPr>
            <w:tcW w:w="84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Common shares – 2022 and 2021: $0.0002 par value; 200,000,000 shares authorized; 37,450,264 and 37,373,066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862,040</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(166,663)</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29,978</w:t>
            </w: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725,362</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5,265,275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4,948,550</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and Comprehensive (Loss) Income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78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6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399,714</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759,650</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753,401</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(385,198)</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368,203</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(34,905)</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333,298</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374,547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383,500</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93,221</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482,893</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(108,346)</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shareholders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(82,617)</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5"/>
        </w:trPr>
        <w:tc>
          <w:tcPr>
            <w:tcW w:w="5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2"/>
        </w:trPr>
        <w:tc>
          <w:tcPr>
            <w:tcW w:w="5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unrealized (losses) gains, net of taxes of $(7,998) and $(19,648) in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$2,013 and $(3,635) in 2021</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(109,947)</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5"/>
        </w:trPr>
        <w:tc>
          <w:tcPr>
            <w:tcW w:w="5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declared per common share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37,449,621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37,428,385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32,576,463</w:t>
            </w:r>
          </w:p>
        </w:tc>
      </w:tr>
      <w:tr>
        <w:trPr>
          <w:trHeight w:val="231"/>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37,732,371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37,643,634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32,576,463</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37,448,314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647,677</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37,450,264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865,081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(156,109)</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37,373,066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725,362</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37,450,264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865,081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(156,109)</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30,774,930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639,628</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192,107</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37,275,562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858,499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30,649,261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795,608</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192,107</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0" w:type="dxa"/>
            <w:vAlign w:val="bottom"/>
          </w:tcPr>
          <w:p>
            <w:pPr>
              <w:spacing w:after="0"/>
              <w:rPr>
                <w:sz w:val="1"/>
                <w:szCs w:val="1"/>
                <w:color w:val="auto"/>
              </w:rPr>
            </w:pP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37,275,562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858,499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r>
      <w:tr>
        <w:trPr>
          <w:trHeight w:val="23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 (a)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(93,003)</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 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(273,016)</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 fixed maturity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36,591</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and calls – 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142,895</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 equity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 equity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(71,011)</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36,059</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of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90,626</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receivable or payable,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Senior debt repayments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A preferred shares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 public offering</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192,107</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under equity incentive plans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repurchases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(20,804)</w:t>
            </w: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168,870</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62,276</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1,022,180</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end of period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1,084,456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859,920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at end of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723,525</w:t>
            </w:r>
          </w:p>
        </w:tc>
      </w:tr>
      <w:tr>
        <w:trPr>
          <w:trHeight w:val="23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 equivalents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(136,395)</w:t>
            </w:r>
          </w:p>
        </w:tc>
      </w:tr>
    </w:tbl>
    <w:p>
      <w:pPr>
        <w:spacing w:after="0" w:line="303" w:lineRule="exact"/>
        <w:rPr>
          <w:sz w:val="20"/>
          <w:szCs w:val="20"/>
          <w:color w:val="auto"/>
        </w:rPr>
      </w:pPr>
    </w:p>
    <w:p>
      <w:pPr>
        <w:jc w:val="both"/>
        <w:ind w:firstLine="6"/>
        <w:spacing w:after="0" w:line="263" w:lineRule="auto"/>
        <w:tabs>
          <w:tab w:leader="none" w:pos="1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used in operating activities for the six months ended June 30, 2021 primarily reflects restricted cash equivalents returned to a former insured, per the terms of a collateral trust. See “Item 2. Management’s Discussion and Analysis of Financial Condition and Results of Operations – </w:t>
      </w:r>
      <w:r>
        <w:rPr>
          <w:rFonts w:ascii="Times New Roman" w:cs="Times New Roman" w:eastAsia="Times New Roman" w:hAnsi="Times New Roman"/>
          <w:sz w:val="14"/>
          <w:szCs w:val="14"/>
          <w:i w:val="1"/>
          <w:iCs w:val="1"/>
          <w:color w:val="auto"/>
        </w:rPr>
        <w:t>Amounts Recoverable from an Indemnifying Party and Reinsurer on Legacy Commercial Auto Book</w:t>
      </w:r>
      <w:r>
        <w:rPr>
          <w:rFonts w:ascii="Times New Roman" w:cs="Times New Roman" w:eastAsia="Times New Roman" w:hAnsi="Times New Roman"/>
          <w:sz w:val="14"/>
          <w:szCs w:val="14"/>
          <w:color w:val="auto"/>
        </w:rPr>
        <w:t>”. Excluding the restricted cash activity above, cash provided by operating activities was $139.2 million and $43.4 million for the six months ended June 30, 2022 and 2021, respectively.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9460" w:firstLine="6"/>
        <w:spacing w:after="0" w:line="369" w:lineRule="auto"/>
        <w:tabs>
          <w:tab w:leader="none" w:pos="29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spacing w:after="0" w:line="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and two Bermuda-based reinsurance companies as described below:</w:t>
      </w:r>
    </w:p>
    <w:p>
      <w:pPr>
        <w:spacing w:after="0" w:line="57"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1"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34" w:lineRule="exact"/>
        <w:rPr>
          <w:rFonts w:ascii="Times New Roman" w:cs="Times New Roman" w:eastAsia="Times New Roman" w:hAnsi="Times New Roman"/>
          <w:sz w:val="17"/>
          <w:szCs w:val="17"/>
          <w:color w:val="auto"/>
        </w:rPr>
      </w:pPr>
    </w:p>
    <w:p>
      <w:pPr>
        <w:jc w:val="both"/>
        <w:ind w:left="640" w:hanging="316"/>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Carolina Re Ltd (“Carolina Re”) was formed in 2018 and as of January 1, 2018 provides reinsurance to the Company’s U.S.-based insurance subsidiaries. Carolina Re was also the cedent on an aggregate stop loss reinsurance treaty with JRG Re through December 31,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2021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2021 was derived from the Company’s audited annual consolidated financial statements.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$28.6 million and $26.9 million at June 30, 2022 and December 31, 2021, respectively, representing the Company’s maximum exposure to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six months ended June 30, 2022, our U.S. federal income tax expense was 24.9% of the income before taxes. The effective rate exceeded the 21.0% U.S. statutory rate due to a projected annual loss in Bermuda that does not provide a tax benefit and certain discreet items including excess tax expenses associated with vested restricted share units (“RSUs”) in the six months ended June 30, 2022. The Company had a pre-tax loss of $108.3 million for the six months ended June 30, 2021 and recorded a U.S. federal income tax benefit of $25.7 million. For the six months ended June 30, 2021, our U.S. federal income tax benefit was 23.7% of the loss before taxes. The pre-tax loss was largely driven by the $166.7 million of net adverse reserve development on prior accident years, including $161.2 million of net adverse development from the Excess and Surplus Lines segment that was primarily related to a former commercial auto account.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August 2020, the FASB issued </w:t>
      </w:r>
      <w:r>
        <w:rPr>
          <w:rFonts w:ascii="Times New Roman" w:cs="Times New Roman" w:eastAsia="Times New Roman" w:hAnsi="Times New Roman"/>
          <w:sz w:val="18"/>
          <w:szCs w:val="18"/>
          <w:i w:val="1"/>
          <w:iCs w:val="1"/>
          <w:color w:val="auto"/>
        </w:rPr>
        <w:t>ASU 2020-06, 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the accounting for convertible debt instruments and convertible preferred stock and became effective for interim and annual periods beginning after December 15, 2021. The Company adopted the new standard concurrent with the issuance of our Series A preferred shares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The new guidance also requires entities to use the if-converted method for all convertible instruments in the diluted earnings per share calculation and generally requires them to include the effect of potential share settlement for instruments that may be settled in cash or shares. Adoption of the new standard did not materially impact our financial position, results of operations, or earnings per share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606,821</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75,710</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246,631</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732,335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304,488</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60,390</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1,643,865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June 30, 2022 are summarized, by contractual maturity,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65,352</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414,082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289,925</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215,577</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1,445,310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At June 30, 2022, the Company held fixed maturity securities of 528 issuers that were in an unrealized loss position with a total fair value of $1,445.3 million and gross unrealized losses of $132.1 million. None of the fixed maturity securities with unrealized losses has ever missed, or been delinquent on, a scheduled principal or interest payment. At June 30, 2022, 99.6%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June 30, 2022 had an aggregate fair value of $6.7 million and an aggregate net unrealized loss of $237,000.</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are recognized in other comprehensive income.</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2022, December 31, 2021, or June 30, 2021. </w:t>
      </w:r>
      <w:r>
        <w:rPr>
          <w:rFonts w:ascii="Times New Roman" w:cs="Times New Roman" w:eastAsia="Times New Roman" w:hAnsi="Times New Roman"/>
          <w:sz w:val="18"/>
          <w:szCs w:val="18"/>
          <w:color w:val="231F20"/>
        </w:rPr>
        <w:t>Management does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231F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June 30, 2022, the Company's bank loan portfolio had an aggregate fair value of $159.9 million and unpaid principal of $175.8 million. Investment income on bank loan participations included in net investment income was $2.7 million and $5.1 million for the </w:t>
      </w:r>
      <w:r>
        <w:rPr>
          <w:rFonts w:ascii="Times New Roman" w:cs="Times New Roman" w:eastAsia="Times New Roman" w:hAnsi="Times New Roman"/>
          <w:sz w:val="17"/>
          <w:szCs w:val="17"/>
          <w:color w:val="000000"/>
        </w:rPr>
        <w:t>three and six</w:t>
      </w:r>
      <w:r>
        <w:rPr>
          <w:rFonts w:ascii="Times New Roman" w:cs="Times New Roman" w:eastAsia="Times New Roman" w:hAnsi="Times New Roman"/>
          <w:sz w:val="17"/>
          <w:szCs w:val="17"/>
          <w:color w:val="231F20"/>
        </w:rPr>
        <w:t xml:space="preserve"> months ended June 30, 2022, respectively ($2.5 million and $5.4 million for the </w:t>
      </w:r>
      <w:r>
        <w:rPr>
          <w:rFonts w:ascii="Times New Roman" w:cs="Times New Roman" w:eastAsia="Times New Roman" w:hAnsi="Times New Roman"/>
          <w:sz w:val="17"/>
          <w:szCs w:val="17"/>
          <w:color w:val="000000"/>
        </w:rPr>
        <w:t>three and six</w:t>
      </w:r>
      <w:r>
        <w:rPr>
          <w:rFonts w:ascii="Times New Roman" w:cs="Times New Roman" w:eastAsia="Times New Roman" w:hAnsi="Times New Roman"/>
          <w:sz w:val="17"/>
          <w:szCs w:val="17"/>
          <w:color w:val="231F20"/>
        </w:rPr>
        <w:t xml:space="preserve"> months ended </w:t>
      </w:r>
      <w:r>
        <w:rPr>
          <w:rFonts w:ascii="Times New Roman" w:cs="Times New Roman" w:eastAsia="Times New Roman" w:hAnsi="Times New Roman"/>
          <w:sz w:val="17"/>
          <w:szCs w:val="17"/>
          <w:color w:val="000000"/>
        </w:rPr>
        <w:t>June 30, 2021,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respectively). </w:t>
      </w:r>
      <w:r>
        <w:rPr>
          <w:rFonts w:ascii="Times New Roman" w:cs="Times New Roman" w:eastAsia="Times New Roman" w:hAnsi="Times New Roman"/>
          <w:sz w:val="17"/>
          <w:szCs w:val="17"/>
          <w:color w:val="231F20"/>
        </w:rPr>
        <w:t>Net realized and unrealized gains (losses) on investments includes losses of $9.9 million and $12.0 million for the</w:t>
      </w:r>
      <w:r>
        <w:rPr>
          <w:rFonts w:ascii="Times New Roman" w:cs="Times New Roman" w:eastAsia="Times New Roman" w:hAnsi="Times New Roman"/>
          <w:sz w:val="17"/>
          <w:szCs w:val="17"/>
          <w:color w:val="000000"/>
        </w:rPr>
        <w:t xml:space="preserve"> three and six </w:t>
      </w:r>
      <w:r>
        <w:rPr>
          <w:rFonts w:ascii="Times New Roman" w:cs="Times New Roman" w:eastAsia="Times New Roman" w:hAnsi="Times New Roman"/>
          <w:sz w:val="17"/>
          <w:szCs w:val="17"/>
          <w:color w:val="231F20"/>
        </w:rPr>
        <w:t>months ended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June 30, 2022, respectively (gains of $1.9 million and $5.8 million for the </w:t>
      </w:r>
      <w:r>
        <w:rPr>
          <w:rFonts w:ascii="Times New Roman" w:cs="Times New Roman" w:eastAsia="Times New Roman" w:hAnsi="Times New Roman"/>
          <w:sz w:val="17"/>
          <w:szCs w:val="17"/>
          <w:color w:val="000000"/>
        </w:rPr>
        <w:t>three and six</w:t>
      </w:r>
      <w:r>
        <w:rPr>
          <w:rFonts w:ascii="Times New Roman" w:cs="Times New Roman" w:eastAsia="Times New Roman" w:hAnsi="Times New Roman"/>
          <w:sz w:val="17"/>
          <w:szCs w:val="17"/>
          <w:color w:val="231F20"/>
        </w:rPr>
        <w:t xml:space="preserve"> months ended </w:t>
      </w:r>
      <w:r>
        <w:rPr>
          <w:rFonts w:ascii="Times New Roman" w:cs="Times New Roman" w:eastAsia="Times New Roman" w:hAnsi="Times New Roman"/>
          <w:sz w:val="17"/>
          <w:szCs w:val="17"/>
          <w:color w:val="000000"/>
        </w:rPr>
        <w:t>June 30, 2021, respectively)</w:t>
      </w:r>
      <w:r>
        <w:rPr>
          <w:rFonts w:ascii="Times New Roman" w:cs="Times New Roman" w:eastAsia="Times New Roman" w:hAnsi="Times New Roman"/>
          <w:sz w:val="17"/>
          <w:szCs w:val="17"/>
          <w:color w:val="231F20"/>
        </w:rPr>
        <w:t xml:space="preserve">. For the </w:t>
      </w:r>
      <w:r>
        <w:rPr>
          <w:rFonts w:ascii="Times New Roman" w:cs="Times New Roman" w:eastAsia="Times New Roman" w:hAnsi="Times New Roman"/>
          <w:sz w:val="17"/>
          <w:szCs w:val="17"/>
          <w:color w:val="000000"/>
        </w:rPr>
        <w:t>three and six</w:t>
      </w:r>
      <w:r>
        <w:rPr>
          <w:rFonts w:ascii="Times New Roman" w:cs="Times New Roman" w:eastAsia="Times New Roman" w:hAnsi="Times New Roman"/>
          <w:sz w:val="17"/>
          <w:szCs w:val="17"/>
          <w:color w:val="231F20"/>
        </w:rPr>
        <w:t xml:space="preserve"> months ended June 30, 2022 and </w:t>
      </w:r>
      <w:r>
        <w:rPr>
          <w:rFonts w:ascii="Times New Roman" w:cs="Times New Roman" w:eastAsia="Times New Roman" w:hAnsi="Times New Roman"/>
          <w:sz w:val="17"/>
          <w:szCs w:val="17"/>
          <w:color w:val="000000"/>
        </w:rPr>
        <w:t>2021</w:t>
      </w:r>
      <w:r>
        <w:rPr>
          <w:rFonts w:ascii="Times New Roman" w:cs="Times New Roman" w:eastAsia="Times New Roman" w:hAnsi="Times New Roman"/>
          <w:sz w:val="17"/>
          <w:szCs w:val="17"/>
          <w:color w:val="231F20"/>
        </w:rPr>
        <w:t>, management concluded that none of the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9"/>
                <w:szCs w:val="19"/>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19"/>
        </w:trPr>
        <w:tc>
          <w:tcPr>
            <w:tcW w:w="5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18"/>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8"/>
        </w:trPr>
        <w:tc>
          <w:tcPr>
            <w:tcW w:w="5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94"/>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214"/>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94" w:firstLine="318"/>
        <w:spacing w:after="0" w:line="274"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91" w:lineRule="exact"/>
        <w:rPr>
          <w:sz w:val="20"/>
          <w:szCs w:val="20"/>
          <w:color w:val="auto"/>
        </w:rPr>
      </w:pPr>
    </w:p>
    <w:tbl>
      <w:tblPr>
        <w:tblLayout w:type="fixed"/>
        <w:tblInd w:w="94"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840" w:type="dxa"/>
            <w:vAlign w:val="bottom"/>
            <w:gridSpan w:val="3"/>
          </w:tcPr>
          <w:p>
            <w:pPr>
              <w:jc w:val="center"/>
              <w:ind w:left="35"/>
              <w:spacing w:after="0" w:line="12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4"/>
          </w:tcPr>
          <w:p>
            <w:pPr>
              <w:jc w:val="right"/>
              <w:ind w:right="613"/>
              <w:spacing w:after="0" w:line="128"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Bank holding companies </w:t>
            </w:r>
            <w:r>
              <w:rPr>
                <w:rFonts w:ascii="Times New Roman" w:cs="Times New Roman" w:eastAsia="Times New Roman" w:hAnsi="Times New Roman"/>
                <w:sz w:val="18"/>
                <w:szCs w:val="18"/>
                <w:i w:val="1"/>
                <w:iCs w:val="1"/>
                <w:color w:val="auto"/>
              </w:rPr>
              <w:t>(d)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254" w:hanging="254"/>
        <w:spacing w:after="0" w:line="250"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Excess and Surplus Lines and Corporate and Other segments own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$951,000 and $266,000 in the six months ended June 30, 2022 and 2021, respectively.</w:t>
      </w:r>
    </w:p>
    <w:p>
      <w:pPr>
        <w:spacing w:after="0" w:line="80" w:lineRule="exact"/>
        <w:rPr>
          <w:rFonts w:ascii="Times New Roman" w:cs="Times New Roman" w:eastAsia="Times New Roman" w:hAnsi="Times New Roman"/>
          <w:sz w:val="18"/>
          <w:szCs w:val="18"/>
          <w:color w:val="auto"/>
        </w:rPr>
      </w:pPr>
    </w:p>
    <w:p>
      <w:pPr>
        <w:jc w:val="both"/>
        <w:ind w:left="254" w:hanging="254"/>
        <w:spacing w:after="0" w:line="259"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Company's </w:t>
      </w:r>
      <w:r>
        <w:rPr>
          <w:rFonts w:ascii="Times New Roman" w:cs="Times New Roman" w:eastAsia="Times New Roman" w:hAnsi="Times New Roman"/>
          <w:sz w:val="18"/>
          <w:szCs w:val="18"/>
          <w:color w:val="000000"/>
        </w:rPr>
        <w:t>Excess and Surplus Lines and</w:t>
      </w:r>
      <w:r>
        <w:rPr>
          <w:rFonts w:ascii="Times New Roman" w:cs="Times New Roman" w:eastAsia="Times New Roman" w:hAnsi="Times New Roman"/>
          <w:sz w:val="18"/>
          <w:szCs w:val="18"/>
          <w:color w:val="231F20"/>
        </w:rPr>
        <w:t xml:space="preserve"> Corporate and Other segments have invested in notes receivable for renewable energy projects. At June 30, 2022, the Company held two notes issued by an </w:t>
      </w:r>
      <w:r>
        <w:rPr>
          <w:rFonts w:ascii="Times New Roman" w:cs="Times New Roman" w:eastAsia="Times New Roman" w:hAnsi="Times New Roman"/>
          <w:sz w:val="18"/>
          <w:szCs w:val="18"/>
          <w:color w:val="000000"/>
        </w:rPr>
        <w:t>entity for which two of our former directors serve as officers</w:t>
      </w:r>
      <w:r>
        <w:rPr>
          <w:rFonts w:ascii="Times New Roman" w:cs="Times New Roman" w:eastAsia="Times New Roman" w:hAnsi="Times New Roman"/>
          <w:sz w:val="18"/>
          <w:szCs w:val="18"/>
          <w:color w:val="231F20"/>
        </w:rPr>
        <w:t>. Interest on the notes, which mature in 2025, is fixed at 12%.</w:t>
      </w:r>
    </w:p>
    <w:p>
      <w:pPr>
        <w:spacing w:after="0" w:line="71" w:lineRule="exact"/>
        <w:rPr>
          <w:rFonts w:ascii="Times New Roman" w:cs="Times New Roman" w:eastAsia="Times New Roman" w:hAnsi="Times New Roman"/>
          <w:sz w:val="18"/>
          <w:szCs w:val="18"/>
          <w:color w:val="auto"/>
        </w:rPr>
      </w:pPr>
    </w:p>
    <w:p>
      <w:pPr>
        <w:jc w:val="both"/>
        <w:ind w:left="254" w:hanging="254"/>
        <w:spacing w:after="0" w:line="244"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Times New Roman" w:cs="Times New Roman" w:eastAsia="Times New Roman" w:hAnsi="Times New Roman"/>
          <w:sz w:val="18"/>
          <w:szCs w:val="18"/>
          <w:color w:val="231F20"/>
        </w:rPr>
        <w:t>Income f</w:t>
      </w:r>
      <w:r>
        <w:rPr>
          <w:rFonts w:ascii="Times New Roman" w:cs="Times New Roman" w:eastAsia="Times New Roman" w:hAnsi="Times New Roman"/>
          <w:sz w:val="18"/>
          <w:szCs w:val="18"/>
          <w:color w:val="auto"/>
        </w:rPr>
        <w:t>rom the partnerships is recognized under the equity method of accounting. At June 30, 2022, the Company’s Excess and Surplus Lines segment has outstanding commitments to invest another $5.3 million in these limited partnerships.</w:t>
      </w:r>
    </w:p>
    <w:p>
      <w:pPr>
        <w:spacing w:after="0" w:line="72" w:lineRule="exact"/>
        <w:rPr>
          <w:rFonts w:ascii="Times New Roman" w:cs="Times New Roman" w:eastAsia="Times New Roman" w:hAnsi="Times New Roman"/>
          <w:sz w:val="18"/>
          <w:szCs w:val="18"/>
          <w:color w:val="auto"/>
        </w:rPr>
      </w:pPr>
    </w:p>
    <w:p>
      <w:pPr>
        <w:jc w:val="both"/>
        <w:ind w:left="254" w:hanging="254"/>
        <w:spacing w:after="0" w:line="259"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 Interest on the notes, which mature on August 12, 2023, is fixed at 7.6% per annum.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2022 and December 31, 2021.</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250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(loss) per common share computations contained in the condensed consolidated financial statements: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2"/>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2"/>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Dividends on Series A preferred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r>
      <w:tr>
        <w:trPr>
          <w:trHeight w:val="265"/>
        </w:trPr>
        <w:tc>
          <w:tcPr>
            <w:tcW w:w="5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37,449,621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34,418,472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37,428,385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32,576,463</w:t>
            </w: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37,732,371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34,586,997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37,643,634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32,576,463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1"/>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three and six </w:t>
      </w:r>
      <w:r>
        <w:rPr>
          <w:rFonts w:ascii="Times New Roman" w:cs="Times New Roman" w:eastAsia="Times New Roman" w:hAnsi="Times New Roman"/>
          <w:sz w:val="18"/>
          <w:szCs w:val="18"/>
          <w:color w:val="231F20"/>
        </w:rPr>
        <w:t>months ended June 30, 2022, potential common shares</w:t>
      </w:r>
      <w:r>
        <w:rPr>
          <w:rFonts w:ascii="Times New Roman" w:cs="Times New Roman" w:eastAsia="Times New Roman" w:hAnsi="Times New Roman"/>
          <w:sz w:val="18"/>
          <w:szCs w:val="18"/>
          <w:color w:val="auto"/>
        </w:rPr>
        <w:t xml:space="preserve"> of 5,928,132 and 4,089,627, respectively (131,193 and 237,618 in the respective prior year periods), were excluded from the calculation of diluted earnings (loss) per common share as their effects were anti-dilutive.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Reserve for Losses and Loss Adjustment Expenses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$601,000 at June 30, 2022, $604,000 at March 31, 2022, $631,000 at December 31, 2021, and $335,000 at June 30, 2021, March 31, 2021, and December 31,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1,534,779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1,399,214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1,386,061</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166,684</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247,999</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258,455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Loss reserves ceded in Retrocession Agreement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Add: Changes in reinsurance recoverable of Retrocession Agreement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unrelated to net reserve activity</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net of reinsurance</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1,511,106</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Add: Reinsurance recoverables on unpaid losses and loss adjustment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at end of period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1,571,486</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935,896</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1,571,486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935,896</w:t>
            </w: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gross of reinsurance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recoverables on unpaid losses and loss adjustment expenses at end of</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2,730,631</w:t>
            </w:r>
          </w:p>
        </w:tc>
        <w:tc>
          <w:tcPr>
            <w:tcW w:w="120" w:type="dxa"/>
            <w:vAlign w:val="bottom"/>
          </w:tcPr>
          <w:p>
            <w:pPr>
              <w:spacing w:after="0"/>
              <w:rPr>
                <w:sz w:val="15"/>
                <w:szCs w:val="15"/>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2,447,002</w:t>
            </w:r>
          </w:p>
        </w:tc>
        <w:tc>
          <w:tcPr>
            <w:tcW w:w="100" w:type="dxa"/>
            <w:vAlign w:val="bottom"/>
          </w:tcPr>
          <w:p>
            <w:pPr>
              <w:spacing w:after="0"/>
              <w:rPr>
                <w:sz w:val="15"/>
                <w:szCs w:val="15"/>
                <w:color w:val="auto"/>
              </w:rPr>
            </w:pPr>
          </w:p>
        </w:tc>
        <w:tc>
          <w:tcPr>
            <w:tcW w:w="4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2,730,631</w:t>
            </w:r>
          </w:p>
        </w:tc>
        <w:tc>
          <w:tcPr>
            <w:tcW w:w="100" w:type="dxa"/>
            <w:vAlign w:val="bottom"/>
          </w:tcPr>
          <w:p>
            <w:pPr>
              <w:spacing w:after="0"/>
              <w:rPr>
                <w:sz w:val="15"/>
                <w:szCs w:val="15"/>
                <w:color w:val="auto"/>
              </w:rPr>
            </w:pPr>
          </w:p>
        </w:tc>
        <w:tc>
          <w:tcPr>
            <w:tcW w:w="5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2,447,002</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experienced $1.6 million of net favorable reserve development in the three months ended June 30, 2022 on the reserve for losses and loss adjustment expenses held at December 31, 2021. This reserve development included $32,000 of net favorable development in the Excess and Surplus Lines segment, $1.5 million of net favorable development in the Specialty Admitted Insurance segment, and no development in the Casualty Reinsurance segment.</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experienced $3.5 million of net favorable reserve development in the three months ended June 30, 2021 on the reserve for losses and loss adjustment expenses held at December 31, 2020. This reserve development included $7.5 million of net favorable development in the Excess and Surplus Lines segment, $1.0 million of net favorable development in the Specialty Admitted Insurance segment, and $5.0 million of net adverse development in the Casualty Reinsurance segment.</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experienced $5.2 million of net adverse reserve development in the six months ended June 30, 2022 on the reserve for losses and loss adjustment expenses held at December 31, 2021. This reserve development included $91,000 of net favorable development in the Excess and Surplus Lines segment, $1.5 million of net favorable development in the Specialty Admitted Insurance segment, and $6.8 million of net adverse development in the Casualty Reinsurance segment that was associated with the Retrocession Agreement (as defined below).</w:t>
      </w:r>
    </w:p>
    <w:p>
      <w:pPr>
        <w:spacing w:after="0" w:line="74"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6"/>
        <w:spacing w:after="0" w:line="251"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79" w:lineRule="exact"/>
        <w:rPr>
          <w:sz w:val="20"/>
          <w:szCs w:val="20"/>
          <w:color w:val="auto"/>
        </w:rPr>
      </w:pPr>
    </w:p>
    <w:p>
      <w:pPr>
        <w:jc w:val="both"/>
        <w:ind w:firstLine="358"/>
        <w:spacing w:after="0" w:line="247" w:lineRule="auto"/>
        <w:rPr>
          <w:sz w:val="20"/>
          <w:szCs w:val="20"/>
          <w:color w:val="auto"/>
        </w:rPr>
      </w:pPr>
      <w:r>
        <w:rPr>
          <w:rFonts w:ascii="Times New Roman" w:cs="Times New Roman" w:eastAsia="Times New Roman" w:hAnsi="Times New Roman"/>
          <w:sz w:val="18"/>
          <w:szCs w:val="18"/>
          <w:color w:val="auto"/>
        </w:rPr>
        <w:t>The Company experienced $166.7 million of net adverse reserve development in the six months ended June 30, 2021 on the reserve for losses and loss adjustment expenses held at December 31, 2020. This reserve development included $161.2 million of net adverse development in the Excess and Surplus Lines segment, including $170.0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 Loss emergence on the terminated commercial auto account in the three months ended June 30, 2021 was in line with our expectations, and accordingly, no additional reserve development was taken in the second quarter of 2021. The Company also experienced $2.0 million of net favorable development in the Specialty Admitted Insurance segment due to favorable development in the workers' compensation business for prior accident years, and $7.5 million of net adverse development in the Casualty Reinsurance segment.</w:t>
      </w:r>
    </w:p>
    <w:p>
      <w:pPr>
        <w:spacing w:after="0" w:line="90"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(Loss) Income</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other comprehensive (loss)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9"/>
        </w:trPr>
        <w:tc>
          <w:tcPr>
            <w:tcW w:w="5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Unrealized (losses) gains arising during the period, before U.S. income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152"/>
        </w:trPr>
        <w:tc>
          <w:tcPr>
            <w:tcW w:w="5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Unrealized (losses) gains arising during the period, net of U.S. income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investment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invested assets at June 30, 2022 include $1,597.7 million of fixed maturity securities that are classified as available-for-sale and carried at fair value with unrealized gains and losses on these securities reported, net of applicable taxes, as a separate component of accumulated comprehensive (loss) income. In the six months ended June 30, 2022 and 2021, the fair values of our fixed maturity securities were negatively impacted by rising interest rates leading to unrealized losses recognized in other comprehensive loss.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addition to the $1.1 million and $1.3 million of net realized investment gains on available-for-sale fixed maturities for the three and six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June 30, 2022 ($133,000 and $1.2 million for the three and six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June 30, 2021</w:t>
      </w:r>
      <w:r>
        <w:rPr>
          <w:rFonts w:ascii="Times New Roman" w:cs="Times New Roman" w:eastAsia="Times New Roman" w:hAnsi="Times New Roman"/>
          <w:sz w:val="18"/>
          <w:szCs w:val="18"/>
          <w:color w:val="231F20"/>
        </w:rPr>
        <w:t>, respectively),</w:t>
      </w:r>
      <w:r>
        <w:rPr>
          <w:rFonts w:ascii="Times New Roman" w:cs="Times New Roman" w:eastAsia="Times New Roman" w:hAnsi="Times New Roman"/>
          <w:sz w:val="18"/>
          <w:szCs w:val="18"/>
          <w:color w:val="auto"/>
        </w:rPr>
        <w:t xml:space="preserve"> the Company also recognized net realized and unrealized investment (losses) gains in the respective periods of $(9.9) million and $(12.0) million on its investments in bank loan participations ($1.9 million and $5.8 million in the respective prior year periods) and $(8.2) million and $(11.3) million on its investments in equity securities ($1.4 million and $2.8 million in the respective prior year periods) that was largely related to preferred stock holdings.</w:t>
      </w:r>
    </w:p>
    <w:p>
      <w:pPr>
        <w:spacing w:after="0" w:line="77" w:lineRule="exact"/>
        <w:rPr>
          <w:sz w:val="20"/>
          <w:szCs w:val="20"/>
          <w:color w:val="auto"/>
        </w:rPr>
      </w:pPr>
    </w:p>
    <w:p>
      <w:pPr>
        <w:ind w:left="440" w:hanging="434"/>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matters and litigation regarding insurance claims arising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its consolidated financial position, results of operations or cash flows.</w:t>
      </w:r>
    </w:p>
    <w:p>
      <w:pPr>
        <w:spacing w:after="0" w:line="7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opposition to the motion to dismiss was filed on March 4, 2022, and the Defendants’ reply to the Plaintiff's opposition was filed on April 4, 2022. On July 13, 2022, Plaintiffs filed a notice with the Court stating that they intend to seek leave to file an amended complaint no later than August 25, 2022. We believe that Plaintiffs’ claims are without merit and we intend to vigorously defend this lawsuit.</w:t>
      </w:r>
    </w:p>
    <w:p>
      <w:pPr>
        <w:spacing w:after="0" w:line="7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2021.</w:t>
      </w:r>
    </w:p>
    <w:p>
      <w:pPr>
        <w:spacing w:after="0" w:line="5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$4.6 million of letters of credit were issued through June 30, 2022 which were secured by deposits of $9.1 million. Under a $102.5 million facility, $38.2 million of letters of credit were issued through June 30, 2022 which were secured by deposits of $46.6 million. Under a $100.0 million facility, $22.6 million of letters of credit were issued through June 30, 2022 which were secured by deposits of $30.0 million. JRG Re has also established trust accounts to secure its obligations to selected reinsureds. The total amount deposited in the trust accounts for the benefit of third-party reinsureds was $417.4 million at June 30,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58"/>
        <w:spacing w:after="0" w:line="249" w:lineRule="auto"/>
        <w:rPr>
          <w:sz w:val="20"/>
          <w:szCs w:val="20"/>
          <w:color w:val="auto"/>
        </w:rPr>
      </w:pPr>
      <w:r>
        <w:rPr>
          <w:rFonts w:ascii="Times New Roman" w:cs="Times New Roman" w:eastAsia="Times New Roman" w:hAnsi="Times New Roman"/>
          <w:sz w:val="18"/>
          <w:szCs w:val="18"/>
          <w:color w:val="auto"/>
        </w:rPr>
        <w:t>James River Insurance Company and James River Casualty Company (together, “James River”) previously issued a set of commercial auto insurance contracts (the “Rasier Commercial Auto Policies”) to Rasier LLC and its affiliates (collectively,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Insurance, Inc. (“Aleka”), a captive insurance company affiliate of Rasier,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LPT Agreement, respectively:</w:t>
      </w:r>
    </w:p>
    <w:p>
      <w:pPr>
        <w:spacing w:after="0" w:line="111" w:lineRule="exact"/>
        <w:rPr>
          <w:sz w:val="20"/>
          <w:szCs w:val="20"/>
          <w:color w:val="auto"/>
        </w:rPr>
      </w:pPr>
    </w:p>
    <w:p>
      <w:pPr>
        <w:jc w:val="both"/>
        <w:ind w:firstLine="364"/>
        <w:spacing w:after="0" w:line="249" w:lineRule="auto"/>
        <w:tabs>
          <w:tab w:leader="none" w:pos="6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June 30, 2022, the balance in the Indemnity Trust was $374.3 million, and, together with the balance of the Loss Fund Trust (as defined below) attributable to the Indemnity Agreements as described below, the total balance of collateral securing Rasier’s obligations under the Indemnity Agreements was $443.4 million.</w:t>
      </w:r>
    </w:p>
    <w:p>
      <w:pPr>
        <w:spacing w:after="0" w:line="84" w:lineRule="exact"/>
        <w:rPr>
          <w:rFonts w:ascii="Times New Roman" w:cs="Times New Roman" w:eastAsia="Times New Roman" w:hAnsi="Times New Roman"/>
          <w:sz w:val="18"/>
          <w:szCs w:val="18"/>
          <w:color w:val="auto"/>
        </w:rPr>
      </w:pPr>
    </w:p>
    <w:p>
      <w:pPr>
        <w:jc w:val="both"/>
        <w:ind w:firstLine="364"/>
        <w:spacing w:after="0" w:line="251" w:lineRule="auto"/>
        <w:tabs>
          <w:tab w:leader="none" w:pos="6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June 30, 2022, the balance in the LPT Trust was $165.4 million, and, together with the balance of the Loss Fund Trust (as defined below) attributable to the LPT Agreement as described below, the total balance of collateral securing Aleka’s obligations under the LPT Agreement was $193.6 million. At June 30, 2022, the total reinsurance recoverables under the LPT Agreement was $188.9 million (including $170.3 million of unpaid recoverables and $18.6 million of paid recoverables).</w:t>
      </w:r>
    </w:p>
    <w:p>
      <w:pPr>
        <w:spacing w:after="0" w:line="79"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June 30, 2022, the balance in the Loss Fund Trust was $102.1 million, including $69.2 million representing collateral supporting Rasier’s obligations under the Indemnity Agreements and $28.2 million representing collateral supporting Aleka’s obligations under the LPT Agreement. Funds posted to the Loss Fund Trust are classified as restricted cash equivalents on the Company's balance sheets.</w:t>
      </w:r>
    </w:p>
    <w:p>
      <w:pPr>
        <w:spacing w:after="0" w:line="87"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LPT Agreement and Indemnity Agreements when our analysis indicates that we have uncollateralized exposure.</w:t>
      </w:r>
    </w:p>
    <w:p>
      <w:pPr>
        <w:spacing w:after="0" w:line="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(loss) income less loss and loss adjustment expenses and other operating expenses of the operating segments. Gross fee income of $900,000 and $1.7 million for the Specialty Admitted Insurance segment was included in other income and in underwriting profit (loss) for the three and six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June 30, 2022, respectively ($954,000 and $1.9 million in the respective prior year periods)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Segment results are reported prior to the effects of intercompany reinsurance agreements among the Company’s insurance subsidiaries.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segment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00" w:type="dxa"/>
            <w:vAlign w:val="bottom"/>
          </w:tcPr>
          <w:p>
            <w:pPr>
              <w:spacing w:after="0"/>
              <w:rPr>
                <w:sz w:val="13"/>
                <w:szCs w:val="13"/>
                <w:color w:val="auto"/>
              </w:rPr>
            </w:pP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6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8"/>
              </w:rPr>
              <w:t>Casualty</w:t>
            </w:r>
          </w:p>
        </w:tc>
        <w:tc>
          <w:tcPr>
            <w:tcW w:w="280" w:type="dxa"/>
            <w:vAlign w:val="bottom"/>
          </w:tcPr>
          <w:p>
            <w:pPr>
              <w:spacing w:after="0"/>
              <w:rPr>
                <w:sz w:val="13"/>
                <w:szCs w:val="13"/>
                <w:color w:val="auto"/>
              </w:rPr>
            </w:pPr>
          </w:p>
        </w:tc>
        <w:tc>
          <w:tcPr>
            <w:tcW w:w="11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73"/>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Surplus</w:t>
            </w:r>
          </w:p>
        </w:tc>
        <w:tc>
          <w:tcPr>
            <w:tcW w:w="300" w:type="dxa"/>
            <w:vAlign w:val="bottom"/>
          </w:tcPr>
          <w:p>
            <w:pPr>
              <w:spacing w:after="0"/>
              <w:rPr>
                <w:sz w:val="12"/>
                <w:szCs w:val="12"/>
                <w:color w:val="auto"/>
              </w:rPr>
            </w:pPr>
          </w:p>
        </w:tc>
        <w:tc>
          <w:tcPr>
            <w:tcW w:w="1100" w:type="dxa"/>
            <w:vAlign w:val="bottom"/>
          </w:tcPr>
          <w:p>
            <w:pPr>
              <w:jc w:val="center"/>
              <w:ind w:right="173"/>
              <w:spacing w:after="0" w:line="144" w:lineRule="exact"/>
              <w:rPr>
                <w:sz w:val="20"/>
                <w:szCs w:val="20"/>
                <w:color w:val="auto"/>
              </w:rPr>
            </w:pPr>
            <w:r>
              <w:rPr>
                <w:rFonts w:ascii="Times New Roman" w:cs="Times New Roman" w:eastAsia="Times New Roman" w:hAnsi="Times New Roman"/>
                <w:sz w:val="14"/>
                <w:szCs w:val="14"/>
                <w:b w:val="1"/>
                <w:bCs w:val="1"/>
                <w:color w:val="auto"/>
                <w:w w:val="98"/>
              </w:rPr>
              <w:t>Admitted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73"/>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0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Lines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266,635</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8,112</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399,714</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137,884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30,237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186,262</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of operating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22,334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2,059</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25,645</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1,327</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131,659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33,854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2,096,138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1,135,839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1,999,687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33,611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5,265,275</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214,014</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36,943</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380,146</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117,945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36,165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of operating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26,917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3,473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9,707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124,018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45,987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2,211,469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2,120,625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5,391,816</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470,917</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38,056</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759,650</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269,185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69,442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376,086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of operating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43,791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38,474</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8,840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20,154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1,342</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4,999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265,051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81,725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386,754</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2,096,138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1,135,839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1,999,687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33,611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5,265,275</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395,372</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101,804</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753,401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231,653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66,693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333,298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 of operating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7,179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20,263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4,465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242,814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91,504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374,547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2,211,469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2,120,625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(loss)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(124,029)</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(125,571)</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(141,542)</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2"/>
                <w:szCs w:val="22"/>
                <w:color w:val="auto"/>
              </w:rPr>
            </w:pPr>
          </w:p>
        </w:tc>
        <w:tc>
          <w:tcPr>
            <w:tcW w:w="156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44,878</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of $— and $368,000 for the three and six </w:t>
      </w:r>
      <w:r>
        <w:rPr>
          <w:rFonts w:ascii="Times New Roman" w:cs="Times New Roman" w:eastAsia="Times New Roman" w:hAnsi="Times New Roman"/>
          <w:sz w:val="18"/>
          <w:szCs w:val="18"/>
          <w:color w:val="231F20"/>
        </w:rPr>
        <w:t>months ended June 30, 2022</w:t>
      </w:r>
      <w:r>
        <w:rPr>
          <w:rFonts w:ascii="Times New Roman" w:cs="Times New Roman" w:eastAsia="Times New Roman" w:hAnsi="Times New Roman"/>
          <w:sz w:val="18"/>
          <w:szCs w:val="18"/>
          <w:color w:val="auto"/>
        </w:rPr>
        <w:t>, respectively ($904,000 and $1.5 million in the respective prior year periods), primarily consist of certain nonoperating expenses including legal fees related to a purported class action lawsuit, legal and other professional fees related to the Company's May 2021 common share offering and various strategic initiatives, and employee severance costs.</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Three levels of inputs are used to measure fair value of financial instruments: (1) Level 1: quoted price (unadjusted) in active markets for identical assets,</w:t>
      </w:r>
    </w:p>
    <w:p>
      <w:pPr>
        <w:spacing w:after="0" w:line="36" w:lineRule="exact"/>
        <w:rPr>
          <w:sz w:val="20"/>
          <w:szCs w:val="20"/>
          <w:color w:val="auto"/>
        </w:rPr>
      </w:pPr>
    </w:p>
    <w:p>
      <w:pPr>
        <w:jc w:val="both"/>
        <w:ind w:firstLine="6"/>
        <w:spacing w:after="0" w:line="248" w:lineRule="auto"/>
        <w:tabs>
          <w:tab w:leader="none" w:pos="2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broker quotes and prices observed for comparable securities). Values for U.S. Treasury and publicly-traded equity securities are generally based on Level 1 inputs which use the market approach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2020.</w:t>
      </w:r>
    </w:p>
    <w:p>
      <w:pPr>
        <w:spacing w:after="0" w:line="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June 30, 2022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302,405</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606,821</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0" w:type="dxa"/>
            <w:vAlign w:val="bottom"/>
          </w:tcPr>
          <w:p>
            <w:pPr>
              <w:spacing w:after="0"/>
              <w:rPr>
                <w:sz w:val="1"/>
                <w:szCs w:val="1"/>
                <w:color w:val="auto"/>
              </w:rPr>
            </w:pPr>
          </w:p>
        </w:tc>
      </w:tr>
      <w:tr>
        <w:trPr>
          <w:trHeight w:val="172"/>
        </w:trPr>
        <w:tc>
          <w:tcPr>
            <w:tcW w:w="556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75,710</w:t>
            </w:r>
          </w:p>
        </w:tc>
        <w:tc>
          <w:tcPr>
            <w:tcW w:w="0" w:type="dxa"/>
            <w:vAlign w:val="bottom"/>
          </w:tcPr>
          <w:p>
            <w:pPr>
              <w:spacing w:after="0"/>
              <w:rPr>
                <w:sz w:val="1"/>
                <w:szCs w:val="1"/>
                <w:color w:val="auto"/>
              </w:rPr>
            </w:pPr>
          </w:p>
        </w:tc>
      </w:tr>
      <w:tr>
        <w:trPr>
          <w:trHeight w:val="244"/>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0" w:type="dxa"/>
            <w:vAlign w:val="bottom"/>
          </w:tcPr>
          <w:p>
            <w:pPr>
              <w:spacing w:after="0"/>
              <w:rPr>
                <w:sz w:val="1"/>
                <w:szCs w:val="1"/>
                <w:color w:val="auto"/>
              </w:rPr>
            </w:pPr>
          </w:p>
        </w:tc>
      </w:tr>
      <w:tr>
        <w:trPr>
          <w:trHeight w:val="217"/>
        </w:trPr>
        <w:tc>
          <w:tcPr>
            <w:tcW w:w="556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43,470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55,183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98,653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159,885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159,885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2021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333,717</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246,631</w:t>
            </w: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732,335</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304,488</w:t>
            </w:r>
          </w:p>
        </w:tc>
        <w:tc>
          <w:tcPr>
            <w:tcW w:w="0" w:type="dxa"/>
            <w:vAlign w:val="bottom"/>
          </w:tcPr>
          <w:p>
            <w:pPr>
              <w:spacing w:after="0"/>
              <w:rPr>
                <w:sz w:val="1"/>
                <w:szCs w:val="1"/>
                <w:color w:val="auto"/>
              </w:rPr>
            </w:pPr>
          </w:p>
        </w:tc>
      </w:tr>
      <w:tr>
        <w:trPr>
          <w:trHeight w:val="172"/>
        </w:trPr>
        <w:tc>
          <w:tcPr>
            <w:tcW w:w="554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60,390</w:t>
            </w:r>
          </w:p>
        </w:tc>
        <w:tc>
          <w:tcPr>
            <w:tcW w:w="0" w:type="dxa"/>
            <w:vAlign w:val="bottom"/>
          </w:tcPr>
          <w:p>
            <w:pPr>
              <w:spacing w:after="0"/>
              <w:rPr>
                <w:sz w:val="1"/>
                <w:szCs w:val="1"/>
                <w:color w:val="auto"/>
              </w:rPr>
            </w:pPr>
          </w:p>
        </w:tc>
      </w:tr>
      <w:tr>
        <w:trPr>
          <w:trHeight w:val="243"/>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1,677,561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63,612</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156,043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156,043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420" w:type="dxa"/>
            <w:vAlign w:val="bottom"/>
            <w:gridSpan w:val="4"/>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6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jc w:val="center"/>
              <w:ind w:right="4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earnings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had one equity security at December 31, 2021 for which the fair value was determined using significant unobservable inputs (Level 3). The fair value of $102,000 for the equity security was based on expected proceeds from its sale. During the six months ended June 30, 2022, the Company sold the equity security.</w:t>
      </w:r>
    </w:p>
    <w:p>
      <w:pPr>
        <w:spacing w:after="0" w:line="7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held one bank loan participation and one equity security at June 30,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$231,000 at June 30, 2021 and $980,000 at December 31,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six months ended June 30, 2022 or 2021. The Company recognizes transfers between levels at the beginning of the reporting period.</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2022 and December 31, 2021, there were no investments for which external sources were unavailable to determine fair value.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6"/>
                <w:szCs w:val="16"/>
                <w:color w:val="auto"/>
              </w:rPr>
            </w:pPr>
          </w:p>
        </w:tc>
        <w:tc>
          <w:tcPr>
            <w:tcW w:w="238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16"/>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1"/>
                <w:szCs w:val="11"/>
                <w:color w:val="auto"/>
              </w:rPr>
            </w:pPr>
          </w:p>
        </w:tc>
        <w:tc>
          <w:tcPr>
            <w:tcW w:w="980" w:type="dxa"/>
            <w:vAlign w:val="bottom"/>
          </w:tcPr>
          <w:p>
            <w:pPr>
              <w:jc w:val="right"/>
              <w:ind w:right="336"/>
              <w:spacing w:after="0" w:line="128"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0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1,677,561</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1,677,561</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108,410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108,410</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156,043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156,043</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190,123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102,005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136,563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9,740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252,213</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106,635</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June 30, 2022 and December 31, 2021 were determined by calculating the present value of expected future cash flows under the terms of the note agreements or debt agreements, as applicable, discounted at an estimated market rate of interest at June 30, 2022 and December 31, 2021, respectively.</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senior debt and junior subordinated debt at June 30, 2022 and December 31, 2021 were determined using inputs to the valuation methodology that are unobservable (Level 3).</w:t>
      </w:r>
    </w:p>
    <w:p>
      <w:pPr>
        <w:spacing w:after="0" w:line="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Senior Debt</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repaid $40.0 million of loans that were outstanding under a credit agreement (the “2017 Facility”) in the three months ended March 31, 2022. At June 30, 2022, unsecured loans of $21.5 million and secured letters of credit totaling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$22.6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June 30, 2022.</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Series A Preferred Shares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24, 2022, we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initial rate of 7% of the Liquidation Preference per annum, paid in cash, in-kind in common shares or in Series A Preferred Shares, at our election. On the five-year anniversary of the Series A Closing Date, and each five-year anniversary thereafter, the dividend rate will reset to a rate equal to the five-year U.S. treasury rate plus 5.2%. Dividends accrue quarterly and are payable on March 31, June 30, September 30 and December 31 of each year, and commenced with a cash dividend of $3.5 million paid on June 30, 2022 for the period from the Series A Closing Date through June 30, 2022.</w:t>
      </w:r>
    </w:p>
    <w:p>
      <w:pPr>
        <w:spacing w:after="0" w:line="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adverse reserve developments.</w:t>
      </w:r>
    </w:p>
    <w:p>
      <w:pPr>
        <w:spacing w:after="0" w:line="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holders of the Series A Preferred Shares may require us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The repurchase price will be payable in cash.</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 effective following receipt of any necessary regulatory approvals. Until applicable regulatory approvals are obtained, Mr. Botein will have board observer status.</w:t>
      </w:r>
    </w:p>
    <w:p>
      <w:pPr>
        <w:spacing w:after="0" w:line="72" w:lineRule="exact"/>
        <w:rPr>
          <w:sz w:val="20"/>
          <w:szCs w:val="20"/>
          <w:color w:val="auto"/>
        </w:rPr>
      </w:pPr>
    </w:p>
    <w:p>
      <w:pPr>
        <w:ind w:right="8300" w:firstLine="6"/>
        <w:spacing w:after="0" w:line="362" w:lineRule="auto"/>
        <w:tabs>
          <w:tab w:leader="none" w:pos="39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Equity Awards </w:t>
      </w:r>
      <w:r>
        <w:rPr>
          <w:rFonts w:ascii="Times New Roman" w:cs="Times New Roman" w:eastAsia="Times New Roman" w:hAnsi="Times New Roman"/>
          <w:sz w:val="18"/>
          <w:szCs w:val="18"/>
          <w:b w:val="1"/>
          <w:bCs w:val="1"/>
          <w:i w:val="1"/>
          <w:iCs w:val="1"/>
          <w:color w:val="auto"/>
        </w:rPr>
        <w:t>Common Shares</w:t>
      </w: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37,373,066 at December 31, 2021 to 37,450,264 at June 30, 2022, reflecting 77,198 common shares issued in the six months ended June 30, 2022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declared the following dividends on common shares during the first six months of 2022 and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Payable to Shareholders of</w:t>
            </w:r>
          </w:p>
        </w:tc>
        <w:tc>
          <w:tcPr>
            <w:tcW w:w="2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00"/>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w w:val="94"/>
              </w:rPr>
              <w:t>2022</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16,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14, 2022</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28,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13, 2022</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 2022</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15, 2021</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April 27,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14, 2021</w:t>
            </w:r>
          </w:p>
        </w:tc>
        <w:tc>
          <w:tcPr>
            <w:tcW w:w="21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 2021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Included in the total dividends for the six months ended June 30, 2022 and 2021 are $72,000 and $221,000, respectively, of dividend equivalents on unvested RSUs. The balance of dividends payable on unvested RSUs was $327,000 at June 30, 2022 and $518,000 at December 31,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June 30, 2022, 814,511 shares are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June 30, 2022, 77,708 shares are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9"/>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433,440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June 30, 2022 was 0.9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1"/>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348,765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 line basis over the vesting period. The amount of expense and related tax benefit is summarized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340" w:type="dxa"/>
            <w:vAlign w:val="bottom"/>
            <w:gridSpan w:val="3"/>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2"/>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2,196</w:t>
            </w:r>
          </w:p>
        </w:tc>
        <w:tc>
          <w:tcPr>
            <w:tcW w:w="9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1,862</w:t>
            </w:r>
          </w:p>
        </w:tc>
        <w:tc>
          <w:tcPr>
            <w:tcW w:w="5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3,982</w:t>
            </w:r>
          </w:p>
        </w:tc>
        <w:tc>
          <w:tcPr>
            <w:tcW w:w="6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86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409</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302</w:t>
            </w:r>
          </w:p>
        </w:tc>
        <w:tc>
          <w:tcPr>
            <w:tcW w:w="54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745</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2022, the Company had $15.6 million of unrecognized share based compensation expense expected to be charged to earnings over a weighted-average period of 2.1 years.</w:t>
      </w:r>
    </w:p>
    <w:p>
      <w:pPr>
        <w:spacing w:after="0" w:line="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July 26, 2022, the Board of Directors declared a cash dividend of $0.05 per common share. The dividend is payable on September 30, 2022 to shareholders of record on September 12, 2022.</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July 26, 2022, the Board of Directors declared a 7% dividend on the Series A Preferred Shares. The dividend of $2.6 million will be payable in cash on September 30, 2022 to shareholders of record on September 15, 2022.</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July 26, 2022, the Board of Directors approved awards under the 2014 LTIP to the Company's employees with an aggregate fair value of $158,750 and a grant date of August 3,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 Item 1A “Risk Factors” in our Annual Report on Form 10-K for the year ended December 31, 2021. The results of operations for the three and six months ended June 30, 2022 are not necessarily indicative of the results that may be expected for the full year ending December 31, 2022,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2021.</w:t>
      </w:r>
    </w:p>
    <w:p>
      <w:pPr>
        <w:spacing w:after="0" w:line="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organized into four reportable segments, which are separately managed business units:</w:t>
      </w:r>
    </w:p>
    <w:p>
      <w:pPr>
        <w:spacing w:after="0" w:line="111" w:lineRule="exact"/>
        <w:rPr>
          <w:sz w:val="20"/>
          <w:szCs w:val="20"/>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67"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10%-30%. This segment has admitted licenses and the authority to write excess and surplus lines insurance in 50 states and the District of Columbia;</w:t>
      </w:r>
    </w:p>
    <w:p>
      <w:pPr>
        <w:spacing w:after="0" w:line="67" w:lineRule="exact"/>
        <w:rPr>
          <w:rFonts w:ascii="Times New Roman" w:cs="Times New Roman" w:eastAsia="Times New Roman" w:hAnsi="Times New Roman"/>
          <w:sz w:val="17"/>
          <w:szCs w:val="17"/>
          <w:color w:val="auto"/>
        </w:rPr>
      </w:pPr>
    </w:p>
    <w:p>
      <w:pPr>
        <w:jc w:val="both"/>
        <w:ind w:left="640" w:hanging="316"/>
        <w:spacing w:after="0" w:line="250"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Casualty Reinsurance segment primarily provides proportional and working layer casualty reinsurance to third parties (primarily through reinsurance intermediaries) through JRG Reinsurance Company Ltd. (“JRG Re”). JRG Re has also in the past provided reinsurance to the Company’s U.S.-based insurance subsidiaries through a quota-share reinsurance agreement. Carolina Re Ltd (“Carolina Re”) was formed in 2018 to also provide reinsurance to the Company’s U.S.-based insurance subsidiaries through a quota-share reinsurance agreement, and was also the cedent on an aggregate stop loss reinsurance treaty with JRG Re through December 31, 2021. JRG Re and Carolina Re are both Bermuda-based reinsurance companies. Carolina Re made an irrevocable election to be taxed as a U.S. domestic corporation under Section 953(d) of the Internal Revenue Code of 1986, as amended, effective January 1, 2018.</w:t>
      </w:r>
    </w:p>
    <w:p>
      <w:pPr>
        <w:spacing w:after="0" w:line="8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discuss certain key metrics, described below, which we believe provide useful information about our business and the operational factors underlying our financial performance.</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is a non-GAAP measure commonly used in the property and casualty insurance industry to evaluate underwriting performance.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11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i w:val="1"/>
          <w:iCs w:val="1"/>
          <w:color w:val="auto"/>
        </w:rPr>
        <w:t>Accident year loss ratio</w:t>
      </w:r>
      <w:r>
        <w:rPr>
          <w:rFonts w:ascii="Times New Roman" w:cs="Times New Roman" w:eastAsia="Times New Roman" w:hAnsi="Times New Roman"/>
          <w:sz w:val="18"/>
          <w:szCs w:val="18"/>
          <w:color w:val="auto"/>
        </w:rPr>
        <w:t>, expressed as a percentage, is the ratio of losses and loss adjustment expenses for the current accident year (excluding development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accident year reserves) to net earned premiums.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r>
        <w:rPr>
          <w:rFonts w:ascii="Times New Roman" w:cs="Times New Roman" w:eastAsia="Times New Roman" w:hAnsi="Times New Roman"/>
          <w:sz w:val="18"/>
          <w:szCs w:val="18"/>
          <w:color w:val="auto"/>
        </w:rPr>
        <w:t>, expressed as a percentage, is the ratio of other operating expenses net of gross fee income included in other income to net earned premiums.</w:t>
      </w:r>
    </w:p>
    <w:p>
      <w:pPr>
        <w:spacing w:after="0" w:line="11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a measure of underwriting performance calculated as the sum of the loss ratio and the expense ratio. A combined ratio of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indicates an underwriting profit, while a combined ratio greater than 100% reflects an underwriting loss.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income </w:t>
      </w:r>
      <w:r>
        <w:rPr>
          <w:rFonts w:ascii="Times New Roman" w:cs="Times New Roman" w:eastAsia="Times New Roman" w:hAnsi="Times New Roman"/>
          <w:sz w:val="18"/>
          <w:szCs w:val="18"/>
          <w:color w:val="auto"/>
        </w:rPr>
        <w:t>is an internal performance measure used in the management of our operations. We believe it gives our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of our financial information useful insight into our results of operations and our underlying business performance. Adjusted net operating income is defined as income available to common shareholders excluding net realized and unrealized gains (losses) on investments, and certain non-operating expenses such as professional service fees related to a purported class action lawsuit, various strategic initiatives, and the filing of registration statements for the offering of securities, and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Tangible equity </w:t>
      </w:r>
      <w:r>
        <w:rPr>
          <w:rFonts w:ascii="Times New Roman" w:cs="Times New Roman" w:eastAsia="Times New Roman" w:hAnsi="Times New Roman"/>
          <w:sz w:val="18"/>
          <w:szCs w:val="18"/>
          <w:color w:val="auto"/>
        </w:rPr>
        <w:t>is defined as shareholders' equity plus mezzanine Series A Preferred Shares (as defined below) less goodwill and intangible assets,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7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return on tangible equity </w:t>
      </w:r>
      <w:r>
        <w:rPr>
          <w:rFonts w:ascii="Times New Roman" w:cs="Times New Roman" w:eastAsia="Times New Roman" w:hAnsi="Times New Roman"/>
          <w:sz w:val="18"/>
          <w:szCs w:val="18"/>
          <w:color w:val="auto"/>
        </w:rPr>
        <w:t>is defined as annualized adjusted net operating income expressed as a percentage of the average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equity balances in the respective period.</w:t>
      </w:r>
    </w:p>
    <w:p>
      <w:pPr>
        <w:spacing w:after="0" w:line="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Tangible equity per share </w:t>
      </w:r>
      <w:r>
        <w:rPr>
          <w:rFonts w:ascii="Times New Roman" w:cs="Times New Roman" w:eastAsia="Times New Roman" w:hAnsi="Times New Roman"/>
          <w:sz w:val="18"/>
          <w:szCs w:val="18"/>
          <w:color w:val="auto"/>
        </w:rPr>
        <w:t>represents tangible equity divided by the sum of total common shares outstanding plus the common shares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conversion of the outstanding Series A Preferred Shares into common shares (at the current conversion price).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retention </w:t>
      </w:r>
      <w:r>
        <w:rPr>
          <w:rFonts w:ascii="Times New Roman" w:cs="Times New Roman" w:eastAsia="Times New Roman" w:hAnsi="Times New Roman"/>
          <w:sz w:val="18"/>
          <w:szCs w:val="18"/>
          <w:color w:val="auto"/>
        </w:rPr>
        <w:t>is defined as the ratio of net written premiums to gross written premiums.</w:t>
      </w:r>
    </w:p>
    <w:p>
      <w:pPr>
        <w:spacing w:after="0" w:line="11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Gross investment return </w:t>
      </w:r>
      <w:r>
        <w:rPr>
          <w:rFonts w:ascii="Times New Roman" w:cs="Times New Roman" w:eastAsia="Times New Roman" w:hAnsi="Times New Roman"/>
          <w:sz w:val="18"/>
          <w:szCs w:val="18"/>
          <w:color w:val="auto"/>
        </w:rPr>
        <w:t>is annualized investment income before any deductions for fees and expenses, expressed as a percentage of the average beginning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carrying values of those investments during the period.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2021. There have been no significant changes to any of these policies during the current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a discussion of the impact of the coronavirus (COVID-19) pandemic and related economic conditions on the Company’s results for the year ended December 31, 2021, please see “Part II—Item 7—Management’s Discussion and Analysis of Financial Condition and Results of Operation” in our Annual Report. The Company continues to monitor the impact that the ongoing coronavirus (COVID-19) pandemic may be having on the Company’s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 Including Higher Levels of Inflation and Rising Interest Rates</w:t>
      </w:r>
    </w:p>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Current macroeconomic events including the war in Ukraine and sustained supply chain constraints stemming from the COVID-19 pandemic have led to higher levels of inflation. The Federal Reserve, attempting to gain control of inflation, has implemented a series of federal funds rate increases in 2022 with more expected in the near future. Interest rates, in response, have risen significantly in 2022 and fears of an impending economic slowdown have increased the likelihood of an economic recession, all of which have negatively impacted financial markets. The more immediate impacts to the Company are on our investment portfolio and investing results. Our investment portfolio is primarily comprised of fixed maturity investments (78.4% of total invested assets at June 30, 2022). The fair values of fixed maturities generally move inversely with interest rates, and unrealized losses associated with the declines in fair values are recognized as a component of other comprehensive income, contributing to declines in shareholders' equity and tangible equity. For the six months ended June 30, 2022, other comprehensive loss, representing the after-tax impact of the unrealized losses on fixed maturity investments, was $144.6 million. We are monitoring our portfolio for signs of credit-related impairments, and to date, we have concluded that the declines are primarily market-driven with no allowance for credit losses considered necessary. As turnover has occurred in our portfolio and we invest cash generated from operations, we are benefiting from the higher yields now available on fixed maturities which is reflected in our investment income. Our investment portfolio also contains investments in equity securities and bank loan participations (comprising 4.8% and 7.8% of total invested assets at June 30, 2022, respectively) that are carried on our Balance Sheets at fair value. The fair values of these investments, the changes in which are recognized as unrealized gains and losses in our Statements of Income (Loss) and Comprehensive (Loss) Income, have been negatively impacted by the ongoing macroeconomic events and associated declines in financial markets. Net realized and unrealized (losses) gains on investments for the six months ended June 30, 2022 include unrealized losses of $11.0 million and $11.8 million, respectively, for the changes in fair values of equity securities and bank loan participations. The rising interest rates have also increased interest expense on our outstanding variable rate senior and trust preferred debt. The applicable rates on our debt reset quarterly and are structured as LIBOR plus a margin or spread.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A Preferred Shares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closed on the issuance and sale of 150,000 7% Series A Perpetual Cumulative Convertible Preferred Shares, par value $0.00125 per share (the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$1,000 liquidation preference per share (the “Liquidation Preference”) per annum, which may be paid in cash, in-kind in common shares or in Series A Preferred Shares, at the Company’s election. Dividends declared and paid on the Series A Preferred Shares in the six months ended June 30, 2022 (which represent the dividends from March 1, 2022, the date of issuance of the Series A Preferred Shares, through June 30, 2022) were $3.5 million. Please see “Part I—Item 1—Note 12. Series A Preferred Shares” in the Notes to our Condensed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 Retrocession Agreement</w:t>
      </w:r>
    </w:p>
    <w:p>
      <w:pPr>
        <w:spacing w:after="0" w:line="115"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For the six months ended June 30, 2022, Funds Withheld Account crediting fees of $1.3 million are included in interest expense in our Statements of Income (Loss) and Comprehensive (Loss) Income.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tcPr>
          <w:p>
            <w:pPr>
              <w:spacing w:after="0"/>
              <w:rPr>
                <w:sz w:val="13"/>
                <w:szCs w:val="13"/>
                <w:color w:val="auto"/>
              </w:rPr>
            </w:pPr>
          </w:p>
        </w:tc>
        <w:tc>
          <w:tcPr>
            <w:tcW w:w="25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gridSpan w:val="2"/>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380,146</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5.1 %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759,650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753,401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retention</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48.7 %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50.9 %</w:t>
            </w:r>
          </w:p>
        </w:tc>
        <w:tc>
          <w:tcPr>
            <w:tcW w:w="1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48.9 %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194,691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193,604</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0.6 %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370,550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368,203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7.8 %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12.8 %</w:t>
            </w:r>
          </w:p>
        </w:tc>
        <w:tc>
          <w:tcPr>
            <w:tcW w:w="0" w:type="dxa"/>
            <w:vAlign w:val="bottom"/>
          </w:tcPr>
          <w:p>
            <w:pPr>
              <w:spacing w:after="0" w:line="20" w:lineRule="exact"/>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186,262</w:t>
            </w:r>
          </w:p>
        </w:tc>
        <w:tc>
          <w:tcPr>
            <w:tcW w:w="12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172,705</w:t>
            </w:r>
          </w:p>
        </w:tc>
        <w:tc>
          <w:tcPr>
            <w:tcW w:w="126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376,086</w:t>
            </w:r>
          </w:p>
        </w:tc>
        <w:tc>
          <w:tcPr>
            <w:tcW w:w="100" w:type="dxa"/>
            <w:vAlign w:val="bottom"/>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333,298</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(121,369)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10.3 %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(256,977)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(383,500)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(48,136)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(44,886)</w:t>
            </w:r>
          </w:p>
        </w:tc>
        <w:tc>
          <w:tcPr>
            <w:tcW w:w="1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7.2 %</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(97,397)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(91,340)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6.6 %</w:t>
            </w: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 (2)</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17,819</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(6.0)%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(141,542)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14,348</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2.5 %</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29,437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realized and unrealized (losses) gains</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investments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3,483</w:t>
            </w:r>
          </w:p>
        </w:tc>
        <w:tc>
          <w:tcPr>
            <w:tcW w:w="126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9,755</w:t>
            </w:r>
          </w:p>
        </w:tc>
        <w:tc>
          <w:tcPr>
            <w:tcW w:w="12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(827)</w:t>
            </w: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(81.3)%</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(2,249)</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80.0 %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42.0 %</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 %</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32,483</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(68.4)%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(108,346)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11,640</w:t>
            </w:r>
          </w:p>
        </w:tc>
        <w:tc>
          <w:tcPr>
            <w:tcW w:w="1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(77.7)%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7,664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20,843</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(63.2)%</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(82,617)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52"/>
        </w:trPr>
        <w:tc>
          <w:tcPr>
            <w:tcW w:w="31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income (loss) available to common</w:t>
            </w: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20,843</w:t>
            </w: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(75.8)%</w:t>
            </w: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(82,617)</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xml:space="preserve">Adjusted net operating income (loss) </w:t>
            </w:r>
            <w:r>
              <w:rPr>
                <w:rFonts w:ascii="Times New Roman" w:cs="Times New Roman" w:eastAsia="Times New Roman" w:hAnsi="Times New Roman"/>
                <w:sz w:val="14"/>
                <w:szCs w:val="14"/>
                <w:color w:val="auto"/>
              </w:rPr>
              <w:t>(1)</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20,025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18,829</w:t>
            </w:r>
          </w:p>
        </w:tc>
        <w:tc>
          <w:tcPr>
            <w:tcW w:w="1260" w:type="dxa"/>
            <w:vAlign w:val="bottom"/>
          </w:tcPr>
          <w:p>
            <w:pPr>
              <w:jc w:val="right"/>
              <w:ind w:right="34"/>
              <w:spacing w:after="0" w:line="198" w:lineRule="exact"/>
              <w:rPr>
                <w:sz w:val="20"/>
                <w:szCs w:val="20"/>
                <w:color w:val="auto"/>
              </w:rPr>
            </w:pPr>
            <w:r>
              <w:rPr>
                <w:rFonts w:ascii="Times New Roman" w:cs="Times New Roman" w:eastAsia="Times New Roman" w:hAnsi="Times New Roman"/>
                <w:sz w:val="18"/>
                <w:szCs w:val="18"/>
                <w:i w:val="1"/>
                <w:iCs w:val="1"/>
                <w:color w:val="auto"/>
              </w:rPr>
              <w:t>6.4 %</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33,892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(89,966)</w:t>
            </w:r>
          </w:p>
        </w:tc>
        <w:tc>
          <w:tcPr>
            <w:tcW w:w="120" w:type="dxa"/>
            <w:vAlign w:val="bottom"/>
          </w:tcPr>
          <w:p>
            <w:pPr>
              <w:spacing w:after="0"/>
              <w:rPr>
                <w:sz w:val="17"/>
                <w:szCs w:val="17"/>
                <w:color w:val="auto"/>
              </w:rPr>
            </w:pPr>
          </w:p>
        </w:tc>
        <w:tc>
          <w:tcPr>
            <w:tcW w:w="1040" w:type="dxa"/>
            <w:vAlign w:val="bottom"/>
          </w:tcPr>
          <w:p>
            <w:pPr>
              <w:jc w:val="right"/>
              <w:ind w:right="133"/>
              <w:spacing w:after="0" w:line="198"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and adjusted net operating income (loss) are non-GAAP measures.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140" w:hanging="316"/>
        <w:spacing w:after="0" w:line="276" w:lineRule="auto"/>
        <w:tabs>
          <w:tab w:leader="none" w:pos="63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underwriting results for the three and six months ended June 30, 2022 is gross fee income of $5.9 million and $11.4 million, respectively ($5.4 million and $10.6 million in the respective prior year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produced an underwriting profit of $16.8 million and a combined ratio of 91.0% for the three months ended June 30, 2022 compared to an underwriting profit of $17.8 million and a combined ratio of 89.7% for the same period in the prior year.</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continue to see attractive market conditions for our Excess and Surplus Lines segment, enabling us to grow written and earned premiums. Net earned premiums for the Excess and Surplus Lines segment increased $19.9 million or 16.9% over the prior year. This was partially offset by a $5.9 million decrease in net earned premiums for the Casualty Reinsurance segment reflecting the ceded earned premiums under the Retrocession Agreement in the current year and our current strategic focus on downsizing of this business. Our loss ratio was 1.5 points higher compared to the prior year primarily driven by lower favorable development on prior accident years. The loss ratios for the three months ended June 30, 2022 and 2021 include $1.6 million, or 0.8 percentage points, and $3.5 million, or 2.0 percentage points, of net favorable reserve development on prior accident years, respectively.</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Our net income decreased from the prior year driven by the lower underwriting profit, the unfavorable swing in net realized and unrealized gains and losses on investments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xml:space="preserve"> below), and higher interest expense, partially offset by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lower effective tax rate in the current quarter due to improved Bermuda operating results. Interest expense for the three months ended June 30, 2022 includes $1.3 million of crediting fees on the Funds Withheld Account balance under the Retrocession Agreement. The impact of rising interest rates on our variable rate senior and trust preferred debt also contributed to the higher current year interest expense. Net income available to common shareholders for the three months ended June 30, 2022 reflects the $2.6 million of current quarter dividends on the Series A Preferred Shares.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Adjusted net operating income, which excludes net realized and unrealized gains and losses on investments and certain non-operating expenses, increased from $18.8 million in the three months ended June 30, 2021 to $20.0 million in the three months ended June 30, 2022. Tangible equity and tangible equity per share both declined by 9.3% in the current quarter mainly due to the impact of rising interest rates, which led to unrealized losses on our fixed maturity investments in other comprehensive income. The unrealized losses are discussed further in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xml:space="preserve"> below. Our 14.6% adjusted net operating return on tangible equity for the three months ended June 30, 2022 was slightly above the 14.2% return for the three months ended June 30,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produced an underwriting profit of $21.7 million and a combined ratio of 94.2% for the six months ended June 30, 2022 compared to an underwriting loss of $141.5 million and a combined ratio of 142.5% for the same period in the prior year.</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Consistent with the discussion of the three months above, attractive market conditions, particularly in our Excess and Surplus Lines segment, have allowed us to grow both written and earned premiums year-to-date. The Excess and Surplus Lines segment is our largest segment, comprising 62.0% of consolidated gross written premiums and 71.6% of consolidated net earned premiums year-to-date. Net earned premiums for the Excess and Surplus Lines segment increased $37.5 million or 16.2% over the prior year. Net earned premiums for our Specialty Admitted Insurance and Casualty Reinsurance segments also increased by $2.5 million and $2.7 million over the prior year, respectively. The higher net earned premiums helped produce a lower expense ratio in the six months ended June 30, 2022 as we saw growth in lines with meaningful ceding commissions and general and administrative expenses did not increase proportionately with the increase in earned premiums. Our expense ratio also benefited from 8.2% growth in fee income for our Specialty Admitted Insurance segment.</w:t>
      </w:r>
    </w:p>
    <w:p>
      <w:pPr>
        <w:spacing w:after="0" w:line="8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loss ratio for the six months ended June 30, 2022 includes $5.2 million, or 1.4 percentage points, of net adverse reserve development on prior accident years. As outlined in the </w:t>
      </w:r>
      <w:r>
        <w:rPr>
          <w:rFonts w:ascii="Times New Roman" w:cs="Times New Roman" w:eastAsia="Times New Roman" w:hAnsi="Times New Roman"/>
          <w:sz w:val="18"/>
          <w:szCs w:val="18"/>
          <w:i w:val="1"/>
          <w:iCs w:val="1"/>
          <w:color w:val="auto"/>
        </w:rPr>
        <w:t>“Strategic Actions”</w:t>
      </w:r>
      <w:r>
        <w:rPr>
          <w:rFonts w:ascii="Times New Roman" w:cs="Times New Roman" w:eastAsia="Times New Roman" w:hAnsi="Times New Roman"/>
          <w:sz w:val="18"/>
          <w:szCs w:val="18"/>
          <w:color w:val="auto"/>
        </w:rPr>
        <w:t xml:space="preserve"> above, on February 23, 2022, JRG Re entered into the Retrocession Agreement to reinsure the majority of the Casualty Reinsurance segment's reserves. The Casualty Reinsurance segment incurred losses of $11.5 million associated with the Retrocession Agreement, including $6.8 million of net adverse reserve development on prior accident years and $4.7 million of current accident year losses, and representing 3.1 points of our loss ratio for the six months ended June 30, 2022. The loss ratio for the six months ended June 30, 2021 included $166.7 million (50.0 percentage points) of net adverse reserve development on prior accident years, including $161.2 million of net adverse development from the Excess and Surplus Lines segment almost entirely related to a previously canceled commercial auto account (see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below for further discussion). The higher current accident year loss ratio (66.9% compared to 65.1% for the six months ended June 30, 2021) largely reflects current actuarial indications and higher loss trends in our Specialty Admitted Insurance segment and the $4.7 million of current accident year losses in the Casualty Reinsurance segment associated with the Retrocession Agreement.</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Our net income increased over the prior year due to the improved underwriting results, partially offset by the unfavorable swing in net realized and unrealized gains and losses on investments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and higher interest expense. Interest expense for the six months ended June 30, 2022 includes $1.3 million of crediting fees on the Funds Withheld Account balance under the Retrocession Agreement. The impact of rising interest rates on our variable rate senior and trust preferred debt also contributed to the higher current year interest expense. Net income available to common shareholders for the six months ended June 30, 2022 reflects the $3.5 million of current year dividends on the Series A Preferred Shares issued March 1, 2022.</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Adjusted net operating income (loss), which excludes net realized and unrealized gains and losses on investments and certain non-operating expenses, improved from a $90.0 million loss in the six months ended June 30, 2021 to income of $33.9 million in the six months ended June 30, 2022. Tangible equity has increased by 2.8% year-to-date as net income and proceeds from the Series A Preferred Share issuance were largely offset by unrealized losses on our fixed maturity investments in other comprehensive income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xml:space="preserve"> below). Tangible equity per share has decreased by 10.9% year-to-date reflecting the slight increase in tangible equity over a larger share count including an assumed conversion of the Series A Preferred Shares. Our year-to-date adjusted net operating return on tangible equity of 12.7% compares favorably to the prior year loss of 33.6% and reflects the turnaround in underwriting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 in premium volume by component and business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tcPr>
          <w:p>
            <w:pPr>
              <w:spacing w:after="0"/>
              <w:rPr>
                <w:sz w:val="13"/>
                <w:szCs w:val="13"/>
                <w:color w:val="auto"/>
              </w:rPr>
            </w:pPr>
          </w:p>
        </w:tc>
        <w:tc>
          <w:tcPr>
            <w:tcW w:w="23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gridSpan w:val="2"/>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470,917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19.1 %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(78.0)%</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(62.6)%</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380,146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22.8 %</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(11.3)%</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(72.1)%</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(50.4)%</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0.6 %</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0.6 %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269,185</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(16.4)%</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333,298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12.8 %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62.0% of our consolidated gross written premiums in the six months ended June 30, 2022) increased 24.6% and 19.1% from the corresponding three and six month periods in the prior year. Total policy submissions for Core E&amp;S lines (excluding commercial auto) declined 3.8% from the prior year, but renewal submissions increased 18.3% and our ratio of bound policies to quoted policies improved generating 3.4% more bound policies in the six months ended June 30, 2022 than in the six months ended June 30, 2021. The total number of policies in force for the segment increased 11.8% over the prior year. Renewal rates for the Excess and Surplus Lines segment were up 11.6% compared to the six months ended June 30, 2021. The change in gross written premiums compared to the same period in 2021 was notable in several divisions as shown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34.3 %</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11.3 %</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Core E&amp;S divisions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12.5 %</w:t>
            </w:r>
          </w:p>
        </w:tc>
        <w:tc>
          <w:tcPr>
            <w:tcW w:w="0" w:type="dxa"/>
            <w:vAlign w:val="bottom"/>
          </w:tcPr>
          <w:p>
            <w:pPr>
              <w:spacing w:after="0"/>
              <w:rPr>
                <w:sz w:val="1"/>
                <w:szCs w:val="1"/>
                <w:color w:val="auto"/>
              </w:rPr>
            </w:pPr>
          </w:p>
        </w:tc>
      </w:tr>
      <w:tr>
        <w:trPr>
          <w:trHeight w:val="21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E&amp;S divisions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18.1 %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52.2 %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c>
          <w:tcPr>
            <w:tcW w:w="0" w:type="dxa"/>
            <w:vAlign w:val="bottom"/>
          </w:tcPr>
          <w:p>
            <w:pPr>
              <w:spacing w:after="0"/>
              <w:rPr>
                <w:sz w:val="1"/>
                <w:szCs w:val="1"/>
                <w:color w:val="auto"/>
              </w:rPr>
            </w:pPr>
          </w:p>
        </w:tc>
      </w:tr>
      <w:tr>
        <w:trPr>
          <w:trHeight w:val="152"/>
        </w:trPr>
        <w:tc>
          <w:tcPr>
            <w:tcW w:w="3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Excess and Surplus Lines gross written</w:t>
            </w:r>
          </w:p>
        </w:tc>
        <w:tc>
          <w:tcPr>
            <w:tcW w:w="3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266,635</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214,014</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5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470,917</w:t>
            </w:r>
          </w:p>
        </w:tc>
        <w:tc>
          <w:tcPr>
            <w:tcW w:w="100" w:type="dxa"/>
            <w:vAlign w:val="bottom"/>
          </w:tcPr>
          <w:p>
            <w:pPr>
              <w:spacing w:after="0"/>
              <w:rPr>
                <w:sz w:val="13"/>
                <w:szCs w:val="13"/>
                <w:color w:val="auto"/>
              </w:rPr>
            </w:pPr>
          </w:p>
        </w:tc>
        <w:tc>
          <w:tcPr>
            <w:tcW w:w="36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395,372</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19.1 %</w:t>
            </w:r>
          </w:p>
        </w:tc>
        <w:tc>
          <w:tcPr>
            <w:tcW w:w="0" w:type="dxa"/>
            <w:vAlign w:val="bottom"/>
          </w:tcPr>
          <w:p>
            <w:pPr>
              <w:spacing w:after="0"/>
              <w:rPr>
                <w:sz w:val="1"/>
                <w:szCs w:val="1"/>
                <w:color w:val="auto"/>
              </w:rPr>
            </w:pPr>
          </w:p>
        </w:tc>
      </w:tr>
      <w:tr>
        <w:trPr>
          <w:trHeight w:val="21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33.0% of our consolidated gross written premiums for the six months ended June 30, 2022)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Individual risk workers’ compensation</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180" w:type="dxa"/>
            <w:vAlign w:val="bottom"/>
            <w:vMerge w:val="continue"/>
            <w:shd w:val="clear" w:color="auto" w:fill="CCEEFF"/>
          </w:tcPr>
          <w:p>
            <w:pPr>
              <w:spacing w:after="0"/>
              <w:rPr>
                <w:sz w:val="20"/>
                <w:szCs w:val="20"/>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27,489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113,097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114,939</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223,188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225,789</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124,967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58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250,677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declines in individual risk workers' compensation premium for the comparable three and six month periods are reflective of the difficult market conditions currently present for workers' compensation. Our fronting written premium declined slightly from the prior year due to the loss of one relationship resulting from merger and acquisition activity at a general agent and a decline in written premium for our largest fronting relationship. Absent these two relationships, our fronting written premium increased by $11.3 million or 15.0% and $28.8 million or 20.6% for the three and six months ended June 30, 2022, respectively, driven by continued growth in newer fronting relationships. Gross written premium for our largest fronting relationship declined from $30.3 million and $64.3 million for the three and six months ended June 30, 2021, respectively, to $26.6 million and $54.8 million for the three and six months ended June 30, 2022, respectively, reflecting a very competitive market for workers' compensation in California. Our largest fronting relationship represented 21.9% of the segment's gross written premium in the six months ended June 30, 2022 down from 25.1% in the six months ended June 30, 2021.</w:t>
      </w:r>
    </w:p>
    <w:p>
      <w:pPr>
        <w:spacing w:after="0" w:line="69"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Gross written premiums for the Casualty Reinsurance segment (which represents 5.0% of our consolidated gross written premiums in the first six months of 2022) decreased 78.0% and 62.6% from the corresponding three and six month periods in the prior year, respectively. The decreases primarily reflect our current strategic focus on downsizing the Casualty Reinsurance third party book, which has resulted in the nonrenewal of several treaties in the current year and lower participations on certain renewing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net premium retention is summarized by segment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22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1"/>
        </w:trPr>
        <w:tc>
          <w:tcPr>
            <w:tcW w:w="48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r>
      <w:tr>
        <w:trPr>
          <w:trHeight w:val="23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bl>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premium retention for the Excess and Surplus Lines segment was relatively stable for the comparable three and six month periods. The segment's Excess Casualty division, which comprises approximately one-third of gross written premiums in the six months ended June 30, 2022 and 2021, cedes over 85% of written premiums under a reinsurance treaty and changes in growth rates of this division can impact comparable premium retention ratios for the segment.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net premium retention for the Specialty Admitted Insurance segment decreased for the three and six months ended June 30, 2022 as compared to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 periods primarily due to a lower retention in the fronting business reflecting the mix of business and changes in reinsurance coverage as treaties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 The net retention on the segment’s fronting business was 13.2% and 13.6% for the three and six months ended June 30, 2022, respectively, compared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15.3% and 15.5% for the three and six months ended June 30, 2021, respectively. The net retention on the individual risk workers’ compensation business was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29.2% and 30.0% for the three and six months ended June 30, 2022, respectively, compared to 27.7% for both the three and six months ended June 30, 2021.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renewal of the workers' compensation quota share treaty on January 1, 2022 resulted in a higher retention for this business.</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Casualty Reinsurance segment previously wrote a retrocessional treaty/fronting arrangement under which 100% of the premiums were ceded. The treaty was nonrenewed for 2022 and net retentions above 100% in the current year reflect adjustments to prior year assumed and ceded written premiums on the treaty.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combined ratios by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2"/>
        </w:trPr>
        <w:tc>
          <w:tcPr>
            <w:tcW w:w="4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153.5 %</w:t>
            </w:r>
          </w:p>
        </w:tc>
      </w:tr>
      <w:tr>
        <w:trPr>
          <w:trHeight w:val="225"/>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r>
      <w:tr>
        <w:trPr>
          <w:trHeight w:val="22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107.4 %</w:t>
            </w:r>
          </w:p>
        </w:tc>
      </w:tr>
      <w:tr>
        <w:trPr>
          <w:trHeight w:val="231"/>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142.5 %</w:t>
            </w:r>
          </w:p>
        </w:tc>
      </w:tr>
      <w:tr>
        <w:trPr>
          <w:trHeight w:val="936"/>
        </w:trPr>
        <w:tc>
          <w:tcPr>
            <w:tcW w:w="58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266,635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214,014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24.6 %</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470,917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395,372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19.1 %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166,004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135,163</w:t>
            </w:r>
          </w:p>
        </w:tc>
        <w:tc>
          <w:tcPr>
            <w:tcW w:w="1260" w:type="dxa"/>
            <w:vAlign w:val="bottom"/>
          </w:tcPr>
          <w:p>
            <w:pPr>
              <w:jc w:val="right"/>
              <w:ind w:right="38"/>
              <w:spacing w:after="0" w:line="198" w:lineRule="exact"/>
              <w:rPr>
                <w:sz w:val="20"/>
                <w:szCs w:val="20"/>
                <w:color w:val="auto"/>
              </w:rPr>
            </w:pPr>
            <w:r>
              <w:rPr>
                <w:rFonts w:ascii="Times New Roman" w:cs="Times New Roman" w:eastAsia="Times New Roman" w:hAnsi="Times New Roman"/>
                <w:sz w:val="18"/>
                <w:szCs w:val="18"/>
                <w:i w:val="1"/>
                <w:iCs w:val="1"/>
                <w:color w:val="auto"/>
              </w:rPr>
              <w:t>22.8 %</w:t>
            </w:r>
          </w:p>
        </w:tc>
        <w:tc>
          <w:tcPr>
            <w:tcW w:w="460" w:type="dxa"/>
            <w:vAlign w:val="bottom"/>
            <w:tcBorders>
              <w:bottom w:val="single" w:sz="8" w:color="auto"/>
            </w:tcBorders>
          </w:tcPr>
          <w:p>
            <w:pPr>
              <w:jc w:val="right"/>
              <w:ind w:right="2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291,714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243,596</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19.8 %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137,884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117,945</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16.9 %</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269,185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231,653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(89,184)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(69,594)</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28.1 %</w:t>
            </w:r>
          </w:p>
        </w:tc>
        <w:tc>
          <w:tcPr>
            <w:tcW w:w="460" w:type="dxa"/>
            <w:vAlign w:val="bottom"/>
          </w:tcPr>
          <w:p>
            <w:pPr>
              <w:spacing w:after="0"/>
              <w:rPr>
                <w:sz w:val="19"/>
                <w:szCs w:val="19"/>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(174,109)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6"/>
              </w:rPr>
              <w:t>(311,336)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(44.1)%</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(26,366)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(21,434)</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23.0 %</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(51,285)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(44,346)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i w:val="1"/>
                <w:iCs w:val="1"/>
                <w:color w:val="auto"/>
              </w:rPr>
              <w:t>(1)</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22,334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26,917</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(17.0)%</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43,791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96"/>
              </w:rPr>
              <w:t>(124,029)</w:t>
            </w: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64.7 %</w:t>
            </w:r>
          </w:p>
        </w:tc>
        <w:tc>
          <w:tcPr>
            <w:tcW w:w="20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59.0 %</w:t>
            </w:r>
          </w:p>
        </w:tc>
        <w:tc>
          <w:tcPr>
            <w:tcW w:w="2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64.7 %</w:t>
            </w:r>
          </w:p>
        </w:tc>
        <w:tc>
          <w:tcPr>
            <w:tcW w:w="220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134.4 %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0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19.1 %</w:t>
            </w:r>
          </w:p>
        </w:tc>
        <w:tc>
          <w:tcPr>
            <w:tcW w:w="20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18.2 %</w:t>
            </w:r>
          </w:p>
        </w:tc>
        <w:tc>
          <w:tcPr>
            <w:tcW w:w="20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19.0 %</w:t>
            </w:r>
          </w:p>
        </w:tc>
        <w:tc>
          <w:tcPr>
            <w:tcW w:w="220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19.1 %</w:t>
            </w:r>
          </w:p>
        </w:tc>
      </w:tr>
      <w:tr>
        <w:trPr>
          <w:trHeight w:val="225"/>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83.8 %</w:t>
            </w:r>
          </w:p>
        </w:tc>
        <w:tc>
          <w:tcPr>
            <w:tcW w:w="20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77.2 %</w:t>
            </w:r>
          </w:p>
        </w:tc>
        <w:tc>
          <w:tcPr>
            <w:tcW w:w="2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83.7 %</w:t>
            </w:r>
          </w:p>
        </w:tc>
        <w:tc>
          <w:tcPr>
            <w:tcW w:w="220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153.5 %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0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64.7 %</w:t>
            </w:r>
          </w:p>
        </w:tc>
        <w:tc>
          <w:tcPr>
            <w:tcW w:w="20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65.3 %</w:t>
            </w:r>
          </w:p>
        </w:tc>
        <w:tc>
          <w:tcPr>
            <w:tcW w:w="20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64.7 %</w:t>
            </w:r>
          </w:p>
        </w:tc>
        <w:tc>
          <w:tcPr>
            <w:tcW w:w="220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64.8 %</w:t>
            </w:r>
          </w:p>
        </w:tc>
      </w:tr>
    </w:tbl>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(1) Underwriting Profit (Loss) is a non-GAAP Measure. See “Reconciliation of Non-GAAP Measures.”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and Surplus Lines segment produced underwriting profits of $22.3 million and $26.9 million (combined ratios of 83.8% and 77.2%) in the three months ended June 30, 2022 and 2021, respectively. A higher loss ratio of 64.7% for the three months ended June 30, 2022 compared to 59.0% in the prior year was primarily due to lower net favorable reserve development in our loss estimates for prior accident years ($32,000 in the three months ended June 30, 2022 compared to $7.5 million or 6.3 percentage points in the prior year).</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six months ended June 30, 2022, the segment produced an underwriting profit of $43.8 million and a combined ratio of 83.7%. This compares to an underwriting loss of $124.0 million and a combined ratio of 153.5% for the six months ended June 30, 2021. The loss ratio of 64.7% for the six months ended June 30, 2022 includes $91,000 of net favorable reserve development in our loss estimates for prior accident years. The loss ratio of 134.4% for the six months ended June 30, 2021 includes $161.2 million of net adverse reserve development (69.6 percentage points) in our loss estimates for prior accident years, including $170.0 million of net adverse reserve development on our commercial auto business that was almost entirely related to a previously canceled account that has been in runoff since 2019. The reported losses on this terminated commercial auto account meaningfully exceeded our expectations in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w:t>
      </w:r>
    </w:p>
    <w:p>
      <w:pPr>
        <w:spacing w:after="0" w:line="81" w:lineRule="exact"/>
        <w:rPr>
          <w:sz w:val="20"/>
          <w:szCs w:val="20"/>
          <w:color w:val="auto"/>
        </w:rPr>
      </w:pPr>
    </w:p>
    <w:p>
      <w:pPr>
        <w:jc w:val="both"/>
        <w:ind w:firstLine="358"/>
        <w:spacing w:after="0" w:line="269" w:lineRule="auto"/>
        <w:rPr>
          <w:sz w:val="20"/>
          <w:szCs w:val="20"/>
          <w:color w:val="auto"/>
        </w:rPr>
      </w:pPr>
      <w:r>
        <w:rPr>
          <w:rFonts w:ascii="Times New Roman" w:cs="Times New Roman" w:eastAsia="Times New Roman" w:hAnsi="Times New Roman"/>
          <w:sz w:val="17"/>
          <w:szCs w:val="17"/>
          <w:color w:val="auto"/>
        </w:rPr>
        <w:t>On September 27, 2021, James River Insurance Company and James River Casualty Company (together, “James River”) entered into a loss portfolio transfer agreement (the “LPT Agreement”)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subject to certain exclusions.</w:t>
      </w:r>
    </w:p>
    <w:p>
      <w:pPr>
        <w:spacing w:after="0" w:line="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Attractive market conditions for our Excess and Surplus Lines segment have enabled us to grow written and earned premiums. Net earned premiums of the Excess and Surplus Lines segment were up 16.9% and 16.2% over the corresponding three and six month periods in the prior year, respectively, including growth in lines that have meaningful ceding commissions. The expense ratios for the Excess and Surplus Lines segment were 19.1% and 19.0% for the three and six months ended June 30, 2022, respectively, compared to 18.2% and 19.1%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124,967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129,189</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(3.3)%</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250,677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256,225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18,390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21,498</w:t>
            </w:r>
          </w:p>
        </w:tc>
        <w:tc>
          <w:tcPr>
            <w:tcW w:w="1260" w:type="dxa"/>
            <w:vAlign w:val="bottom"/>
          </w:tcPr>
          <w:p>
            <w:pPr>
              <w:jc w:val="right"/>
              <w:ind w:right="38"/>
              <w:spacing w:after="0" w:line="198" w:lineRule="exact"/>
              <w:rPr>
                <w:sz w:val="20"/>
                <w:szCs w:val="20"/>
                <w:color w:val="auto"/>
              </w:rPr>
            </w:pPr>
            <w:r>
              <w:rPr>
                <w:rFonts w:ascii="Times New Roman" w:cs="Times New Roman" w:eastAsia="Times New Roman" w:hAnsi="Times New Roman"/>
                <w:sz w:val="18"/>
                <w:szCs w:val="18"/>
                <w:i w:val="1"/>
                <w:iCs w:val="1"/>
                <w:color w:val="auto"/>
              </w:rPr>
              <w:t>(14.5)%</w:t>
            </w:r>
          </w:p>
        </w:tc>
        <w:tc>
          <w:tcPr>
            <w:tcW w:w="480" w:type="dxa"/>
            <w:vAlign w:val="bottom"/>
            <w:tcBorders>
              <w:bottom w:val="single" w:sz="8" w:color="auto"/>
            </w:tcBorders>
          </w:tcPr>
          <w:p>
            <w:pPr>
              <w:jc w:val="right"/>
              <w:ind w:right="2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38,595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43,503</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(11.3)%</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18,595</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(2.4)%</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37,459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34,952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(13,217)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(13,366)</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(1.1)%</w:t>
            </w:r>
          </w:p>
        </w:tc>
        <w:tc>
          <w:tcPr>
            <w:tcW w:w="480" w:type="dxa"/>
            <w:vAlign w:val="bottom"/>
          </w:tcPr>
          <w:p>
            <w:pPr>
              <w:spacing w:after="0"/>
              <w:rPr>
                <w:sz w:val="19"/>
                <w:szCs w:val="19"/>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(28,652)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(24,108)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18.8 %</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(3,091)</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18.8 %</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(7,440)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1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i w:val="1"/>
                <w:iCs w:val="1"/>
                <w:color w:val="auto"/>
              </w:rPr>
              <w:t>(1), (2)</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2,138</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(41.4)%</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3,404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72.9 %</w:t>
            </w:r>
          </w:p>
        </w:tc>
        <w:tc>
          <w:tcPr>
            <w:tcW w:w="20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71.9 %</w:t>
            </w:r>
          </w:p>
        </w:tc>
        <w:tc>
          <w:tcPr>
            <w:tcW w:w="2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76.5 %</w:t>
            </w:r>
          </w:p>
        </w:tc>
        <w:tc>
          <w:tcPr>
            <w:tcW w:w="21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69.0 %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0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20.2 %</w:t>
            </w:r>
          </w:p>
        </w:tc>
        <w:tc>
          <w:tcPr>
            <w:tcW w:w="20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16.6 %</w:t>
            </w:r>
          </w:p>
        </w:tc>
        <w:tc>
          <w:tcPr>
            <w:tcW w:w="20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19.6 %</w:t>
            </w:r>
          </w:p>
        </w:tc>
        <w:tc>
          <w:tcPr>
            <w:tcW w:w="21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21.3 %</w:t>
            </w:r>
          </w:p>
        </w:tc>
      </w:tr>
      <w:tr>
        <w:trPr>
          <w:trHeight w:val="225"/>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93.1 %</w:t>
            </w:r>
          </w:p>
        </w:tc>
        <w:tc>
          <w:tcPr>
            <w:tcW w:w="20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88.5 %</w:t>
            </w:r>
          </w:p>
        </w:tc>
        <w:tc>
          <w:tcPr>
            <w:tcW w:w="2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96.1 %</w:t>
            </w:r>
          </w:p>
        </w:tc>
        <w:tc>
          <w:tcPr>
            <w:tcW w:w="21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90.3 %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0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81.4 %</w:t>
            </w:r>
          </w:p>
        </w:tc>
        <w:tc>
          <w:tcPr>
            <w:tcW w:w="20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77.3 %</w:t>
            </w:r>
          </w:p>
        </w:tc>
        <w:tc>
          <w:tcPr>
            <w:tcW w:w="20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80.4 %</w:t>
            </w:r>
          </w:p>
        </w:tc>
        <w:tc>
          <w:tcPr>
            <w:tcW w:w="21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74.7 %</w:t>
            </w:r>
          </w:p>
        </w:tc>
      </w:tr>
    </w:tbl>
    <w:p>
      <w:pPr>
        <w:spacing w:after="0" w:line="178"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120" w:hanging="316"/>
        <w:spacing w:after="0" w:line="276" w:lineRule="auto"/>
        <w:tabs>
          <w:tab w:leader="none" w:pos="63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$5.9 million and $11.4 million for the three and six months ended June 30, 2022, respectively ($5.4 million and $10.6 million in the respective prior year periods).</w:t>
      </w:r>
    </w:p>
    <w:p>
      <w:pPr>
        <w:spacing w:after="0" w:line="5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Specialty Admitted Insurance segment generated underwriting profits of $1.3 million and $2.1 million (combined ratios of 93.1% and 88.5%) in the three months ended June 30, 2022 and 2021, respectively. The loss ratios of 72.9% and 71.9% include $1.5 million and $1.0 million (8.5 and 5.4 percentage points), respectively, of net favorable development in our loss estimates for prior accident years. The impact of the higher net favorable development in the current year was offset by a higher current accident year loss ratio (81.4% compared to 77.3% in the prior year) which reflects current actuarial indications and higher loss trends in the business.</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and 2021, the segment produced underwriting profits of $1.5 million and $3.4 million (combined ratios of 96.1% and 90.3%), respectively. The loss ratios of 76.5% and 69.0% include $1.5 million and $2.0 million (4.0 and 5.7 percentage points), respectively, of net favorable development in our loss estimates for prior accident years reflecting lower loss emergence in the workers’ compensation book compared to expectations. The higher current accident year loss ratio (80.4% compared to 74.7% in the prior year) was the biggest driver of the higher overall loss ratio, and consistent with the three months ended June 30, 2022, reflects current actuarial indications and higher loss trends in the business. The expense ratio of 19.6% for the six months ended June 30, 2022 improved from the prior year ratio of 21.3%, driven by the growth in net earned premiums and higher fee income, which increased 8.2% over the six months ended June 30, 2021 due to the growth in our fronting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Reinsurance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Casualty Reinsurance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36,943</w:t>
            </w:r>
          </w:p>
        </w:tc>
        <w:tc>
          <w:tcPr>
            <w:tcW w:w="1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(78.0)%</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38,056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101,804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(62.6)%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10,297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36,943</w:t>
            </w:r>
          </w:p>
        </w:tc>
        <w:tc>
          <w:tcPr>
            <w:tcW w:w="126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i w:val="1"/>
                <w:iCs w:val="1"/>
                <w:color w:val="auto"/>
              </w:rPr>
              <w:t>(72.1)%</w:t>
            </w:r>
          </w:p>
        </w:tc>
        <w:tc>
          <w:tcPr>
            <w:tcW w:w="500" w:type="dxa"/>
            <w:vAlign w:val="bottom"/>
            <w:tcBorders>
              <w:bottom w:val="single" w:sz="8" w:color="auto"/>
            </w:tcBorders>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40,241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81,104</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(50.4)%</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30,237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36,165</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(16.4)%</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69,442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66,693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(18,968)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(27,040)</w:t>
            </w: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(29.9)%</w:t>
            </w:r>
          </w:p>
        </w:tc>
        <w:tc>
          <w:tcPr>
            <w:tcW w:w="500" w:type="dxa"/>
            <w:vAlign w:val="bottom"/>
          </w:tcPr>
          <w:p>
            <w:pPr>
              <w:spacing w:after="0"/>
              <w:rPr>
                <w:sz w:val="19"/>
                <w:szCs w:val="19"/>
                <w:color w:val="auto"/>
              </w:rPr>
            </w:pPr>
          </w:p>
        </w:tc>
        <w:tc>
          <w:tcPr>
            <w:tcW w:w="8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(54,216)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(48,056)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12.8 %</w:t>
            </w: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(9,210)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(12,446)</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(26.0)%</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(22,004)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(23,583)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(6.7)%</w:t>
            </w:r>
          </w:p>
        </w:tc>
        <w:tc>
          <w:tcPr>
            <w:tcW w:w="0" w:type="dxa"/>
            <w:vAlign w:val="bottom"/>
          </w:tcPr>
          <w:p>
            <w:pPr>
              <w:spacing w:after="0"/>
              <w:rPr>
                <w:sz w:val="1"/>
                <w:szCs w:val="1"/>
                <w:color w:val="auto"/>
              </w:rPr>
            </w:pPr>
          </w:p>
        </w:tc>
      </w:tr>
      <w:tr>
        <w:trPr>
          <w:trHeight w:val="21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i w:val="1"/>
                <w:iCs w:val="1"/>
                <w:color w:val="auto"/>
              </w:rPr>
              <w:t>(1)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(3,321)</w:t>
            </w:r>
          </w:p>
        </w:tc>
        <w:tc>
          <w:tcPr>
            <w:tcW w:w="12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(4,946)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2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62.7 %</w:t>
            </w:r>
          </w:p>
        </w:tc>
        <w:tc>
          <w:tcPr>
            <w:tcW w:w="20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74.8 %</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78.1 %</w:t>
            </w:r>
          </w:p>
        </w:tc>
        <w:tc>
          <w:tcPr>
            <w:tcW w:w="220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72.1 %</w:t>
            </w: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2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30.5 %</w:t>
            </w:r>
          </w:p>
        </w:tc>
        <w:tc>
          <w:tcPr>
            <w:tcW w:w="20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34.4 %</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31.7 %</w:t>
            </w:r>
          </w:p>
        </w:tc>
        <w:tc>
          <w:tcPr>
            <w:tcW w:w="220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35.3 %</w:t>
            </w:r>
          </w:p>
        </w:tc>
      </w:tr>
      <w:tr>
        <w:trPr>
          <w:trHeight w:val="225"/>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2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93.2 %</w:t>
            </w:r>
          </w:p>
        </w:tc>
        <w:tc>
          <w:tcPr>
            <w:tcW w:w="20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109.2 %</w:t>
            </w:r>
          </w:p>
        </w:tc>
        <w:tc>
          <w:tcPr>
            <w:tcW w:w="20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109.8 %</w:t>
            </w:r>
          </w:p>
        </w:tc>
        <w:tc>
          <w:tcPr>
            <w:tcW w:w="220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107.4 %</w:t>
            </w: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62.7 %</w:t>
            </w:r>
          </w:p>
        </w:tc>
        <w:tc>
          <w:tcPr>
            <w:tcW w:w="20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60.9 %</w:t>
            </w:r>
          </w:p>
        </w:tc>
        <w:tc>
          <w:tcPr>
            <w:tcW w:w="20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68.3 %</w:t>
            </w:r>
          </w:p>
        </w:tc>
        <w:tc>
          <w:tcPr>
            <w:tcW w:w="220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60.8 %</w:t>
            </w:r>
          </w:p>
        </w:tc>
      </w:tr>
    </w:tbl>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(1) Underwriting Loss is a non-GAAP Measure. See “Reconciliation of Non-GAAP Measures.”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Casualty Reinsurance segment produced an underwriting profit of $2.1 million and a combined ratio of 93.2% for the three months ended June 30, 2022 compared to an underwriting loss of $3.3 million and a combined ratio of 109.2% for the three months ended June 30, 2021. The loss ratio improved from 74.8% in the prior three month period to 62.7% in the current year, driven mainly by the impact of $5.0 million or 13.9 percentage points of net adverse development in our loss estimates for prior accident years in the three months ended June 30, 2021. As outlined in the </w:t>
      </w:r>
      <w:r>
        <w:rPr>
          <w:rFonts w:ascii="Times New Roman" w:cs="Times New Roman" w:eastAsia="Times New Roman" w:hAnsi="Times New Roman"/>
          <w:sz w:val="18"/>
          <w:szCs w:val="18"/>
          <w:i w:val="1"/>
          <w:iCs w:val="1"/>
          <w:color w:val="auto"/>
        </w:rPr>
        <w:t>“Strategic Actions”</w:t>
      </w:r>
      <w:r>
        <w:rPr>
          <w:rFonts w:ascii="Times New Roman" w:cs="Times New Roman" w:eastAsia="Times New Roman" w:hAnsi="Times New Roman"/>
          <w:sz w:val="18"/>
          <w:szCs w:val="18"/>
          <w:color w:val="auto"/>
        </w:rPr>
        <w:t xml:space="preserve"> above, on February 23, 2022, JRG Re entered into the Retrocession Agreement to reinsure the majority of the Casualty Reinsurance segment's reserves. No prior accident year reserve development was recognized for this segment in the three months ended June 30, 2022.</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and 2021, the segment had underwriting losses of $6.8 million and $4.9 million (combined ratios of 109.8% and 107.4%), respectively. The loss ratio of 78.1% for the six months ended June 30, 2022 includes losses of $11.5 million or 16.6 points (including $6.8 million or 9.8 points of net adverse reserve development on prior accident years and $4.7 million of current accident year losses) recognized in the three months ended March 31, 2022 associated with the Retrocession Agreement. The loss ratio of 72.1% for the six months ended June 30, 2021 includes $7.5 million or 11.2 percentage points of net adverse development in our loss estimates for prior accident years. The higher year to date current accident year loss ratio (68.3% for the six months ended June 30, 2022 compared to 60.8% in the prior year period) primarily reflects the $4.7 million or 6.8 points of current accident year losses associated with the Retrocession Agreement.</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Casualty Reinsurance segment focuses on proportional reinsurance which requires larger ceding commissions resulting in a higher commission expense than in our other segments. The expense ratios of the Casualty Reinsurance segment were 30.5% and 31.7% for the three and six months ended June 30, 2022, respectively, compared to 34.4% and 35.3% in the corresponding prior year periods. Net earned premiums decreased 16.4% and increased 4.1% versus the corresponding three and six month prior year periods, with the decrease for the three months ended June 30, 2022 reflective of the earned premiums ceded under the Retrocession Agreement and our current focus on downsizing the third party book of the segment. Commissions were lower compared to the respective three and six month prior year periods due to the mix of business and commission slide adjustments related to incurred losses which decreased the expense ratio by 1.7 and 0.1 points in the three and six months ended June 30, 2022, respectively, compared to increases of 0.8 and 1.9 points in the three and six months ended June 30, 2021. General and administrative expenses were also lower for the six months ended June 30, 2022 driven primarily by lower compensation and related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and various other corporate expenses that were not reimbursed by our subsidiaries, including costs associated with our internal quota share, rating agencies and strategic initiatives. The expenses are included in our calculation of consolidated underwriting profit, and in our consolidated expense ratio and combined ratio.</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operating expenses of the Corporate and Other segment were $8.9 million and $16.8 million and for the three and six months ended June 30, 2022, respectively, compared to $7.9 million and $16.0 million for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June 30, 2021. The higher current year expenses as compared to the respective three and six month periods in the prior year were largely driven by higher compensation expenses.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investment income was $14.7 million and $31.0 million for the three and six months ended June 30, 2022, respectively, compared to $14.3 million and $29.4 million for the same periods in the prior year. The Company's private investments generated losses of $489,000 and income of $2.4 million for the three and six months ended June 30, 2022, respectively, compared to income of $834,000 and $1.2 million in the respective prior year periods. Excluding private investments, our net investment income for the three and six months ended June 30, 2022 increased 12.4% and 1.0% from the prior year, respectively, principally due to higher yields on fixed maturities and bank loan participations. The average duration of our portfolio excluding restricted cash equivalents was 4.2 years at June 30, 2022.</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Major categories of the Company’s net investment income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9"/>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40" w:type="dxa"/>
            <w:vAlign w:val="bottom"/>
            <w:gridSpan w:val="6"/>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1"/>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9"/>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2"/>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w:t>
            </w:r>
          </w:p>
        </w:tc>
      </w:tr>
      <w:tr>
        <w:trPr>
          <w:trHeight w:val="22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2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Renewable energy investments</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5"/>
        </w:trPr>
        <w:tc>
          <w:tcPr>
            <w:tcW w:w="5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18"/>
        </w:trPr>
        <w:tc>
          <w:tcPr>
            <w:tcW w:w="4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172"/>
        </w:trPr>
        <w:tc>
          <w:tcPr>
            <w:tcW w:w="54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cash equivalents, restricted cash equivalents and short-term</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8"/>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w:t>
            </w:r>
          </w:p>
        </w:tc>
      </w:tr>
      <w:tr>
        <w:trPr>
          <w:trHeight w:val="225"/>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4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30,972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5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summarizes our annualized gross investment returns: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4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22"/>
                <w:szCs w:val="22"/>
                <w:color w:val="auto"/>
              </w:rPr>
            </w:pPr>
          </w:p>
        </w:tc>
      </w:tr>
      <w:tr>
        <w:trPr>
          <w:trHeight w:val="192"/>
        </w:trPr>
        <w:tc>
          <w:tcPr>
            <w:tcW w:w="49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4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invested assets</w:t>
            </w:r>
          </w:p>
        </w:tc>
        <w:tc>
          <w:tcPr>
            <w:tcW w:w="100" w:type="dxa"/>
            <w:vAlign w:val="bottom"/>
          </w:tcPr>
          <w:p>
            <w:pPr>
              <w:spacing w:after="0"/>
              <w:rPr>
                <w:sz w:val="19"/>
                <w:szCs w:val="19"/>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2.5 %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16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our total cash and invested assets of $2,388.8 million at June 30, 2022 (excluding restricted cash equivalents), $350.7 million represents the cash and cash equivalents portion of the portfolio. The majority of the portfolio, or $1,597.7 million, is comprised of fixed maturity securities that are classified as available-for-sale and carried at fair value with unrealized gains and losses on these securities reported, net of applicable taxes, as a separate component of accumulated comprehensive (loss) income. In the six months ended June 30, 2022, the fair values of our fixed maturity securities were negatively impacted by a heightened inflationary environment and rate actions of the Federal Reserve, which led to higher interest rates and lower fair values of our fixed maturity securities. Unrealized losses on fixed maturities recognized in other comprehensive (loss) income resulted in an $144.6 million reduction in accumulated other comprehensive (loss) income in the six months ended June 30, 2022.</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Also included in our investments are $159.9 million of bank loan participations, $98.7 million of equity securities, $130.4 million of short-term investments, and $51.3 million of other invested assets.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 w:cs="Times New Roman" w:eastAsia="Times New Roman" w:hAnsi="Times New Roman"/>
          <w:sz w:val="18"/>
          <w:szCs w:val="18"/>
          <w:color w:val="231F20"/>
        </w:rPr>
        <w:t>Bank loan participations are measured at fair value pursuant to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 xml:space="preserve">Company's election of the fair value option,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At June 30, 2022 and December 31, 2021, the fair market value of these securities was $159.9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$156.0 million, respectively.</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2022, the Company recognized net realized and unrealized investment losses of $22.1 million ($17.1 million of net realized and unrealized investment losses for the three months ended June 30, 2022), including $11.8 million of net unrealized losses on bank loan participations, $11.0 million of net unrealized losses for the change in the fair value of equity securities, $1.3 million of net realized investment gains on the sale of fixed maturity securities, $193,000 of net realized investment losses on the sale of bank loan participations, and $352,000 of net realized investment losses on the sale of equity securities.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2021, the Company recognized net realized and unrealized investment gains of $9.8 million ($3.5 million of net realized and unrealized investment gains for the three months ended June 30, 2021), including $6.3 million of net unrealized gains on bank loan participations, $3.2 million of net unrealized gains for the change in the fair value of equity securities, $1.2 million of net realized investment gains on the sale of fixed maturity securities, $465,000 of net realized investment losses on the sale of bank loan participations, and $384,000 of net realized investment losses on the sale of equity securities.</w:t>
      </w:r>
    </w:p>
    <w:p>
      <w:pPr>
        <w:spacing w:after="0" w:line="79"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In conjunction with its outside investment managers, the Company performs quarterly reviews of all securities within its investment portfolio to determine whether any impairment has occurred. Management concluded that none of its fixed maturity securities were impaired at June 30, 2022 or December 31, 2021. At June 30, 2022, 99.6% of the Company’s fixed maturity security portfolio was rated “BBB-” or better (“investment grade”) by Standard</w:t>
      </w:r>
    </w:p>
    <w:p>
      <w:pPr>
        <w:spacing w:after="0" w:line="1" w:lineRule="exact"/>
        <w:rPr>
          <w:sz w:val="20"/>
          <w:szCs w:val="20"/>
          <w:color w:val="auto"/>
        </w:rPr>
      </w:pPr>
    </w:p>
    <w:p>
      <w:pPr>
        <w:jc w:val="both"/>
        <w:ind w:firstLine="6"/>
        <w:spacing w:after="0" w:line="248" w:lineRule="auto"/>
        <w:tabs>
          <w:tab w:leader="none" w:pos="1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Poor’s or received an equivalent rating from another nationally recognized rating agency. </w:t>
      </w:r>
      <w:r>
        <w:rPr>
          <w:rFonts w:ascii="Times New Roman" w:cs="Times New Roman" w:eastAsia="Times New Roman" w:hAnsi="Times New Roman"/>
          <w:sz w:val="18"/>
          <w:szCs w:val="18"/>
          <w:color w:val="231F20"/>
        </w:rPr>
        <w:t>Management does not intend to sell available-for-sale securities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 unrealized loss position, and it is not “more likely than not” that the Company will be required to sell these securities before a recovery in their value to their amortized cost basis occurs.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13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323,773</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19.9 %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606,821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732,335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43.7 %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0" w:type="dxa"/>
            <w:vAlign w:val="bottom"/>
          </w:tcPr>
          <w:p>
            <w:pPr>
              <w:spacing w:after="0"/>
              <w:rPr>
                <w:sz w:val="1"/>
                <w:szCs w:val="1"/>
                <w:color w:val="auto"/>
              </w:rPr>
            </w:pPr>
          </w:p>
        </w:tc>
      </w:tr>
      <w:tr>
        <w:trPr>
          <w:trHeight w:val="172"/>
        </w:trPr>
        <w:tc>
          <w:tcPr>
            <w:tcW w:w="330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75,710</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60,390</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3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1,728,217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1,643,865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1,677,561</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composition of the Company’s portfolio of available-for-sale fixed maturity securities by rating as of </w:t>
      </w:r>
      <w:r>
        <w:rPr>
          <w:rFonts w:ascii="Times New Roman" w:cs="Times New Roman" w:eastAsia="Times New Roman" w:hAnsi="Times New Roman"/>
          <w:sz w:val="18"/>
          <w:szCs w:val="18"/>
          <w:color w:val="231F20"/>
        </w:rPr>
        <w:t>June 30, 2022</w:t>
      </w:r>
      <w:r>
        <w:rPr>
          <w:rFonts w:ascii="Times New Roman" w:cs="Times New Roman" w:eastAsia="Times New Roman" w:hAnsi="Times New Roman"/>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
        </w:trPr>
        <w:tc>
          <w:tcPr>
            <w:tcW w:w="8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86"/>
        </w:trPr>
        <w:tc>
          <w:tcPr>
            <w:tcW w:w="8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BBB and unrated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20" w:type="dxa"/>
            <w:vAlign w:val="bottom"/>
          </w:tcPr>
          <w:p>
            <w:pPr>
              <w:spacing w:after="0"/>
              <w:rPr>
                <w:sz w:val="16"/>
                <w:szCs w:val="16"/>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6"/>
        </w:trPr>
        <w:tc>
          <w:tcPr>
            <w:tcW w:w="7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0"/>
                <w:szCs w:val="10"/>
                <w:color w:val="auto"/>
              </w:rPr>
            </w:pPr>
          </w:p>
        </w:tc>
        <w:tc>
          <w:tcPr>
            <w:tcW w:w="100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4"/>
                <w:szCs w:val="14"/>
                <w:b w:val="1"/>
                <w:bCs w:val="1"/>
                <w:color w:val="auto"/>
              </w:rPr>
              <w:t>Fair</w:t>
            </w:r>
          </w:p>
        </w:tc>
        <w:tc>
          <w:tcPr>
            <w:tcW w:w="1320" w:type="dxa"/>
            <w:vAlign w:val="bottom"/>
          </w:tcPr>
          <w:p>
            <w:pPr>
              <w:jc w:val="right"/>
              <w:ind w:right="436"/>
              <w:spacing w:after="0" w:line="12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2"/>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Value</w:t>
            </w:r>
          </w:p>
        </w:tc>
      </w:tr>
      <w:tr>
        <w:trPr>
          <w:trHeight w:val="192"/>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Pr>
          <w:p>
            <w:pPr>
              <w:spacing w:after="0"/>
              <w:rPr>
                <w:sz w:val="16"/>
                <w:szCs w:val="16"/>
                <w:color w:val="auto"/>
              </w:rPr>
            </w:pPr>
          </w:p>
        </w:tc>
      </w:tr>
      <w:tr>
        <w:trPr>
          <w:trHeight w:val="23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65,952</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18.1 %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13.5 %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20.2 %</w:t>
            </w:r>
          </w:p>
        </w:tc>
      </w:tr>
      <w:tr>
        <w:trPr>
          <w:trHeight w:val="21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1,597,695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Other income and expense primarily consists of non-operating expenses of $— and $347,000 for the three and six </w:t>
      </w:r>
      <w:r>
        <w:rPr>
          <w:rFonts w:ascii="Times New Roman" w:cs="Times New Roman" w:eastAsia="Times New Roman" w:hAnsi="Times New Roman"/>
          <w:sz w:val="18"/>
          <w:szCs w:val="18"/>
          <w:color w:val="231F20"/>
        </w:rPr>
        <w:t>months ended June 30,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respectively, </w:t>
      </w:r>
      <w:r>
        <w:rPr>
          <w:rFonts w:ascii="Times New Roman" w:cs="Times New Roman" w:eastAsia="Times New Roman" w:hAnsi="Times New Roman"/>
          <w:sz w:val="18"/>
          <w:szCs w:val="18"/>
          <w:color w:val="000000"/>
        </w:rPr>
        <w:t>and $811,000 and $1.3 million for the three and 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2021, respectively. The non-operating expenses include legal fees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related to a purported class action lawsuit, legal and other professional fees related to the Company's May 2021 common share offering and various strategic initiatives, and employee severance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expense was $4.0 million and $2.2 million for the three months ended June 30, 2022 and 2021, respectively ($6.3 million and $4.5 million for the six months ended June 30, 2022 and 2021, respectively). Interest expense for the three months and six months ended June 30, 2022 includes $1.3 million of crediting fees on the Funds Withheld Account balance under the Retrocession Agreement. The impact of rising interest rates on our variable rate senior and trust preferred debt also contributed to the higher current year interest expense. See “—Liquidity and Capital Resources—Sources and Uses of Funds” for more information regarding our senior bank debt facilities and trust preferred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$91,000 of amortization of intangible assets in each of the three months ended June 30, 2022 and 2021 ($182,000 in each of the six months ended June 30, 2022 and 2021).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5" w:lineRule="exact"/>
        <w:rPr>
          <w:sz w:val="20"/>
          <w:szCs w:val="20"/>
          <w:color w:val="auto"/>
        </w:rPr>
      </w:pPr>
    </w:p>
    <w:p>
      <w:pPr>
        <w:jc w:val="both"/>
        <w:ind w:firstLine="358"/>
        <w:spacing w:after="0" w:line="249"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six months ended June 30, 2022, our effective tax rate was 24.9%. The effective rate exceeded the 21.0% U.S. statutory rate due to a projected annual loss in Bermuda that does not provide a tax benefit and certain discreet items including excess tax expenses associated with vested restricted share units (“RSUs”) in the six months ended June 30, 2022. For the six months ended June 30, 2021, we had an effective tax benefit that was 23.7% of our pre-tax loss. The pre-tax loss six months ended June 30, 2021 was largely driven by the $166.7 million of net adverse reserve development on prior accident years, including $161.2 million of net adverse development from the Excess and Surplus Lines segment that was primarily related to a former commercial auto account.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indicator of reserve strength that we monitor closely is the percentage of our gross and net loss reserves that are comprised of incurred but not reported (“IBNR”) reserves.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gross reserve for losses and loss adjustment expenses at June 30, 2022 was $2,730.6 million. Of this amount, 59.5% relates to amounts that are IBNR. This amount was 59.6% at December 31, 2021. The Company’s gross reserves for losses and loss adjustment expenses by segment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6"/>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Gross Reserves at June 30, 2022</w:t>
            </w:r>
          </w:p>
        </w:tc>
        <w:tc>
          <w:tcPr>
            <w:tcW w:w="102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IBNR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1,582,732</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713,827</w:t>
            </w: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434,072</w:t>
            </w:r>
          </w:p>
        </w:tc>
      </w:tr>
      <w:tr>
        <w:trPr>
          <w:trHeight w:val="21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2,730,631</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2022, the amount of net reserves (prior to the $601,000 allowance for uncollectible reinsurance recoverables) of $1,159.1 million that related to IBNR was 62.9%. This amount was 64.4% at December 31, 2021. The Company’s net reserves for losses and loss adjustment expenses by segment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Reserves at June 30, 2022</w:t>
            </w:r>
          </w:p>
        </w:tc>
        <w:tc>
          <w:tcPr>
            <w:tcW w:w="10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IBNR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910,886</w:t>
            </w: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109,064</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139,195</w:t>
            </w: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1,159,145</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5"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40" w:type="dxa"/>
            <w:vAlign w:val="bottom"/>
          </w:tcPr>
          <w:p>
            <w:pPr>
              <w:spacing w:after="0"/>
              <w:rPr>
                <w:sz w:val="16"/>
                <w:szCs w:val="16"/>
                <w:color w:val="auto"/>
              </w:rPr>
            </w:pPr>
          </w:p>
        </w:tc>
      </w:tr>
      <w:tr>
        <w:trPr>
          <w:trHeight w:val="23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 (excluding restricted cash equivalents)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225"/>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168,870</w:t>
            </w: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198,671</w:t>
            </w:r>
          </w:p>
        </w:tc>
      </w:tr>
      <w:tr>
        <w:trPr>
          <w:trHeight w:val="225"/>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restricted cash equivalents (operating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(136,395)</w:t>
            </w:r>
          </w:p>
        </w:tc>
      </w:tr>
      <w:tr>
        <w:trPr>
          <w:trHeight w:val="24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provided by operating activities excluding restricted cash equivalents was $139.2 million and $43.4 million for the six months ended June 30, 2022 and 2021, respectively, reflecting the growth in our U.S. segments and the collection of premiums receivable at a quicker rate than payments of loss and loss adjustment expenses.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and 2021 reflects our efforts to enhance the yield in our investment portfolio by investing available cash and cash equivalents into higher yielding investments. Cash and cash equivalents (excluding restricted cash equivalents) comprised 14.7% and 14.1% of total cash and invested assets at June 30, 2022 and 2021, respectively.</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six months ended June 30, 2022 also include $4.0 million of dividends paid to common shareholders and $3.5 million of dividends paid on the Series A Preferred Shares.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2021 includes $192.1 million of net proceeds (before expenses) from a public offering of our common shares that closed on May 10, 2021. The proceeds were used for general corporate purposes. Financing activities for the six months ended June 30, 2021 also includes $20.8 million of dividends paid to common shareholders.</w:t>
      </w:r>
    </w:p>
    <w:p>
      <w:pPr>
        <w:spacing w:after="0" w:line="7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change in restricted cash equivalents for the six months ended June 30, 2021 primarily reflects restricted cash equivalents returned to a former insured, per the terms of a collateral trust. 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xml:space="preserve"> below.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4" w:lineRule="exact"/>
        <w:rPr>
          <w:sz w:val="20"/>
          <w:szCs w:val="20"/>
          <w:color w:val="auto"/>
        </w:rPr>
      </w:pPr>
    </w:p>
    <w:p>
      <w:pPr>
        <w:jc w:val="both"/>
        <w:ind w:firstLine="358"/>
        <w:spacing w:after="0" w:line="267" w:lineRule="auto"/>
        <w:rPr>
          <w:sz w:val="20"/>
          <w:szCs w:val="20"/>
          <w:color w:val="auto"/>
        </w:rPr>
      </w:pPr>
      <w:r>
        <w:rPr>
          <w:rFonts w:ascii="Times New Roman" w:cs="Times New Roman" w:eastAsia="Times New Roman" w:hAnsi="Times New Roman"/>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Regulation—U.S. Insurance Regulation—State Regulation” in our Annual Report on Form 10-K for the year ended December 31, 2021 filed with the SEC on March 1, 2022 for additional information. The maximum amount of dividends available to the U.S. holding company from our U.S. insurance subsidiaries during 2022 without regulatory approval is $27.2 million.</w:t>
      </w:r>
    </w:p>
    <w:p>
      <w:pPr>
        <w:spacing w:after="0" w:line="68" w:lineRule="exact"/>
        <w:rPr>
          <w:sz w:val="20"/>
          <w:szCs w:val="20"/>
          <w:color w:val="auto"/>
        </w:rPr>
      </w:pPr>
    </w:p>
    <w:p>
      <w:pPr>
        <w:jc w:val="both"/>
        <w:ind w:firstLine="358"/>
        <w:spacing w:after="0" w:line="249" w:lineRule="auto"/>
        <w:rPr>
          <w:sz w:val="20"/>
          <w:szCs w:val="20"/>
          <w:color w:val="auto"/>
        </w:rPr>
      </w:pPr>
      <w:r>
        <w:rPr>
          <w:rFonts w:ascii="Times New Roman" w:cs="Times New Roman" w:eastAsia="Times New Roman" w:hAnsi="Times New Roman"/>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Regulation- Bermuda Insurance Regulation- Restrictions on Dividends and Distributions” in our Annual Report on Form 10-K for the year ended December 31, 2021 filed with the SEC on March 1, 2022 for additional information. Based on that calculation, the maximum combined amount of dividends and return of capital available to us from our Bermuda insurers without regulatory approval in 2022 is calculated to be approximately $129.7 million. However, any dividend payment is contingent upon continued compliance with Bermuda regulatory requirements, including but not limited to the enhanced solvency requirement calculations.</w:t>
      </w:r>
    </w:p>
    <w:p>
      <w:pPr>
        <w:spacing w:after="0" w:line="84"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quarterly and are payable on March 31, June 30, September 30 and December 31 of each year, and commenced with a cash dividend of $3.5 million paid on June 30, 2022 (which amount represents the dividends from March 1, 2022, the date the Series A Preferred Shares were issued, through June 30, 2022).</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June 30, 2022, the Bermuda holding company had $1.5 million of cash and cash equivalents. The U.S. holding company had $23.8 million of cash and invested assets, comprised of cash and cash equivalents of $4.3 million, short-term investments of $12.0 million, and other invested assets of $7.5 million, which are not subject to regulatory restrictions. Additionally, our U.K. intermediate holding company had no invested assets and cash of less than ten thousand dollars at June 30,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a $315.0 million senior revolving credit facility (as amended or amended and restated, the “2013 Facility”). The 2013 Facility is comprised of the following at June 30, 2022:</w:t>
      </w:r>
    </w:p>
    <w:p>
      <w:pPr>
        <w:spacing w:after="0" w:line="57" w:lineRule="exact"/>
        <w:rPr>
          <w:sz w:val="20"/>
          <w:szCs w:val="20"/>
          <w:color w:val="auto"/>
        </w:rPr>
      </w:pPr>
    </w:p>
    <w:p>
      <w:pPr>
        <w:jc w:val="both"/>
        <w:ind w:left="640" w:hanging="316"/>
        <w:spacing w:after="0" w:line="259"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$102.5 million secured revolving facility used by JRG Re to issue letters of credit for the benefit of third-party reinsureds. This portion of our credit facility is secured by our investment securities. At June 30, 2022, the Company had $38.2 million of letters of credit issued under the secured facility.</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June 30, 2022, the Company had a drawn balance of $185.8 million outstanding on the unsecured revolver.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June 30, 2022.</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June 30, 2022.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June 30, 2022, unsecured loans of $21.5 million and secured letters of credit totaling $22.6 million were outstanding on the 2017 Facility. During the three months ended March 31, 2022, the Company repaid $40.0 million of loans that were outstanding under the 2017 Facility.</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June 30, 2022, and which, among other things, restrict our ability to assume senior indebtedness secured by our U.S. holding company’s common stock or its subsidiaries’ capital stock or to issue shares of its subsidiaries’ capital stock.</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June 30, 2022 (including the Company’s repurchases of a portion of these trust preferred 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Franklin</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Holdings II</w:t>
            </w: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(Bermuda)</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Trust II</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Trust I</w:t>
            </w: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26, 2004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2006</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11,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January 10, 2008</w:t>
            </w: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$30,000</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$30,928</w:t>
            </w: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Carrying amount of junior subordinated debt net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$15,928</w:t>
            </w:r>
          </w:p>
        </w:tc>
        <w:tc>
          <w:tcPr>
            <w:tcW w:w="0" w:type="dxa"/>
            <w:vAlign w:val="bottom"/>
          </w:tcPr>
          <w:p>
            <w:pPr>
              <w:spacing w:after="0"/>
              <w:rPr>
                <w:sz w:val="1"/>
                <w:szCs w:val="1"/>
                <w:color w:val="auto"/>
              </w:rPr>
            </w:pPr>
          </w:p>
        </w:tc>
      </w:tr>
      <w:tr>
        <w:trPr>
          <w:trHeight w:val="189"/>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24, 2034</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2034</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2036</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 15, 2038</w:t>
            </w: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$1,670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Interest rate, per annum</w:t>
            </w:r>
          </w:p>
        </w:tc>
        <w:tc>
          <w:tcPr>
            <w:tcW w:w="15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7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LIBOR plus</w:t>
            </w:r>
          </w:p>
        </w:tc>
        <w:tc>
          <w:tcPr>
            <w:tcW w:w="1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LIBOR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LIBOR plus</w:t>
            </w:r>
          </w:p>
        </w:tc>
        <w:tc>
          <w:tcPr>
            <w:tcW w:w="17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LIBOR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LIBOR plus</w:t>
            </w: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June 30, 2022.</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2022 and December 31, 2021, the Company's leverage ratio was 23.1% and 31.1%,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capital for purposes of the leverage ratio calculation under the credit agreements. Total capital is defined as total debt plus tangible equity excluding accumulated other comprehensive income. The maximum leverage ratio permitted by the agreements is 35.0%. We believe having debt as part of our capital structure allows us to generate a higher return on equity and greater book value per share results than we could by using equity capital alone.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2022 and 2021, our net premium retention was 48.7% and 50.9%, respectively.</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net retention after reinsurance as of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c>
          <w:tcPr>
            <w:tcW w:w="0" w:type="dxa"/>
            <w:vAlign w:val="bottom"/>
          </w:tcPr>
          <w:p>
            <w:pPr>
              <w:spacing w:after="0"/>
              <w:rPr>
                <w:sz w:val="1"/>
                <w:szCs w:val="1"/>
                <w:color w:val="auto"/>
              </w:rPr>
            </w:pPr>
          </w:p>
        </w:tc>
      </w:tr>
      <w:tr>
        <w:trPr>
          <w:trHeight w:val="24"/>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6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12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Primary Specialty Casualty, including</w:t>
            </w:r>
          </w:p>
        </w:tc>
        <w:tc>
          <w:tcPr>
            <w:tcW w:w="7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$1.0 million per occurrence, subject to a $1.0 million aggregate deductible.</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38"/>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Liability</w:t>
            </w:r>
          </w:p>
        </w:tc>
        <w:tc>
          <w:tcPr>
            <w:tcW w:w="7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Primary Casualty</w:t>
            </w:r>
          </w:p>
        </w:tc>
        <w:tc>
          <w:tcPr>
            <w:tcW w:w="70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$2.0 million per occurrence.</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Casualty</w:t>
            </w:r>
          </w:p>
        </w:tc>
        <w:tc>
          <w:tcPr>
            <w:tcW w:w="7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$1.0 million per occurrence.</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30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$5.0 million per event.</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80" w:hanging="374"/>
        <w:spacing w:after="0"/>
        <w:tabs>
          <w:tab w:leader="none" w:pos="3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Except for Life Sciences quota share carve out, which is up to $2.0 million per occurrence.</w:t>
      </w:r>
    </w:p>
    <w:p>
      <w:pPr>
        <w:spacing w:after="0" w:line="26"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$1.0 million.</w:t>
      </w:r>
    </w:p>
    <w:p>
      <w:pPr>
        <w:spacing w:after="0" w:line="5"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policies with an occurrence limit up to $10.0 million, the excess casualty treaty is set such that our retention is no more than $1.0 million.</w:t>
      </w:r>
    </w:p>
    <w:p>
      <w:pPr>
        <w:spacing w:after="0" w:line="5"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$55.0 million with one reinstatement.</w:t>
      </w:r>
    </w:p>
    <w:p>
      <w:pPr>
        <w:spacing w:after="0" w:line="92"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72"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72"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Based upon the modeling of our Excess and Surplus Lines and Specialty Admitted segments, it would take an event at the 1 in 1000 year PML to exhaust our $60.0 million property catastrophe reinsurance. In the event of a catastrophe loss exhausting our $60.0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4"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On September 27, 2021, James River entered into the LPT Agreement with Aleka to reinsure substantially all of the Excess and Surplus Lines segment’s legacy portfolio of commercial auto policies previously issued to Rasier. See “</w:t>
      </w:r>
      <w:r>
        <w:rPr>
          <w:rFonts w:ascii="Times New Roman" w:cs="Times New Roman" w:eastAsia="Times New Roman" w:hAnsi="Times New Roman"/>
          <w:sz w:val="18"/>
          <w:szCs w:val="18"/>
          <w:i w:val="1"/>
          <w:iCs w:val="1"/>
          <w:color w:val="auto"/>
        </w:rPr>
        <w:t>Amounts Recoverable from an Indemnifying Party and Reinsurer on the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Auto Book</w:t>
      </w:r>
      <w:r>
        <w:rPr>
          <w:rFonts w:ascii="Times New Roman" w:cs="Times New Roman" w:eastAsia="Times New Roman" w:hAnsi="Times New Roman"/>
          <w:sz w:val="18"/>
          <w:szCs w:val="18"/>
          <w:color w:val="auto"/>
        </w:rPr>
        <w:t>” below for further information on this reinsurance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June 30,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4"/>
        </w:trPr>
        <w:tc>
          <w:tcPr>
            <w:tcW w:w="3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172"/>
        </w:trPr>
        <w:tc>
          <w:tcPr>
            <w:tcW w:w="3780" w:type="dxa"/>
            <w:vAlign w:val="bottom"/>
            <w:gridSpan w:val="2"/>
            <w:shd w:val="clear" w:color="auto" w:fill="CCEEFF"/>
          </w:tcPr>
          <w:p>
            <w:pPr>
              <w:ind w:left="340"/>
              <w:spacing w:after="0" w:line="172" w:lineRule="exact"/>
              <w:rPr>
                <w:sz w:val="20"/>
                <w:szCs w:val="20"/>
                <w:color w:val="auto"/>
              </w:rPr>
            </w:pPr>
            <w:r>
              <w:rPr>
                <w:rFonts w:ascii="Times New Roman" w:cs="Times New Roman" w:eastAsia="Times New Roman" w:hAnsi="Times New Roman"/>
                <w:sz w:val="18"/>
                <w:szCs w:val="18"/>
                <w:color w:val="auto"/>
              </w:rPr>
              <w:t>Workers’ Compensation</w:t>
            </w:r>
          </w:p>
        </w:tc>
        <w:tc>
          <w:tcPr>
            <w:tcW w:w="74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5"/>
                <w:szCs w:val="15"/>
                <w:color w:val="auto"/>
              </w:rPr>
              <w:t>Quota share coverage for 65.5% of the first $1.0 million.</w:t>
            </w:r>
            <w:r>
              <w:rPr>
                <w:rFonts w:ascii="Times New Roman" w:cs="Times New Roman" w:eastAsia="Times New Roman" w:hAnsi="Times New Roman"/>
                <w:sz w:val="19"/>
                <w:szCs w:val="19"/>
                <w:color w:val="auto"/>
                <w:vertAlign w:val="superscript"/>
              </w:rPr>
              <w:t>(1)(2)</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Excess of loss coverage for $29.0 million in excess of $1.0 million.</w:t>
            </w:r>
            <w:r>
              <w:rPr>
                <w:rFonts w:ascii="Times New Roman" w:cs="Times New Roman" w:eastAsia="Times New Roman" w:hAnsi="Times New Roman"/>
                <w:sz w:val="22"/>
                <w:szCs w:val="22"/>
                <w:color w:val="auto"/>
                <w:vertAlign w:val="superscript"/>
              </w:rPr>
              <w:t>(1)(2)</w:t>
            </w:r>
          </w:p>
        </w:tc>
      </w:tr>
      <w:tr>
        <w:trPr>
          <w:trHeight w:val="172"/>
        </w:trPr>
        <w:tc>
          <w:tcPr>
            <w:tcW w:w="3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Quota share coverage for 70-90% of limits up to $1.5 million liability and $7.5 million physical damage</w:t>
            </w:r>
          </w:p>
        </w:tc>
      </w:tr>
      <w:tr>
        <w:trPr>
          <w:trHeight w:val="235"/>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occurrence.</w:t>
            </w:r>
          </w:p>
        </w:tc>
      </w:tr>
      <w:tr>
        <w:trPr>
          <w:trHeight w:val="176"/>
        </w:trPr>
        <w:tc>
          <w:tcPr>
            <w:tcW w:w="37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Liability &amp; Professional Liability –</w:t>
            </w: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70%-100% of limits up to $3.0 million per occurrence.</w:t>
            </w:r>
          </w:p>
        </w:tc>
      </w:tr>
      <w:tr>
        <w:trPr>
          <w:trHeight w:val="239"/>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Programs</w:t>
            </w:r>
          </w:p>
        </w:tc>
        <w:tc>
          <w:tcPr>
            <w:tcW w:w="7420" w:type="dxa"/>
            <w:vAlign w:val="bottom"/>
            <w:shd w:val="clear" w:color="auto" w:fill="CCEEFF"/>
          </w:tcPr>
          <w:p>
            <w:pPr>
              <w:spacing w:after="0"/>
              <w:rPr>
                <w:sz w:val="20"/>
                <w:szCs w:val="20"/>
                <w:color w:val="auto"/>
              </w:rPr>
            </w:pPr>
          </w:p>
        </w:tc>
      </w:tr>
      <w:tr>
        <w:trPr>
          <w:trHeight w:val="172"/>
        </w:trPr>
        <w:tc>
          <w:tcPr>
            <w:tcW w:w="378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8"/>
                <w:szCs w:val="18"/>
                <w:color w:val="auto"/>
              </w:rPr>
              <w:t>Umbrella and Excess Casualty - Programs</w:t>
            </w:r>
          </w:p>
        </w:tc>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Quota share coverage for at least 90% of limits up to $10.0 million per occurrence, and 87.5% of excess</w:t>
            </w:r>
          </w:p>
        </w:tc>
      </w:tr>
      <w:tr>
        <w:trPr>
          <w:trHeight w:val="235"/>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loss coverage for $5.0 million in excess of $10.0 million.</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5"/>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$40.0 million per occurrence.</w:t>
            </w:r>
          </w:p>
        </w:tc>
      </w:tr>
      <w:tr>
        <w:trPr>
          <w:trHeight w:val="225"/>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$16.9 million.</w:t>
            </w: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Catastrophe Coverage</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Loss coverage for $44.0 million in excess of $1.0 million per occurrence.</w:t>
            </w:r>
          </w:p>
        </w:tc>
      </w:tr>
      <w:tr>
        <w:trPr>
          <w:trHeight w:val="207"/>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Quota share coverage for 80% of limits up to $20 million liability and $2.5 million hull per occurrence,</w:t>
            </w:r>
          </w:p>
        </w:tc>
      </w:tr>
      <w:tr>
        <w:trPr>
          <w:trHeight w:val="212"/>
        </w:trPr>
        <w:tc>
          <w:tcPr>
            <w:tcW w:w="3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each aircraft; and excess of loss coverage for up to $7.3M excess of $200 thousand of our 20% share of</w:t>
            </w:r>
          </w:p>
        </w:tc>
      </w:tr>
      <w:tr>
        <w:trPr>
          <w:trHeight w:val="244"/>
        </w:trPr>
        <w:tc>
          <w:tcPr>
            <w:tcW w:w="3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quota share each occurrence.</w:t>
            </w:r>
          </w:p>
        </w:tc>
      </w:tr>
    </w:tbl>
    <w:p>
      <w:pPr>
        <w:spacing w:after="0" w:line="72" w:lineRule="exact"/>
        <w:rPr>
          <w:sz w:val="20"/>
          <w:szCs w:val="20"/>
          <w:color w:val="auto"/>
        </w:rPr>
      </w:pPr>
    </w:p>
    <w:p>
      <w:pPr>
        <w:ind w:left="320" w:hanging="314"/>
        <w:spacing w:after="0" w:line="276" w:lineRule="auto"/>
        <w:tabs>
          <w:tab w:leader="none" w:pos="39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quota share coverage for 84% of the first $1.0 million per occurrence and excess of loss coverage for $49.0 million in excess of $1.0 million per occurrence.</w:t>
      </w:r>
    </w:p>
    <w:p>
      <w:pPr>
        <w:ind w:left="380" w:hanging="374"/>
        <w:spacing w:after="0"/>
        <w:tabs>
          <w:tab w:leader="none" w:pos="3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any residual market pools.</w:t>
      </w:r>
    </w:p>
    <w:p>
      <w:pPr>
        <w:spacing w:after="0" w:line="11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$59.0 million in excess of $1.0 million per occurrence to manage its property exposure to an approximate 1 in 1,000 year PML.</w:t>
      </w:r>
    </w:p>
    <w:p>
      <w:pPr>
        <w:spacing w:after="0" w:line="74"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spacing w:after="0" w:line="72"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On February 23, 2022, JRG Re entered into the Retrocession Agreement with FRL to reinsure the majority of the segment risk, which closed on March 31, 2022. See “</w:t>
      </w:r>
      <w:r>
        <w:rPr>
          <w:rFonts w:ascii="Times New Roman" w:cs="Times New Roman" w:eastAsia="Times New Roman" w:hAnsi="Times New Roman"/>
          <w:sz w:val="18"/>
          <w:szCs w:val="18"/>
          <w:i w:val="1"/>
          <w:iCs w:val="1"/>
          <w:color w:val="auto"/>
        </w:rPr>
        <w:t>Strategic Actions – Loss Portfolio Transfer Retrocession Agreement”</w:t>
      </w:r>
      <w:r>
        <w:rPr>
          <w:rFonts w:ascii="Times New Roman" w:cs="Times New Roman" w:eastAsia="Times New Roman" w:hAnsi="Times New Roman"/>
          <w:sz w:val="18"/>
          <w:szCs w:val="18"/>
          <w:color w:val="auto"/>
        </w:rPr>
        <w:t xml:space="preserve"> above for further information on this retrocession agreement.</w:t>
      </w:r>
    </w:p>
    <w:p>
      <w:pPr>
        <w:spacing w:after="0" w:line="57"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We also have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covers $10.0 million in excess of a $2.0 million retention for loss occurrences within the treaty term. This coverage has two reinstatements in the event we exhaust any of the coverage. As of June 30, 2022, our average net retained limit per risk is $2.5 million.</w:t>
      </w:r>
    </w:p>
    <w:p>
      <w:pPr>
        <w:spacing w:after="0" w:line="74"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57" w:lineRule="exact"/>
        <w:rPr>
          <w:sz w:val="20"/>
          <w:szCs w:val="20"/>
          <w:color w:val="auto"/>
        </w:rPr>
      </w:pPr>
    </w:p>
    <w:p>
      <w:pPr>
        <w:jc w:val="both"/>
        <w:ind w:firstLine="358"/>
        <w:spacing w:after="0" w:line="266" w:lineRule="auto"/>
        <w:rPr>
          <w:sz w:val="20"/>
          <w:szCs w:val="20"/>
          <w:color w:val="auto"/>
        </w:rPr>
      </w:pPr>
      <w:r>
        <w:rPr>
          <w:rFonts w:ascii="Times New Roman" w:cs="Times New Roman" w:eastAsia="Times New Roman" w:hAnsi="Times New Roman"/>
          <w:sz w:val="17"/>
          <w:szCs w:val="17"/>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2022, the allowance for credit losses on reinsurance recoverables was $601,000.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with regard to insurance companies who act as reinsurers for us in such arrangements. We customarily require a collateral trust arrangement to secure the obligations of the insurance entity for whom we are fronting.</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June 30, 2022, we had reinsurance recoverables on unpaid losses of $1,570.9 million (net of a $601,000 allowance for credit losses) and reinsurance recoverables on paid losses of $106.5 million, and all material recoverable amounts were from companies with A.M. Best ratings of “A-" (Excellent) or better, are collateralized by the reinsurer for our benefit through letters of credit or funds on deposit in trust accounts, or represent recoverables from a state residual market for automobile insurance.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58"/>
        <w:spacing w:after="0" w:line="249"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“LPT Agreement”) with Aleka to reinsure substantially all of the Rasier Commercial Auto Policies for which James River is not otherwise indemnified by Rasier under the Indemnity Agreements. Under the terms of the LPT Agreement, effective as of July 1, 2021, James River ceded to Aleka approximately $345.1 million of commercial auto liabilities relating to Rasier Commercial Auto Policies written in the years 2013-2019, which amount constituted the reinsurance premium.</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LPT Agreement, respectively:</w:t>
      </w:r>
    </w:p>
    <w:p>
      <w:pPr>
        <w:spacing w:after="0" w:line="111" w:lineRule="exact"/>
        <w:rPr>
          <w:sz w:val="20"/>
          <w:szCs w:val="20"/>
          <w:color w:val="auto"/>
        </w:rPr>
      </w:pPr>
    </w:p>
    <w:p>
      <w:pPr>
        <w:jc w:val="both"/>
        <w:ind w:firstLine="364"/>
        <w:spacing w:after="0" w:line="249"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LPT Agreement, James River returned $691.3 million to the Indemnity Trust, representing the remaining balance of the amount withdrawn in October 2019, as was permitted under the indemnification agreements with Rasier and the associated trust agreement. At June 30, 2022, the balance in the Indemnity Trust was $374.3 million, and, together with the balance of the Loss Fund Trust (as defined below) attributable to the Indemnity Agreements as described below, the total balance of collateral securing Rasier’s obligations under the Indemnity Agreements was $443.4 million.</w:t>
      </w:r>
    </w:p>
    <w:p>
      <w:pPr>
        <w:spacing w:after="0" w:line="84" w:lineRule="exact"/>
        <w:rPr>
          <w:rFonts w:ascii="Times New Roman" w:cs="Times New Roman" w:eastAsia="Times New Roman" w:hAnsi="Times New Roman"/>
          <w:sz w:val="18"/>
          <w:szCs w:val="18"/>
          <w:color w:val="auto"/>
        </w:rPr>
      </w:pPr>
    </w:p>
    <w:p>
      <w:pPr>
        <w:jc w:val="both"/>
        <w:ind w:firstLine="364"/>
        <w:spacing w:after="0" w:line="251" w:lineRule="auto"/>
        <w:tabs>
          <w:tab w:leader="none" w:pos="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LPT Agreement, Aleka is required to post collateral equal to 102% of James River's estimate of Aleka's obligations under the LPT Agreement, calculated in accordance with statutory accounting principles. The collateral is provided through a collateral trust arrangement (the “LPT Trust”) established in favor of James River by Aleka. At June 30, 2022, the balance in the LPT Trust was $165.4 million, and, together with the balance of the Loss Fund Trust (as defined below) attributable to the LPT Agreement as described below, the total balance of collateral securing Aleka’s obligations under the LPT Agreement was $193.6 million. At June 30, 2022, the total reinsurance recoverables under the LPT Agreement was $188.9 million (including $170.3 million of unpaid recoverables and $18.6 million of paid recoverables).</w:t>
      </w:r>
    </w:p>
    <w:p>
      <w:pPr>
        <w:spacing w:after="0" w:line="79"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In connection with the execution of the LPT Agreement,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LPT Agreement and James River’s existing third party reinsurance agreements, respectively. At June 30, 2022, the balance in the Loss Fund Trust was $102.1 million, including $69.2 million representing collateral supporting Rasier’s obligations under the Indemnity Agreements and $28.2 million representing collateral supporting Aleka’s obligations under the LPT Agreement. Funds posted to the Loss Fund Trust are classified as restricted cash equivalents on the Company's balance sheet.</w:t>
      </w:r>
    </w:p>
    <w:p>
      <w:pPr>
        <w:spacing w:after="0" w:line="87"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8"/>
          <w:szCs w:val="18"/>
          <w:color w:val="auto"/>
        </w:rPr>
        <w:t>While the LPT Agreement brings economic finality to substantially all of the Rasier Commercial Auto Policies, the Company has credit exposure to Rasier and Aleka under the Indemnity Agreements and the LPT Agreement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LPT agreement,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780"/>
        <w:spacing w:after="0" w:line="368" w:lineRule="auto"/>
        <w:rPr>
          <w:sz w:val="20"/>
          <w:szCs w:val="20"/>
          <w:color w:val="auto"/>
        </w:rPr>
      </w:pPr>
      <w:r>
        <w:rPr>
          <w:rFonts w:ascii="Times New Roman" w:cs="Times New Roman" w:eastAsia="Times New Roman" w:hAnsi="Times New Roman"/>
          <w:sz w:val="18"/>
          <w:szCs w:val="18"/>
          <w:color w:val="auto"/>
        </w:rPr>
        <w:t xml:space="preserve">in accordance with the terms of the LPT Agreement and Indemnity Agreements when our analysis indicates that we have uncollateralized exposure. </w:t>
      </w:r>
      <w:r>
        <w:rPr>
          <w:rFonts w:ascii="Times New Roman" w:cs="Times New Roman" w:eastAsia="Times New Roman" w:hAnsi="Times New Roman"/>
          <w:sz w:val="18"/>
          <w:szCs w:val="18"/>
          <w:b w:val="1"/>
          <w:bCs w:val="1"/>
          <w:i w:val="1"/>
          <w:iCs w:val="1"/>
          <w:color w:val="auto"/>
        </w:rPr>
        <w:t>Ratings</w:t>
      </w:r>
    </w:p>
    <w:p>
      <w:pPr>
        <w:spacing w:after="0" w:line="1"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of 2021 following the closing of the LPT Agreement which reinsures substantially all of the legacy commercial auto business.</w:t>
      </w:r>
    </w:p>
    <w:p>
      <w:pPr>
        <w:spacing w:after="0" w:line="83"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5"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7"/>
          <w:szCs w:val="17"/>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37,373,066 at December 31, 2021 to 37,450,264 at June 30, 2022, reflecting 77,198 common shares issued in the six months ended June 30, 2022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recognized $2.2 million and $1.9 million of share based compensation expense, respectively ($4.0 million and $3.8 million in the six month periods ended June 30, 2022 and 2021, respectively). As of June 30, 2022, the Company had $15.6 million of unrecognized share based compensation expense expected to be charged to earnings over a weighted-average period of 2.1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433,440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of the outstanding options are fully vested (vesting period of three years from date of grant) and have a contractual life of seven years from the original date of grant.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1"/>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348,765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define underwriting profit as net earned premiums and gross fee income (in specific instances when the Company is not retaining insurance risk) less losses and loss adjustment expenses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(loss)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(124,029)</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(141,542)</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right="140" w:hanging="316"/>
        <w:spacing w:after="0" w:line="276" w:lineRule="auto"/>
        <w:tabs>
          <w:tab w:leader="none" w:pos="63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underwriting results for the three and six months ended June 30, 2022 is gross fee income of $5.9 million and $11.4 million, respectively ($5.4 million and $10.6 million in the respective prior year periods).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net operating income is defined as income available to common shareholders excluding net realized and unrealized gains (losses) on investments, and certain non-operating expenses such as professional service fees related to a purported class action lawsuit, various strategic initiatives, and the filing of registration statements for the offering of securities, and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(loss) available to common shareholders reconciles to our adjusted net operating income (loss)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80" w:type="dxa"/>
            <w:vAlign w:val="bottom"/>
          </w:tcPr>
          <w:p>
            <w:pPr>
              <w:spacing w:after="0"/>
              <w:rPr>
                <w:sz w:val="11"/>
                <w:szCs w:val="11"/>
                <w:color w:val="auto"/>
              </w:rPr>
            </w:pPr>
          </w:p>
        </w:tc>
        <w:tc>
          <w:tcPr>
            <w:tcW w:w="106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6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29,811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4" w:lineRule="exact"/>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1"/>
                <w:szCs w:val="11"/>
                <w:color w:val="auto"/>
              </w:rPr>
            </w:pPr>
          </w:p>
        </w:tc>
        <w:tc>
          <w:tcPr>
            <w:tcW w:w="102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Before</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60"/>
              <w:spacing w:after="0" w:line="144" w:lineRule="exact"/>
              <w:rPr>
                <w:sz w:val="20"/>
                <w:szCs w:val="20"/>
                <w:color w:val="auto"/>
              </w:rPr>
            </w:pPr>
            <w:r>
              <w:rPr>
                <w:rFonts w:ascii="Times New Roman" w:cs="Times New Roman" w:eastAsia="Times New Roman" w:hAnsi="Times New Roman"/>
                <w:sz w:val="14"/>
                <w:szCs w:val="14"/>
                <w:b w:val="1"/>
                <w:bCs w:val="1"/>
                <w:color w:val="auto"/>
              </w:rPr>
              <w:t>Before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available to common shareholders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(82,617)</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and Tangible Equity per Share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Tangible equity is defined as shareholders' equity plus mezzanine Series A Preferred Shares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shareholders’ equity to tangible equity as of June 30, 2022 and December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220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0"/>
                <w:szCs w:val="10"/>
                <w:color w:val="auto"/>
              </w:rPr>
            </w:pPr>
          </w:p>
        </w:tc>
        <w:tc>
          <w:tcPr>
            <w:tcW w:w="940" w:type="dxa"/>
            <w:vAlign w:val="bottom"/>
          </w:tcPr>
          <w:p>
            <w:pPr>
              <w:jc w:val="center"/>
              <w:ind w:right="81"/>
              <w:spacing w:after="0" w:line="126"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0"/>
                <w:szCs w:val="10"/>
                <w:color w:val="auto"/>
              </w:rPr>
            </w:pPr>
          </w:p>
        </w:tc>
        <w:tc>
          <w:tcPr>
            <w:tcW w:w="940" w:type="dxa"/>
            <w:vAlign w:val="bottom"/>
          </w:tcPr>
          <w:p>
            <w:pPr>
              <w:jc w:val="right"/>
              <w:ind w:right="141"/>
              <w:spacing w:after="0" w:line="126"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amounts)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594,386</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2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Tangible equity</w:t>
            </w:r>
          </w:p>
        </w:tc>
        <w:tc>
          <w:tcPr>
            <w:tcW w:w="240" w:type="dxa"/>
            <w:vAlign w:val="bottom"/>
            <w:tcBorders>
              <w:bottom w:val="single" w:sz="8" w:color="auto"/>
            </w:tcBorders>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521,596</w:t>
            </w:r>
          </w:p>
        </w:tc>
        <w:tc>
          <w:tcPr>
            <w:tcW w:w="26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
              <w:spacing w:after="0" w:line="192" w:lineRule="exact"/>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507,492</w:t>
            </w:r>
          </w:p>
        </w:tc>
        <w:tc>
          <w:tcPr>
            <w:tcW w:w="2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37,450,264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37,373,066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from assumed conversion of Series A Preferred Shares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5,640,158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 after assumed conversion of Series A Preferred Shares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43,090,422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37,373,066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There have been no material changes in market risk from the information provided in Item 7A of our Annual Report on Form 10-K for the year ended December 31, 2021. The fair values of our fixed maturity securities have been negatively impacted in 2022 by higher interest rates. For the six months ended June 30, 2022, unrealized losses on fixed maturities of $144.6 million were recognized in other comprehensive loss. Market risk was also reflected in net realized and unrealized investment losses of $22.1 million for the six months ended June 30, 2022, which included $11.0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$11.8 million </w:t>
      </w:r>
      <w:r>
        <w:rPr>
          <w:rFonts w:ascii="Times New Roman" w:cs="Times New Roman" w:eastAsia="Times New Roman" w:hAnsi="Times New Roman"/>
          <w:sz w:val="18"/>
          <w:szCs w:val="18"/>
          <w:color w:val="231F20"/>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unrealized losses related to changes in unrealized gains and losses on equity securities and bank loan participations,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2022,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1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our quarter ended June 30, 2022 that have materially affected, or are reasonably likely to materially affect, our internal control over financial reporting.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66"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“Amended Complaint”), which asserts claims under Sections 10(b) and 20(a) of the Securities Exchange Act of 1934 on behalf of a putative class of persons and entities that purchased the Company’s stock between February 22, 2019 and October 25, 2021. The Amended Complaint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Defendants filed a motion to dismiss on January 18, 2022. Plaintiffs’ opposition to the motion to dismiss was filed on March 4, 2022, and the Defendants’ reply to the Plaintiff's opposition was filed on April 4, 2022. On July 13, 2022, Plaintiffs filed a notice with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Court stating that they intend to seek leave to file an amended complaint no later than August 25, 2022. We believe that Plaintiffs’ claims are without merit and we intend to vigorously defend this lawsuit.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June 30, 2022 from those disclosed in our Annual Report on Form 10-K for the year ended December 31,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420" w:type="dxa"/>
            <w:vAlign w:val="bottom"/>
            <w:gridSpan w:val="16"/>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2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0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6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0" w:type="dxa"/>
            <w:vAlign w:val="bottom"/>
            <w:tcBorders>
              <w:top w:val="single" w:sz="8" w:color="auto"/>
            </w:tcBorders>
            <w:gridSpan w:val="17"/>
          </w:tcPr>
          <w:p>
            <w:pPr>
              <w:spacing w:after="0" w:line="184"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Incorporation of James River Group Holdings, Ltd. (incorporated by reference to Exhibit 3.1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0" w:type="dxa"/>
            <w:vAlign w:val="bottom"/>
            <w:gridSpan w:val="1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on Form S-1, Registration No. 333-199958, filed with the Commission on November 7, 2014)</w:t>
              </w:r>
            </w:hyperlink>
          </w:p>
        </w:tc>
        <w:tc>
          <w:tcPr>
            <w:tcW w:w="20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0" w:type="dxa"/>
            <w:vAlign w:val="bottom"/>
            <w:gridSpan w:val="1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0" w:type="dxa"/>
            <w:vAlign w:val="bottom"/>
            <w:gridSpan w:val="17"/>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Deposit of Memorandum of Increase of Share Capital, dated December 24, 2007 (incorporated by reference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to Exhibit 3.4 of the Registration Statement on Form S-1, Registration No. 333-199958,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6"/>
              </w:rPr>
            </w:pPr>
            <w:hyperlink r:id="rId78">
              <w:r>
                <w:rPr>
                  <w:rFonts w:ascii="Times New Roman" w:cs="Times New Roman" w:eastAsia="Times New Roman" w:hAnsi="Times New Roman"/>
                  <w:sz w:val="18"/>
                  <w:szCs w:val="18"/>
                  <w:color w:val="0000FF"/>
                  <w:w w:val="96"/>
                </w:rPr>
                <w:t>November 7, 2014)</w:t>
              </w:r>
            </w:hyperlink>
          </w:p>
        </w:tc>
        <w:tc>
          <w:tcPr>
            <w:tcW w:w="724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1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Exhibit 3.5 of the Registration Statement on Form S-1, Registration No. 333-199958, filed with the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6"/>
              </w:rPr>
            </w:pPr>
            <w:hyperlink r:id="rId79">
              <w:r>
                <w:rPr>
                  <w:rFonts w:ascii="Times New Roman" w:cs="Times New Roman" w:eastAsia="Times New Roman" w:hAnsi="Times New Roman"/>
                  <w:sz w:val="18"/>
                  <w:szCs w:val="18"/>
                  <w:color w:val="0000FF"/>
                  <w:w w:val="96"/>
                </w:rPr>
                <w:t>November 7, 2014)</w:t>
              </w:r>
            </w:hyperlink>
          </w:p>
        </w:tc>
        <w:tc>
          <w:tcPr>
            <w:tcW w:w="73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17"/>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Third Amended and Restated Bye-Laws of James River Group Holdings, Ltd. (incorporated by reference to Exhibit 3.6 to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the Annual Report on Form 10-K filed on March 12, 2015, Commission File No. 001-36777)</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Chief Executive Officer Certification pursuant to Rule 13a-14(a)/15d-14(a)</w:t>
            </w:r>
          </w:p>
        </w:tc>
        <w:tc>
          <w:tcPr>
            <w:tcW w:w="1260" w:type="dxa"/>
            <w:vAlign w:val="bottom"/>
            <w:tcBorders>
              <w:top w:val="single" w:sz="8" w:color="0000FF"/>
            </w:tcBorders>
          </w:tcPr>
          <w:p>
            <w:pPr>
              <w:spacing w:after="0"/>
              <w:rPr>
                <w:sz w:val="24"/>
                <w:szCs w:val="24"/>
                <w:color w:val="auto"/>
              </w:rPr>
            </w:pPr>
          </w:p>
        </w:tc>
        <w:tc>
          <w:tcPr>
            <w:tcW w:w="22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13a-14(a)/15d-14(a)</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Chief Executive Officer and Chief Financial Officer Certification pursuant to 18 U.S.C. Section 1350, as adopted</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54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58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James River Group Holdings, Ltd.</w:t>
            </w:r>
          </w:p>
        </w:tc>
      </w:tr>
      <w:tr>
        <w:trPr>
          <w:trHeight w:val="4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2, 2022</w:t>
            </w:r>
          </w:p>
        </w:tc>
        <w:tc>
          <w:tcPr>
            <w:tcW w:w="2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N. D’Orazio</w:t>
            </w:r>
          </w:p>
        </w:tc>
      </w:tr>
      <w:tr>
        <w:trPr>
          <w:trHeight w:val="213"/>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N. D’Orazio</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2, 2022</w:t>
            </w:r>
          </w:p>
        </w:tc>
        <w:tc>
          <w:tcPr>
            <w:tcW w:w="2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C. Doran</w:t>
            </w:r>
          </w:p>
        </w:tc>
      </w:tr>
      <w:tr>
        <w:trPr>
          <w:trHeight w:val="213"/>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1" w:right="5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550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3542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4" w:lineRule="exact"/>
        <w:rPr>
          <w:sz w:val="20"/>
          <w:szCs w:val="20"/>
          <w:color w:val="auto"/>
        </w:rPr>
      </w:pPr>
    </w:p>
    <w:p>
      <w:pPr>
        <w:jc w:val="both"/>
        <w:ind w:right="140"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James River Group Holdings, Ltd. (the “Company”) on Form 10-Q for the period ended June 30, 2022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4" w:lineRule="exact"/>
        <w:rPr>
          <w:sz w:val="20"/>
          <w:szCs w:val="20"/>
          <w:color w:val="auto"/>
        </w:rPr>
      </w:pPr>
    </w:p>
    <w:p>
      <w:pPr>
        <w:ind w:left="640" w:hanging="63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2, 2022</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2, 2022</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2"/>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amp;"/>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75" Type="http://schemas.openxmlformats.org/officeDocument/2006/relationships/hyperlink" Target="http://www.sec.gov/Archives/edgar/data/1620459/000157104914005924/t1401933_ex3-1.htm" TargetMode="External"/><Relationship Id="rId76" Type="http://schemas.openxmlformats.org/officeDocument/2006/relationships/hyperlink" Target="http://www.sec.gov/Archives/edgar/data/1620459/000157104914005924/t1401933_ex3-2.htm" TargetMode="External"/><Relationship Id="rId77" Type="http://schemas.openxmlformats.org/officeDocument/2006/relationships/hyperlink" Target="http://www.sec.gov/Archives/edgar/data/1620459/000157104914005924/t1401933_ex3-3.htm" TargetMode="External"/><Relationship Id="rId78" Type="http://schemas.openxmlformats.org/officeDocument/2006/relationships/hyperlink" Target="http://www.sec.gov/Archives/edgar/data/1620459/000157104914005924/t1401933_ex3-4.htm" TargetMode="External"/><Relationship Id="rId79" Type="http://schemas.openxmlformats.org/officeDocument/2006/relationships/hyperlink" Target="http://www.sec.gov/Archives/edgar/data/1620459/000157104914005924/t1401933_ex3-5.htm" TargetMode="External"/><Relationship Id="rId80"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2022-08-02T15:29:17Z</dcterms:created>
  <dcterms:modified xsi:type="dcterms:W3CDTF">2022-08-02T15:29:17Z</dcterms:modified>
</cp:coreProperties>
</file>