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233680</wp:posOffset>
            </wp:positionH>
            <wp:positionV relativeFrom="page">
              <wp:posOffset>483235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440055</wp:posOffset>
            </wp:positionV>
            <wp:extent cx="7089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71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500" w:type="dxa"/>
            <w:vAlign w:val="bottom"/>
            <w:vMerge w:val="restart"/>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10740" w:type="dxa"/>
            <w:vAlign w:val="bottom"/>
            <w:gridSpan w:val="2"/>
          </w:tcPr>
          <w:p>
            <w:pPr>
              <w:ind w:left="260"/>
              <w:spacing w:after="0"/>
              <w:rPr>
                <w:sz w:val="20"/>
                <w:szCs w:val="20"/>
                <w:color w:val="auto"/>
              </w:rPr>
            </w:pPr>
            <w:r>
              <w:rPr>
                <w:rFonts w:ascii="Arial" w:cs="Arial" w:eastAsia="Arial" w:hAnsi="Arial"/>
                <w:sz w:val="22"/>
                <w:szCs w:val="22"/>
                <w:b w:val="1"/>
                <w:bCs w:val="1"/>
                <w:color w:val="auto"/>
                <w:w w:val="90"/>
              </w:rPr>
              <w:t>Quarterly report pursuant to Section 13 or 15(d) of the Securities Exchange Act of 1934 for the quarterly period</w:t>
            </w:r>
          </w:p>
        </w:tc>
        <w:tc>
          <w:tcPr>
            <w:tcW w:w="0" w:type="dxa"/>
            <w:vAlign w:val="bottom"/>
          </w:tcPr>
          <w:p>
            <w:pPr>
              <w:spacing w:after="0"/>
              <w:rPr>
                <w:sz w:val="1"/>
                <w:szCs w:val="1"/>
                <w:color w:val="auto"/>
              </w:rPr>
            </w:pPr>
          </w:p>
        </w:tc>
      </w:tr>
      <w:tr>
        <w:trPr>
          <w:trHeight w:val="291"/>
        </w:trPr>
        <w:tc>
          <w:tcPr>
            <w:tcW w:w="500" w:type="dxa"/>
            <w:vAlign w:val="bottom"/>
            <w:vMerge w:val="continue"/>
          </w:tcPr>
          <w:p>
            <w:pPr>
              <w:spacing w:after="0"/>
              <w:rPr>
                <w:sz w:val="24"/>
                <w:szCs w:val="24"/>
                <w:color w:val="auto"/>
              </w:rPr>
            </w:pPr>
          </w:p>
        </w:tc>
        <w:tc>
          <w:tcPr>
            <w:tcW w:w="3120" w:type="dxa"/>
            <w:vAlign w:val="bottom"/>
          </w:tcPr>
          <w:p>
            <w:pPr>
              <w:ind w:left="260"/>
              <w:spacing w:after="0"/>
              <w:rPr>
                <w:sz w:val="20"/>
                <w:szCs w:val="20"/>
                <w:color w:val="auto"/>
              </w:rPr>
            </w:pPr>
            <w:r>
              <w:rPr>
                <w:rFonts w:ascii="Arial" w:cs="Arial" w:eastAsia="Arial" w:hAnsi="Arial"/>
                <w:sz w:val="22"/>
                <w:szCs w:val="22"/>
                <w:b w:val="1"/>
                <w:bCs w:val="1"/>
                <w:color w:val="auto"/>
              </w:rPr>
              <w:t>ended June 30, 2020</w:t>
            </w:r>
          </w:p>
        </w:tc>
        <w:tc>
          <w:tcPr>
            <w:tcW w:w="7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620" w:type="dxa"/>
            <w:vAlign w:val="bottom"/>
          </w:tcPr>
          <w:p>
            <w:pPr>
              <w:jc w:val="center"/>
              <w:ind w:right="3376"/>
              <w:spacing w:after="0"/>
              <w:rPr>
                <w:sz w:val="20"/>
                <w:szCs w:val="20"/>
                <w:color w:val="auto"/>
              </w:rPr>
            </w:pPr>
            <w:r>
              <w:rPr>
                <w:rFonts w:ascii="Arial" w:cs="Arial" w:eastAsia="Arial" w:hAnsi="Arial"/>
                <w:sz w:val="18"/>
                <w:szCs w:val="18"/>
                <w:b w:val="1"/>
                <w:bCs w:val="1"/>
                <w:color w:val="auto"/>
                <w:w w:val="88"/>
              </w:rPr>
              <w:t>or</w:t>
            </w:r>
          </w:p>
        </w:tc>
        <w:tc>
          <w:tcPr>
            <w:tcW w:w="0" w:type="dxa"/>
            <w:vAlign w:val="bottom"/>
          </w:tcPr>
          <w:p>
            <w:pPr>
              <w:spacing w:after="0"/>
              <w:rPr>
                <w:sz w:val="1"/>
                <w:szCs w:val="1"/>
                <w:color w:val="auto"/>
              </w:rPr>
            </w:pPr>
          </w:p>
        </w:tc>
      </w:tr>
      <w:tr>
        <w:trPr>
          <w:trHeight w:val="364"/>
        </w:trPr>
        <w:tc>
          <w:tcPr>
            <w:tcW w:w="500" w:type="dxa"/>
            <w:vAlign w:val="bottom"/>
            <w:vMerge w:val="restart"/>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10740" w:type="dxa"/>
            <w:vAlign w:val="bottom"/>
            <w:gridSpan w:val="2"/>
          </w:tcPr>
          <w:p>
            <w:pPr>
              <w:ind w:left="260"/>
              <w:spacing w:after="0"/>
              <w:rPr>
                <w:sz w:val="20"/>
                <w:szCs w:val="20"/>
                <w:color w:val="auto"/>
              </w:rPr>
            </w:pPr>
            <w:r>
              <w:rPr>
                <w:rFonts w:ascii="Arial" w:cs="Arial" w:eastAsia="Arial" w:hAnsi="Arial"/>
                <w:sz w:val="22"/>
                <w:szCs w:val="22"/>
                <w:b w:val="1"/>
                <w:bCs w:val="1"/>
                <w:color w:val="auto"/>
                <w:w w:val="89"/>
              </w:rPr>
              <w:t>Transition report pursuant to Section 13 or 15(d) of the Securities Exchange Act of 1934 for the transition period</w:t>
            </w:r>
          </w:p>
        </w:tc>
        <w:tc>
          <w:tcPr>
            <w:tcW w:w="0" w:type="dxa"/>
            <w:vAlign w:val="bottom"/>
          </w:tcPr>
          <w:p>
            <w:pPr>
              <w:spacing w:after="0"/>
              <w:rPr>
                <w:sz w:val="1"/>
                <w:szCs w:val="1"/>
                <w:color w:val="auto"/>
              </w:rPr>
            </w:pPr>
          </w:p>
        </w:tc>
      </w:tr>
      <w:tr>
        <w:trPr>
          <w:trHeight w:val="304"/>
        </w:trPr>
        <w:tc>
          <w:tcPr>
            <w:tcW w:w="500" w:type="dxa"/>
            <w:vAlign w:val="bottom"/>
            <w:vMerge w:val="continue"/>
          </w:tcPr>
          <w:p>
            <w:pPr>
              <w:spacing w:after="0"/>
              <w:rPr>
                <w:sz w:val="24"/>
                <w:szCs w:val="24"/>
                <w:color w:val="auto"/>
              </w:rPr>
            </w:pPr>
          </w:p>
        </w:tc>
        <w:tc>
          <w:tcPr>
            <w:tcW w:w="3120" w:type="dxa"/>
            <w:vAlign w:val="bottom"/>
          </w:tcPr>
          <w:p>
            <w:pPr>
              <w:ind w:left="260"/>
              <w:spacing w:after="0"/>
              <w:rPr>
                <w:sz w:val="20"/>
                <w:szCs w:val="20"/>
                <w:color w:val="auto"/>
              </w:rPr>
            </w:pPr>
            <w:r>
              <w:rPr>
                <w:rFonts w:ascii="Arial" w:cs="Arial" w:eastAsia="Arial" w:hAnsi="Arial"/>
                <w:sz w:val="22"/>
                <w:szCs w:val="22"/>
                <w:b w:val="1"/>
                <w:bCs w:val="1"/>
                <w:color w:val="auto"/>
              </w:rPr>
              <w:t>from _______ to _______</w:t>
            </w:r>
          </w:p>
        </w:tc>
        <w:tc>
          <w:tcPr>
            <w:tcW w:w="7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5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620" w:type="dxa"/>
            <w:vAlign w:val="bottom"/>
          </w:tcPr>
          <w:p>
            <w:pPr>
              <w:jc w:val="center"/>
              <w:ind w:right="3356"/>
              <w:spacing w:after="0"/>
              <w:rPr>
                <w:sz w:val="20"/>
                <w:szCs w:val="20"/>
                <w:color w:val="auto"/>
              </w:rPr>
            </w:pPr>
            <w:r>
              <w:rPr>
                <w:rFonts w:ascii="Arial" w:cs="Arial" w:eastAsia="Arial" w:hAnsi="Arial"/>
                <w:sz w:val="18"/>
                <w:szCs w:val="18"/>
                <w:b w:val="1"/>
                <w:bCs w:val="1"/>
                <w:color w:val="auto"/>
                <w:w w:val="91"/>
              </w:rPr>
              <w:t>Commission File Number: 001-36777</w:t>
            </w:r>
          </w:p>
        </w:tc>
        <w:tc>
          <w:tcPr>
            <w:tcW w:w="0" w:type="dxa"/>
            <w:vAlign w:val="bottom"/>
          </w:tcPr>
          <w:p>
            <w:pPr>
              <w:spacing w:after="0"/>
              <w:rPr>
                <w:sz w:val="1"/>
                <w:szCs w:val="1"/>
                <w:color w:val="auto"/>
              </w:rPr>
            </w:pPr>
          </w:p>
        </w:tc>
      </w:tr>
      <w:tr>
        <w:trPr>
          <w:trHeight w:val="121"/>
        </w:trPr>
        <w:tc>
          <w:tcPr>
            <w:tcW w:w="500" w:type="dxa"/>
            <w:vAlign w:val="bottom"/>
            <w:tcBorders>
              <w:bottom w:val="single" w:sz="8" w:color="auto"/>
            </w:tcBorders>
          </w:tcPr>
          <w:p>
            <w:pPr>
              <w:spacing w:after="0"/>
              <w:rPr>
                <w:sz w:val="10"/>
                <w:szCs w:val="10"/>
                <w:color w:val="auto"/>
              </w:rPr>
            </w:pPr>
          </w:p>
        </w:tc>
        <w:tc>
          <w:tcPr>
            <w:tcW w:w="10740" w:type="dxa"/>
            <w:vAlign w:val="bottom"/>
            <w:tcBorders>
              <w:bottom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547"/>
        </w:trPr>
        <w:tc>
          <w:tcPr>
            <w:tcW w:w="500" w:type="dxa"/>
            <w:vAlign w:val="bottom"/>
            <w:tcBorders>
              <w:bottom w:val="single" w:sz="8" w:color="auto"/>
            </w:tcBorders>
          </w:tcPr>
          <w:p>
            <w:pPr>
              <w:spacing w:after="0"/>
              <w:rPr>
                <w:sz w:val="24"/>
                <w:szCs w:val="24"/>
                <w:color w:val="auto"/>
              </w:rPr>
            </w:pPr>
          </w:p>
        </w:tc>
        <w:tc>
          <w:tcPr>
            <w:tcW w:w="10740" w:type="dxa"/>
            <w:vAlign w:val="bottom"/>
            <w:tcBorders>
              <w:bottom w:val="single" w:sz="8" w:color="auto"/>
            </w:tcBorders>
            <w:gridSpan w:val="2"/>
          </w:tcPr>
          <w:p>
            <w:pPr>
              <w:jc w:val="center"/>
              <w:ind w:right="416"/>
              <w:spacing w:after="0"/>
              <w:rPr>
                <w:sz w:val="20"/>
                <w:szCs w:val="20"/>
                <w:color w:val="auto"/>
              </w:rPr>
            </w:pPr>
            <w:r>
              <w:rPr>
                <w:rFonts w:ascii="Arial" w:cs="Arial" w:eastAsia="Arial" w:hAnsi="Arial"/>
                <w:sz w:val="43"/>
                <w:szCs w:val="43"/>
                <w:b w:val="1"/>
                <w:bCs w:val="1"/>
                <w:color w:val="auto"/>
              </w:rPr>
              <w:t>JAMES RIVER GROUP HOLDINGS, LTD.</w:t>
            </w:r>
          </w:p>
        </w:tc>
        <w:tc>
          <w:tcPr>
            <w:tcW w:w="0" w:type="dxa"/>
            <w:vAlign w:val="bottom"/>
          </w:tcPr>
          <w:p>
            <w:pPr>
              <w:spacing w:after="0"/>
              <w:rPr>
                <w:sz w:val="1"/>
                <w:szCs w:val="1"/>
                <w:color w:val="auto"/>
              </w:rPr>
            </w:pPr>
          </w:p>
        </w:tc>
      </w:tr>
      <w:tr>
        <w:trPr>
          <w:trHeight w:val="520"/>
        </w:trPr>
        <w:tc>
          <w:tcPr>
            <w:tcW w:w="5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620" w:type="dxa"/>
            <w:vAlign w:val="bottom"/>
          </w:tcPr>
          <w:p>
            <w:pPr>
              <w:jc w:val="center"/>
              <w:ind w:right="351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0" w:type="dxa"/>
            <w:vAlign w:val="bottom"/>
          </w:tcPr>
          <w:p>
            <w:pPr>
              <w:spacing w:after="0"/>
              <w:rPr>
                <w:sz w:val="1"/>
                <w:szCs w:val="1"/>
                <w:color w:val="auto"/>
              </w:rPr>
            </w:pPr>
          </w:p>
        </w:tc>
      </w:tr>
      <w:tr>
        <w:trPr>
          <w:trHeight w:val="351"/>
        </w:trPr>
        <w:tc>
          <w:tcPr>
            <w:tcW w:w="500" w:type="dxa"/>
            <w:vAlign w:val="bottom"/>
          </w:tcPr>
          <w:p>
            <w:pPr>
              <w:spacing w:after="0"/>
              <w:rPr>
                <w:sz w:val="24"/>
                <w:szCs w:val="24"/>
                <w:color w:val="auto"/>
              </w:rPr>
            </w:pPr>
          </w:p>
        </w:tc>
        <w:tc>
          <w:tcPr>
            <w:tcW w:w="3120" w:type="dxa"/>
            <w:vAlign w:val="bottom"/>
          </w:tcPr>
          <w:p>
            <w:pPr>
              <w:jc w:val="center"/>
              <w:ind w:left="1090"/>
              <w:spacing w:after="0"/>
              <w:rPr>
                <w:sz w:val="20"/>
                <w:szCs w:val="20"/>
                <w:color w:val="auto"/>
              </w:rPr>
            </w:pPr>
            <w:r>
              <w:rPr>
                <w:rFonts w:ascii="Arial" w:cs="Arial" w:eastAsia="Arial" w:hAnsi="Arial"/>
                <w:sz w:val="18"/>
                <w:szCs w:val="18"/>
                <w:b w:val="1"/>
                <w:bCs w:val="1"/>
                <w:color w:val="auto"/>
                <w:w w:val="92"/>
              </w:rPr>
              <w:t>Bermuda</w:t>
            </w:r>
          </w:p>
        </w:tc>
        <w:tc>
          <w:tcPr>
            <w:tcW w:w="7620" w:type="dxa"/>
            <w:vAlign w:val="bottom"/>
          </w:tcPr>
          <w:p>
            <w:pPr>
              <w:jc w:val="center"/>
              <w:ind w:left="2196"/>
              <w:spacing w:after="0"/>
              <w:rPr>
                <w:sz w:val="20"/>
                <w:szCs w:val="20"/>
                <w:color w:val="auto"/>
              </w:rPr>
            </w:pPr>
            <w:r>
              <w:rPr>
                <w:rFonts w:ascii="Arial" w:cs="Arial" w:eastAsia="Arial" w:hAnsi="Arial"/>
                <w:sz w:val="18"/>
                <w:szCs w:val="18"/>
                <w:b w:val="1"/>
                <w:bCs w:val="1"/>
                <w:color w:val="auto"/>
                <w:w w:val="89"/>
              </w:rPr>
              <w:t>98-0585280</w:t>
            </w: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3120" w:type="dxa"/>
            <w:vAlign w:val="bottom"/>
          </w:tcPr>
          <w:p>
            <w:pPr>
              <w:jc w:val="center"/>
              <w:ind w:left="1130"/>
              <w:spacing w:after="0"/>
              <w:rPr>
                <w:sz w:val="20"/>
                <w:szCs w:val="20"/>
                <w:color w:val="auto"/>
              </w:rPr>
            </w:pPr>
            <w:r>
              <w:rPr>
                <w:rFonts w:ascii="Arial" w:cs="Arial" w:eastAsia="Arial" w:hAnsi="Arial"/>
                <w:sz w:val="14"/>
                <w:szCs w:val="14"/>
                <w:b w:val="1"/>
                <w:bCs w:val="1"/>
                <w:color w:val="auto"/>
                <w:w w:val="93"/>
              </w:rPr>
              <w:t>(State or other jurisdiction of</w:t>
            </w:r>
          </w:p>
        </w:tc>
        <w:tc>
          <w:tcPr>
            <w:tcW w:w="7620" w:type="dxa"/>
            <w:vAlign w:val="bottom"/>
          </w:tcPr>
          <w:p>
            <w:pPr>
              <w:jc w:val="center"/>
              <w:ind w:left="2256"/>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500" w:type="dxa"/>
            <w:vAlign w:val="bottom"/>
          </w:tcPr>
          <w:p>
            <w:pPr>
              <w:spacing w:after="0"/>
              <w:rPr>
                <w:sz w:val="16"/>
                <w:szCs w:val="16"/>
                <w:color w:val="auto"/>
              </w:rPr>
            </w:pPr>
          </w:p>
        </w:tc>
        <w:tc>
          <w:tcPr>
            <w:tcW w:w="3120" w:type="dxa"/>
            <w:vAlign w:val="bottom"/>
          </w:tcPr>
          <w:p>
            <w:pPr>
              <w:jc w:val="center"/>
              <w:ind w:left="1130"/>
              <w:spacing w:after="0"/>
              <w:rPr>
                <w:sz w:val="20"/>
                <w:szCs w:val="20"/>
                <w:color w:val="auto"/>
              </w:rPr>
            </w:pPr>
            <w:r>
              <w:rPr>
                <w:rFonts w:ascii="Arial" w:cs="Arial" w:eastAsia="Arial" w:hAnsi="Arial"/>
                <w:sz w:val="14"/>
                <w:szCs w:val="14"/>
                <w:b w:val="1"/>
                <w:bCs w:val="1"/>
                <w:color w:val="auto"/>
                <w:w w:val="94"/>
              </w:rPr>
              <w:t>incorporation or organization)</w:t>
            </w:r>
          </w:p>
        </w:tc>
        <w:tc>
          <w:tcPr>
            <w:tcW w:w="7620" w:type="dxa"/>
            <w:vAlign w:val="bottom"/>
          </w:tcPr>
          <w:p>
            <w:pPr>
              <w:jc w:val="center"/>
              <w:ind w:left="2256"/>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bl>
    <w:p>
      <w:pPr>
        <w:spacing w:after="0" w:line="295" w:lineRule="exact"/>
        <w:rPr>
          <w:sz w:val="24"/>
          <w:szCs w:val="24"/>
          <w:color w:val="auto"/>
        </w:rPr>
      </w:pPr>
    </w:p>
    <w:p>
      <w:pPr>
        <w:jc w:val="center"/>
        <w:ind w:left="480" w:right="2660"/>
        <w:spacing w:after="0" w:line="275" w:lineRule="auto"/>
        <w:rPr>
          <w:sz w:val="20"/>
          <w:szCs w:val="20"/>
          <w:color w:val="auto"/>
        </w:rPr>
      </w:pPr>
      <w:r>
        <w:rPr>
          <w:rFonts w:ascii="Arial" w:cs="Arial" w:eastAsia="Arial" w:hAnsi="Arial"/>
          <w:sz w:val="18"/>
          <w:szCs w:val="18"/>
          <w:b w:val="1"/>
          <w:bCs w:val="1"/>
          <w:color w:val="auto"/>
        </w:rPr>
        <w:t>Wellesley House, 2nd Floor, 90 Pitts Bay Road, Pembroke HM08, Bermuda (Address of principal executive offices) (Zip Code)</w:t>
      </w:r>
    </w:p>
    <w:p>
      <w:pPr>
        <w:spacing w:after="0" w:line="228"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(441) 278-4580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9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324"/>
        </w:trPr>
        <w:tc>
          <w:tcPr>
            <w:tcW w:w="22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380" w:type="dxa"/>
            <w:vAlign w:val="bottom"/>
          </w:tcPr>
          <w:p>
            <w:pPr>
              <w:spacing w:after="0"/>
              <w:rPr>
                <w:sz w:val="24"/>
                <w:szCs w:val="24"/>
                <w:color w:val="auto"/>
              </w:rPr>
            </w:pPr>
          </w:p>
        </w:tc>
        <w:tc>
          <w:tcPr>
            <w:tcW w:w="180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Trading Symbol(s)</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Names of each exchange on which registered</w:t>
            </w:r>
          </w:p>
        </w:tc>
      </w:tr>
      <w:tr>
        <w:trPr>
          <w:trHeight w:val="20"/>
        </w:trPr>
        <w:tc>
          <w:tcPr>
            <w:tcW w:w="2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r>
      <w:tr>
        <w:trPr>
          <w:trHeight w:val="290"/>
        </w:trPr>
        <w:tc>
          <w:tcPr>
            <w:tcW w:w="4900" w:type="dxa"/>
            <w:vAlign w:val="bottom"/>
            <w:gridSpan w:val="3"/>
          </w:tcPr>
          <w:p>
            <w:pPr>
              <w:jc w:val="center"/>
              <w:ind w:left="730"/>
              <w:spacing w:after="0"/>
              <w:rPr>
                <w:sz w:val="20"/>
                <w:szCs w:val="20"/>
                <w:color w:val="auto"/>
              </w:rPr>
            </w:pPr>
            <w:r>
              <w:rPr>
                <w:rFonts w:ascii="Arial" w:cs="Arial" w:eastAsia="Arial" w:hAnsi="Arial"/>
                <w:sz w:val="18"/>
                <w:szCs w:val="18"/>
                <w:color w:val="auto"/>
                <w:w w:val="88"/>
              </w:rPr>
              <w:t>Common Shares, par value $0.0002 per share</w:t>
            </w:r>
          </w:p>
        </w:tc>
        <w:tc>
          <w:tcPr>
            <w:tcW w:w="180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JRVR</w:t>
            </w:r>
          </w:p>
        </w:tc>
        <w:tc>
          <w:tcPr>
            <w:tcW w:w="3260" w:type="dxa"/>
            <w:vAlign w:val="bottom"/>
          </w:tcPr>
          <w:p>
            <w:pPr>
              <w:jc w:val="center"/>
              <w:spacing w:after="0"/>
              <w:rPr>
                <w:sz w:val="20"/>
                <w:szCs w:val="20"/>
                <w:color w:val="auto"/>
              </w:rPr>
            </w:pPr>
            <w:r>
              <w:rPr>
                <w:rFonts w:ascii="Arial" w:cs="Arial" w:eastAsia="Arial" w:hAnsi="Arial"/>
                <w:sz w:val="18"/>
                <w:szCs w:val="18"/>
                <w:color w:val="auto"/>
                <w:w w:val="96"/>
              </w:rPr>
              <w:t>NASDAQ  Global Select Market</w:t>
            </w:r>
          </w:p>
        </w:tc>
      </w:tr>
    </w:tbl>
    <w:p>
      <w:pPr>
        <w:spacing w:after="0" w:line="12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7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p>
      <w:pPr>
        <w:ind w:left="20"/>
        <w:spacing w:after="0" w:line="184" w:lineRule="exact"/>
        <w:tabs>
          <w:tab w:leader="none" w:pos="1960" w:val="left"/>
          <w:tab w:leader="none" w:pos="2160" w:val="left"/>
          <w:tab w:leader="none" w:pos="3660" w:val="left"/>
          <w:tab w:leader="none" w:pos="5700" w:val="left"/>
          <w:tab w:leader="none" w:pos="8320" w:val="left"/>
          <w:tab w:leader="none" w:pos="1100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79"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380" w:val="left"/>
          <w:tab w:leader="none" w:pos="780" w:val="left"/>
          <w:tab w:leader="none" w:pos="112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the registrant's common shares outstanding at July 28, 2020: 30,553,178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James River Group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76"/>
        </w:trPr>
        <w:tc>
          <w:tcPr>
            <w:tcW w:w="10420" w:type="dxa"/>
            <w:vAlign w:val="bottom"/>
            <w:gridSpan w:val="6"/>
            <w:shd w:val="clear" w:color="auto" w:fill="CCEEFF"/>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PART I. FINANCIAL INFORMATION</w:t>
              </w:r>
            </w:hyperlink>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80" w:type="dxa"/>
            <w:vAlign w:val="bottom"/>
            <w:shd w:val="clear" w:color="auto" w:fill="CCEEFF"/>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9440" w:type="dxa"/>
            <w:vAlign w:val="bottom"/>
            <w:gridSpan w:val="5"/>
            <w:shd w:val="clear" w:color="auto" w:fill="CCEEFF"/>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Statements</w:t>
              </w:r>
            </w:hyperlink>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440" w:type="dxa"/>
            <w:vAlign w:val="bottom"/>
            <w:gridSpan w:val="5"/>
            <w:shd w:val="clear" w:color="auto" w:fill="CCEEFF"/>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Balance Sheets—June 30, 2020 and December 31, 2019</w:t>
              </w:r>
            </w:hyperlink>
          </w:p>
        </w:tc>
        <w:tc>
          <w:tcPr>
            <w:tcW w:w="820" w:type="dxa"/>
            <w:vAlign w:val="bottom"/>
            <w:shd w:val="clear" w:color="auto" w:fill="CCEEFF"/>
          </w:tcPr>
          <w:p>
            <w:pPr>
              <w:jc w:val="center"/>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5</w:t>
              </w:r>
            </w:hyperlink>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980" w:type="dxa"/>
            <w:vAlign w:val="bottom"/>
            <w:shd w:val="clear" w:color="auto" w:fill="CCEEFF"/>
          </w:tcPr>
          <w:p>
            <w:pPr>
              <w:spacing w:after="0"/>
              <w:rPr>
                <w:sz w:val="18"/>
                <w:szCs w:val="18"/>
                <w:color w:val="auto"/>
              </w:rPr>
            </w:pPr>
          </w:p>
        </w:tc>
        <w:tc>
          <w:tcPr>
            <w:tcW w:w="9440" w:type="dxa"/>
            <w:vAlign w:val="bottom"/>
            <w:gridSpan w:val="5"/>
            <w:shd w:val="clear" w:color="auto" w:fill="CCEEFF"/>
          </w:tcPr>
          <w:p>
            <w:pPr>
              <w:spacing w:after="0" w:line="189" w:lineRule="exact"/>
              <w:rPr>
                <w:rFonts w:ascii="Arial" w:cs="Arial" w:eastAsia="Arial" w:hAnsi="Arial"/>
                <w:sz w:val="18"/>
                <w:szCs w:val="18"/>
                <w:color w:val="0000FF"/>
                <w:w w:val="90"/>
              </w:rPr>
            </w:pPr>
            <w:hyperlink w:anchor="page6">
              <w:r>
                <w:rPr>
                  <w:rFonts w:ascii="Arial" w:cs="Arial" w:eastAsia="Arial" w:hAnsi="Arial"/>
                  <w:sz w:val="18"/>
                  <w:szCs w:val="18"/>
                  <w:color w:val="0000FF"/>
                  <w:w w:val="90"/>
                </w:rPr>
                <w:t xml:space="preserve">Condensed Consolidated Statements of Income </w:t>
              </w:r>
              <w:r>
                <w:rPr>
                  <w:rFonts w:ascii="Arial" w:cs="Arial" w:eastAsia="Arial" w:hAnsi="Arial"/>
                  <w:sz w:val="18"/>
                  <w:szCs w:val="18"/>
                  <w:u w:val="single" w:color="auto"/>
                  <w:color w:val="0000FF"/>
                  <w:w w:val="90"/>
                </w:rPr>
                <w:t>(Loss) and Comprehensive</w:t>
              </w:r>
              <w:r>
                <w:rPr>
                  <w:rFonts w:ascii="Arial" w:cs="Arial" w:eastAsia="Arial" w:hAnsi="Arial"/>
                  <w:sz w:val="18"/>
                  <w:szCs w:val="18"/>
                  <w:color w:val="0000FF"/>
                  <w:w w:val="90"/>
                </w:rPr>
                <w:t xml:space="preserve"> Income—Three and Six Months Ended June 30, 2020</w:t>
              </w:r>
            </w:hyperlink>
          </w:p>
        </w:tc>
        <w:tc>
          <w:tcPr>
            <w:tcW w:w="820" w:type="dxa"/>
            <w:vAlign w:val="bottom"/>
            <w:vMerge w:val="restart"/>
            <w:shd w:val="clear" w:color="auto" w:fill="CCEEFF"/>
          </w:tcPr>
          <w:p>
            <w:pPr>
              <w:jc w:val="center"/>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7</w:t>
              </w:r>
            </w:hyperlink>
          </w:p>
        </w:tc>
        <w:tc>
          <w:tcPr>
            <w:tcW w:w="0" w:type="dxa"/>
            <w:vAlign w:val="bottom"/>
          </w:tcPr>
          <w:p>
            <w:pPr>
              <w:spacing w:after="0"/>
              <w:rPr>
                <w:sz w:val="1"/>
                <w:szCs w:val="1"/>
                <w:color w:val="auto"/>
              </w:rPr>
            </w:pPr>
          </w:p>
        </w:tc>
      </w:tr>
      <w:tr>
        <w:trPr>
          <w:trHeight w:val="156"/>
        </w:trPr>
        <w:tc>
          <w:tcPr>
            <w:tcW w:w="980" w:type="dxa"/>
            <w:vAlign w:val="bottom"/>
            <w:tcBorders>
              <w:top w:val="single" w:sz="8" w:color="CCEEFF"/>
            </w:tcBorders>
            <w:shd w:val="clear" w:color="auto" w:fill="CCEEFF"/>
          </w:tcPr>
          <w:p>
            <w:pPr>
              <w:spacing w:after="0"/>
              <w:rPr>
                <w:sz w:val="13"/>
                <w:szCs w:val="13"/>
                <w:color w:val="auto"/>
              </w:rPr>
            </w:pPr>
          </w:p>
        </w:tc>
        <w:tc>
          <w:tcPr>
            <w:tcW w:w="3440" w:type="dxa"/>
            <w:vAlign w:val="bottom"/>
            <w:tcBorders>
              <w:top w:val="single" w:sz="8" w:color="0000FF"/>
            </w:tcBorders>
            <w:gridSpan w:val="2"/>
            <w:shd w:val="clear" w:color="auto" w:fill="CCEEFF"/>
          </w:tcPr>
          <w:p>
            <w:pPr>
              <w:spacing w:after="0" w:line="136" w:lineRule="exact"/>
              <w:rPr>
                <w:rFonts w:ascii="Arial" w:cs="Arial" w:eastAsia="Arial" w:hAnsi="Arial"/>
                <w:sz w:val="15"/>
                <w:szCs w:val="15"/>
                <w:color w:val="0000FF"/>
              </w:rPr>
            </w:pPr>
            <w:hyperlink w:anchor="page6">
              <w:r>
                <w:rPr>
                  <w:rFonts w:ascii="Arial" w:cs="Arial" w:eastAsia="Arial" w:hAnsi="Arial"/>
                  <w:sz w:val="15"/>
                  <w:szCs w:val="15"/>
                  <w:color w:val="0000FF"/>
                </w:rPr>
                <w:t>and 2019</w:t>
              </w:r>
            </w:hyperlink>
          </w:p>
        </w:tc>
        <w:tc>
          <w:tcPr>
            <w:tcW w:w="1980" w:type="dxa"/>
            <w:vAlign w:val="bottom"/>
            <w:tcBorders>
              <w:top w:val="single" w:sz="8" w:color="CCEEFF"/>
            </w:tcBorders>
            <w:shd w:val="clear" w:color="auto" w:fill="CCEEFF"/>
          </w:tcPr>
          <w:p>
            <w:pPr>
              <w:spacing w:after="0"/>
              <w:rPr>
                <w:sz w:val="13"/>
                <w:szCs w:val="13"/>
                <w:color w:val="auto"/>
              </w:rPr>
            </w:pPr>
          </w:p>
        </w:tc>
        <w:tc>
          <w:tcPr>
            <w:tcW w:w="388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8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2780" w:type="dxa"/>
            <w:vAlign w:val="bottom"/>
            <w:tcBorders>
              <w:top w:val="single" w:sz="8" w:color="CCEEFF"/>
            </w:tcBorders>
          </w:tcPr>
          <w:p>
            <w:pPr>
              <w:spacing w:after="0"/>
              <w:rPr>
                <w:sz w:val="23"/>
                <w:szCs w:val="23"/>
                <w:color w:val="auto"/>
              </w:rPr>
            </w:pPr>
          </w:p>
        </w:tc>
        <w:tc>
          <w:tcPr>
            <w:tcW w:w="1980" w:type="dxa"/>
            <w:vAlign w:val="bottom"/>
            <w:tcBorders>
              <w:top w:val="single" w:sz="8" w:color="CCEEFF"/>
            </w:tcBorders>
          </w:tcPr>
          <w:p>
            <w:pPr>
              <w:spacing w:after="0"/>
              <w:rPr>
                <w:sz w:val="23"/>
                <w:szCs w:val="23"/>
                <w:color w:val="auto"/>
              </w:rPr>
            </w:pPr>
          </w:p>
        </w:tc>
        <w:tc>
          <w:tcPr>
            <w:tcW w:w="38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440" w:type="dxa"/>
            <w:vAlign w:val="bottom"/>
            <w:gridSpan w:val="5"/>
            <w:shd w:val="clear" w:color="auto" w:fill="CCEEFF"/>
          </w:tcPr>
          <w:p>
            <w:pPr>
              <w:spacing w:after="0"/>
              <w:rPr>
                <w:rFonts w:ascii="Arial" w:cs="Arial" w:eastAsia="Arial" w:hAnsi="Arial"/>
                <w:sz w:val="18"/>
                <w:szCs w:val="18"/>
                <w:u w:val="single" w:color="auto"/>
                <w:color w:val="0000FF"/>
                <w:w w:val="90"/>
              </w:rPr>
            </w:pPr>
            <w:hyperlink w:anchor="page7">
              <w:r>
                <w:rPr>
                  <w:rFonts w:ascii="Arial" w:cs="Arial" w:eastAsia="Arial" w:hAnsi="Arial"/>
                  <w:sz w:val="18"/>
                  <w:szCs w:val="18"/>
                  <w:u w:val="single" w:color="auto"/>
                  <w:color w:val="0000FF"/>
                  <w:w w:val="90"/>
                </w:rPr>
                <w:t>Condensed Consolidated Statements of Changes in Shareholders’ Equity—Three and Six Months Ended June 30, 2020 and 2019</w:t>
              </w:r>
            </w:hyperlink>
          </w:p>
        </w:tc>
        <w:tc>
          <w:tcPr>
            <w:tcW w:w="820" w:type="dxa"/>
            <w:vAlign w:val="bottom"/>
            <w:shd w:val="clear" w:color="auto" w:fill="CCEEFF"/>
          </w:tcPr>
          <w:p>
            <w:pPr>
              <w:jc w:val="center"/>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8</w:t>
              </w:r>
            </w:hyperlink>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440" w:type="dxa"/>
            <w:vAlign w:val="bottom"/>
            <w:gridSpan w:val="5"/>
            <w:shd w:val="clear" w:color="auto" w:fill="CCEEFF"/>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Condensed Consolidated Statements of Cash Flows—Six Months Ended June 30, 2020 and 2019</w:t>
              </w:r>
            </w:hyperlink>
          </w:p>
        </w:tc>
        <w:tc>
          <w:tcPr>
            <w:tcW w:w="82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9">
              <w:r>
                <w:rPr>
                  <w:rFonts w:ascii="Arial" w:cs="Arial" w:eastAsia="Arial" w:hAnsi="Arial"/>
                  <w:sz w:val="18"/>
                  <w:szCs w:val="18"/>
                  <w:u w:val="single" w:color="auto"/>
                  <w:color w:val="0000FF"/>
                  <w:w w:val="89"/>
                </w:rPr>
                <w:t>10</w:t>
              </w:r>
            </w:hyperlink>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440" w:type="dxa"/>
            <w:vAlign w:val="bottom"/>
            <w:gridSpan w:val="5"/>
            <w:shd w:val="clear" w:color="auto" w:fill="CCEEFF"/>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Notes to Condensed Consolidated Financial Statements</w:t>
              </w:r>
            </w:hyperlink>
          </w:p>
        </w:tc>
        <w:tc>
          <w:tcPr>
            <w:tcW w:w="82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10">
              <w:r>
                <w:rPr>
                  <w:rFonts w:ascii="Arial" w:cs="Arial" w:eastAsia="Arial" w:hAnsi="Arial"/>
                  <w:sz w:val="18"/>
                  <w:szCs w:val="18"/>
                  <w:u w:val="single" w:color="auto"/>
                  <w:color w:val="0000FF"/>
                  <w:w w:val="89"/>
                </w:rPr>
                <w:t>11</w:t>
              </w:r>
            </w:hyperlink>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CCEEFF"/>
          </w:tcPr>
          <w:p>
            <w:pPr>
              <w:ind w:lef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2.</w:t>
              </w:r>
            </w:hyperlink>
          </w:p>
        </w:tc>
        <w:tc>
          <w:tcPr>
            <w:tcW w:w="9440" w:type="dxa"/>
            <w:vAlign w:val="bottom"/>
            <w:gridSpan w:val="5"/>
            <w:shd w:val="clear" w:color="auto" w:fill="CCEEFF"/>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Management's Discussion and Analysis of Financial Condition and Results of Operations</w:t>
              </w:r>
            </w:hyperlink>
          </w:p>
        </w:tc>
        <w:tc>
          <w:tcPr>
            <w:tcW w:w="82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30">
              <w:r>
                <w:rPr>
                  <w:rFonts w:ascii="Arial" w:cs="Arial" w:eastAsia="Arial" w:hAnsi="Arial"/>
                  <w:sz w:val="18"/>
                  <w:szCs w:val="18"/>
                  <w:u w:val="single" w:color="auto"/>
                  <w:color w:val="0000FF"/>
                  <w:w w:val="89"/>
                </w:rPr>
                <w:t>31</w:t>
              </w:r>
            </w:hyperlink>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440" w:type="dxa"/>
            <w:vAlign w:val="bottom"/>
            <w:gridSpan w:val="5"/>
            <w:shd w:val="clear" w:color="auto" w:fill="CCEEFF"/>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Critical Accounting Policies and Estimates</w:t>
              </w:r>
            </w:hyperlink>
          </w:p>
        </w:tc>
        <w:tc>
          <w:tcPr>
            <w:tcW w:w="82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31">
              <w:r>
                <w:rPr>
                  <w:rFonts w:ascii="Arial" w:cs="Arial" w:eastAsia="Arial" w:hAnsi="Arial"/>
                  <w:sz w:val="18"/>
                  <w:szCs w:val="18"/>
                  <w:u w:val="single" w:color="auto"/>
                  <w:color w:val="0000FF"/>
                  <w:w w:val="89"/>
                </w:rPr>
                <w:t>32</w:t>
              </w:r>
            </w:hyperlink>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CCEEFF"/>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Item 3.</w:t>
              </w:r>
            </w:hyperlink>
          </w:p>
        </w:tc>
        <w:tc>
          <w:tcPr>
            <w:tcW w:w="9440" w:type="dxa"/>
            <w:vAlign w:val="bottom"/>
            <w:gridSpan w:val="5"/>
            <w:shd w:val="clear" w:color="auto" w:fill="CCEEFF"/>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Quantitative and Qualitative Disclosures About Market Risk</w:t>
              </w:r>
            </w:hyperlink>
          </w:p>
        </w:tc>
        <w:tc>
          <w:tcPr>
            <w:tcW w:w="82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53</w:t>
              </w:r>
            </w:hyperlink>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CCEEFF"/>
          </w:tcPr>
          <w:p>
            <w:pPr>
              <w:ind w:lef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4.</w:t>
              </w:r>
            </w:hyperlink>
          </w:p>
        </w:tc>
        <w:tc>
          <w:tcPr>
            <w:tcW w:w="9440" w:type="dxa"/>
            <w:vAlign w:val="bottom"/>
            <w:gridSpan w:val="5"/>
            <w:shd w:val="clear" w:color="auto" w:fill="CCEEFF"/>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Controls and Procedures</w:t>
              </w:r>
            </w:hyperlink>
          </w:p>
        </w:tc>
        <w:tc>
          <w:tcPr>
            <w:tcW w:w="82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3">
              <w:r>
                <w:rPr>
                  <w:rFonts w:ascii="Arial" w:cs="Arial" w:eastAsia="Arial" w:hAnsi="Arial"/>
                  <w:sz w:val="18"/>
                  <w:szCs w:val="18"/>
                  <w:u w:val="single" w:color="auto"/>
                  <w:color w:val="0000FF"/>
                  <w:w w:val="89"/>
                </w:rPr>
                <w:t>53</w:t>
              </w:r>
            </w:hyperlink>
          </w:p>
        </w:tc>
        <w:tc>
          <w:tcPr>
            <w:tcW w:w="0" w:type="dxa"/>
            <w:vAlign w:val="bottom"/>
          </w:tcPr>
          <w:p>
            <w:pPr>
              <w:spacing w:after="0"/>
              <w:rPr>
                <w:sz w:val="1"/>
                <w:szCs w:val="1"/>
                <w:color w:val="auto"/>
              </w:rPr>
            </w:pPr>
          </w:p>
        </w:tc>
      </w:tr>
      <w:tr>
        <w:trPr>
          <w:trHeight w:val="270"/>
        </w:trPr>
        <w:tc>
          <w:tcPr>
            <w:tcW w:w="1640" w:type="dxa"/>
            <w:vAlign w:val="bottom"/>
            <w:gridSpan w:val="2"/>
          </w:tcPr>
          <w:p>
            <w:pPr>
              <w:spacing w:after="0"/>
              <w:rPr>
                <w:sz w:val="23"/>
                <w:szCs w:val="23"/>
                <w:color w:val="auto"/>
              </w:rPr>
            </w:pPr>
          </w:p>
        </w:tc>
        <w:tc>
          <w:tcPr>
            <w:tcW w:w="27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20" w:type="dxa"/>
            <w:vAlign w:val="bottom"/>
            <w:gridSpan w:val="6"/>
            <w:shd w:val="clear" w:color="auto" w:fill="CCEEFF"/>
          </w:tcPr>
          <w:p>
            <w:pPr>
              <w:ind w:lef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PART II. OTHER INFORMATION</w:t>
              </w:r>
            </w:hyperlink>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CCEEFF"/>
          </w:tcPr>
          <w:p>
            <w:pPr>
              <w:ind w:lef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1.</w:t>
              </w:r>
            </w:hyperlink>
          </w:p>
        </w:tc>
        <w:tc>
          <w:tcPr>
            <w:tcW w:w="9440" w:type="dxa"/>
            <w:vAlign w:val="bottom"/>
            <w:gridSpan w:val="5"/>
            <w:shd w:val="clear" w:color="auto" w:fill="CCEEFF"/>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Legal Proceedings</w:t>
              </w:r>
            </w:hyperlink>
          </w:p>
        </w:tc>
        <w:tc>
          <w:tcPr>
            <w:tcW w:w="82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3">
              <w:r>
                <w:rPr>
                  <w:rFonts w:ascii="Arial" w:cs="Arial" w:eastAsia="Arial" w:hAnsi="Arial"/>
                  <w:sz w:val="18"/>
                  <w:szCs w:val="18"/>
                  <w:u w:val="single" w:color="auto"/>
                  <w:color w:val="0000FF"/>
                  <w:w w:val="89"/>
                </w:rPr>
                <w:t>53</w:t>
              </w:r>
            </w:hyperlink>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1A.</w:t>
              </w:r>
            </w:hyperlink>
          </w:p>
        </w:tc>
        <w:tc>
          <w:tcPr>
            <w:tcW w:w="9440" w:type="dxa"/>
            <w:vAlign w:val="bottom"/>
            <w:gridSpan w:val="5"/>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Risk Factors</w:t>
              </w:r>
            </w:hyperlink>
          </w:p>
        </w:tc>
        <w:tc>
          <w:tcPr>
            <w:tcW w:w="820" w:type="dxa"/>
            <w:vAlign w:val="bottom"/>
          </w:tcPr>
          <w:p>
            <w:pPr>
              <w:jc w:val="center"/>
              <w:spacing w:after="0"/>
              <w:rPr>
                <w:rFonts w:ascii="Arial" w:cs="Arial" w:eastAsia="Arial" w:hAnsi="Arial"/>
                <w:sz w:val="18"/>
                <w:szCs w:val="18"/>
                <w:u w:val="single" w:color="auto"/>
                <w:color w:val="0000FF"/>
                <w:w w:val="89"/>
              </w:rPr>
            </w:pPr>
            <w:hyperlink w:anchor="page53">
              <w:r>
                <w:rPr>
                  <w:rFonts w:ascii="Arial" w:cs="Arial" w:eastAsia="Arial" w:hAnsi="Arial"/>
                  <w:sz w:val="18"/>
                  <w:szCs w:val="18"/>
                  <w:u w:val="single" w:color="auto"/>
                  <w:color w:val="0000FF"/>
                  <w:w w:val="89"/>
                </w:rPr>
                <w:t>53</w:t>
              </w:r>
            </w:hyperlink>
          </w:p>
        </w:tc>
        <w:tc>
          <w:tcPr>
            <w:tcW w:w="0" w:type="dxa"/>
            <w:vAlign w:val="bottom"/>
          </w:tcPr>
          <w:p>
            <w:pPr>
              <w:spacing w:after="0"/>
              <w:rPr>
                <w:sz w:val="1"/>
                <w:szCs w:val="1"/>
                <w:color w:val="auto"/>
              </w:rPr>
            </w:pPr>
          </w:p>
        </w:tc>
      </w:tr>
      <w:tr>
        <w:trPr>
          <w:trHeight w:val="230"/>
        </w:trPr>
        <w:tc>
          <w:tcPr>
            <w:tcW w:w="980" w:type="dxa"/>
            <w:vAlign w:val="bottom"/>
            <w:shd w:val="clear" w:color="auto" w:fill="CCEEFF"/>
          </w:tcPr>
          <w:p>
            <w:pPr>
              <w:ind w:left="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2.</w:t>
              </w:r>
            </w:hyperlink>
          </w:p>
        </w:tc>
        <w:tc>
          <w:tcPr>
            <w:tcW w:w="9440" w:type="dxa"/>
            <w:vAlign w:val="bottom"/>
            <w:gridSpan w:val="5"/>
            <w:shd w:val="clear" w:color="auto" w:fill="CCEEFF"/>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Unregistered Sales of Equity Securities and Use of Proceeds</w:t>
              </w:r>
            </w:hyperlink>
          </w:p>
        </w:tc>
        <w:tc>
          <w:tcPr>
            <w:tcW w:w="82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5">
              <w:r>
                <w:rPr>
                  <w:rFonts w:ascii="Arial" w:cs="Arial" w:eastAsia="Arial" w:hAnsi="Arial"/>
                  <w:sz w:val="18"/>
                  <w:szCs w:val="18"/>
                  <w:u w:val="single" w:color="auto"/>
                  <w:color w:val="0000FF"/>
                  <w:w w:val="89"/>
                </w:rPr>
                <w:t>55</w:t>
              </w:r>
            </w:hyperlink>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3.</w:t>
              </w:r>
            </w:hyperlink>
          </w:p>
        </w:tc>
        <w:tc>
          <w:tcPr>
            <w:tcW w:w="9440" w:type="dxa"/>
            <w:vAlign w:val="bottom"/>
            <w:gridSpan w:val="5"/>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Defaults Upon Senior Securities</w:t>
              </w:r>
            </w:hyperlink>
          </w:p>
        </w:tc>
        <w:tc>
          <w:tcPr>
            <w:tcW w:w="820" w:type="dxa"/>
            <w:vAlign w:val="bottom"/>
          </w:tcPr>
          <w:p>
            <w:pPr>
              <w:jc w:val="center"/>
              <w:spacing w:after="0"/>
              <w:rPr>
                <w:rFonts w:ascii="Arial" w:cs="Arial" w:eastAsia="Arial" w:hAnsi="Arial"/>
                <w:sz w:val="18"/>
                <w:szCs w:val="18"/>
                <w:u w:val="single" w:color="auto"/>
                <w:color w:val="0000FF"/>
                <w:w w:val="89"/>
              </w:rPr>
            </w:pPr>
            <w:hyperlink w:anchor="page55">
              <w:r>
                <w:rPr>
                  <w:rFonts w:ascii="Arial" w:cs="Arial" w:eastAsia="Arial" w:hAnsi="Arial"/>
                  <w:sz w:val="18"/>
                  <w:szCs w:val="18"/>
                  <w:u w:val="single" w:color="auto"/>
                  <w:color w:val="0000FF"/>
                  <w:w w:val="89"/>
                </w:rPr>
                <w:t>55</w:t>
              </w:r>
            </w:hyperlink>
          </w:p>
        </w:tc>
        <w:tc>
          <w:tcPr>
            <w:tcW w:w="0" w:type="dxa"/>
            <w:vAlign w:val="bottom"/>
          </w:tcPr>
          <w:p>
            <w:pPr>
              <w:spacing w:after="0"/>
              <w:rPr>
                <w:sz w:val="1"/>
                <w:szCs w:val="1"/>
                <w:color w:val="auto"/>
              </w:rPr>
            </w:pPr>
          </w:p>
        </w:tc>
      </w:tr>
      <w:tr>
        <w:trPr>
          <w:trHeight w:val="229"/>
        </w:trPr>
        <w:tc>
          <w:tcPr>
            <w:tcW w:w="980" w:type="dxa"/>
            <w:vAlign w:val="bottom"/>
            <w:shd w:val="clear" w:color="auto" w:fill="CCEEFF"/>
          </w:tcPr>
          <w:p>
            <w:pPr>
              <w:ind w:left="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4.</w:t>
              </w:r>
            </w:hyperlink>
          </w:p>
        </w:tc>
        <w:tc>
          <w:tcPr>
            <w:tcW w:w="9440" w:type="dxa"/>
            <w:vAlign w:val="bottom"/>
            <w:gridSpan w:val="5"/>
            <w:shd w:val="clear" w:color="auto" w:fill="CCEEFF"/>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Mine Safety Disclosure</w:t>
              </w:r>
            </w:hyperlink>
          </w:p>
        </w:tc>
        <w:tc>
          <w:tcPr>
            <w:tcW w:w="82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5">
              <w:r>
                <w:rPr>
                  <w:rFonts w:ascii="Arial" w:cs="Arial" w:eastAsia="Arial" w:hAnsi="Arial"/>
                  <w:sz w:val="18"/>
                  <w:szCs w:val="18"/>
                  <w:u w:val="single" w:color="auto"/>
                  <w:color w:val="0000FF"/>
                  <w:w w:val="89"/>
                </w:rPr>
                <w:t>55</w:t>
              </w:r>
            </w:hyperlink>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5.</w:t>
              </w:r>
            </w:hyperlink>
          </w:p>
        </w:tc>
        <w:tc>
          <w:tcPr>
            <w:tcW w:w="9440" w:type="dxa"/>
            <w:vAlign w:val="bottom"/>
            <w:gridSpan w:val="5"/>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Other Information</w:t>
              </w:r>
            </w:hyperlink>
          </w:p>
        </w:tc>
        <w:tc>
          <w:tcPr>
            <w:tcW w:w="820" w:type="dxa"/>
            <w:vAlign w:val="bottom"/>
          </w:tcPr>
          <w:p>
            <w:pPr>
              <w:jc w:val="center"/>
              <w:spacing w:after="0"/>
              <w:rPr>
                <w:rFonts w:ascii="Arial" w:cs="Arial" w:eastAsia="Arial" w:hAnsi="Arial"/>
                <w:sz w:val="18"/>
                <w:szCs w:val="18"/>
                <w:u w:val="single" w:color="auto"/>
                <w:color w:val="0000FF"/>
                <w:w w:val="89"/>
              </w:rPr>
            </w:pPr>
            <w:hyperlink w:anchor="page55">
              <w:r>
                <w:rPr>
                  <w:rFonts w:ascii="Arial" w:cs="Arial" w:eastAsia="Arial" w:hAnsi="Arial"/>
                  <w:sz w:val="18"/>
                  <w:szCs w:val="18"/>
                  <w:u w:val="single" w:color="auto"/>
                  <w:color w:val="0000FF"/>
                  <w:w w:val="89"/>
                </w:rPr>
                <w:t>55</w:t>
              </w:r>
            </w:hyperlink>
          </w:p>
        </w:tc>
        <w:tc>
          <w:tcPr>
            <w:tcW w:w="0" w:type="dxa"/>
            <w:vAlign w:val="bottom"/>
          </w:tcPr>
          <w:p>
            <w:pPr>
              <w:spacing w:after="0"/>
              <w:rPr>
                <w:sz w:val="1"/>
                <w:szCs w:val="1"/>
                <w:color w:val="auto"/>
              </w:rPr>
            </w:pPr>
          </w:p>
        </w:tc>
      </w:tr>
      <w:tr>
        <w:trPr>
          <w:trHeight w:val="230"/>
        </w:trPr>
        <w:tc>
          <w:tcPr>
            <w:tcW w:w="980" w:type="dxa"/>
            <w:vAlign w:val="bottom"/>
            <w:shd w:val="clear" w:color="auto" w:fill="CCEEFF"/>
          </w:tcPr>
          <w:p>
            <w:pPr>
              <w:ind w:left="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6.</w:t>
              </w:r>
            </w:hyperlink>
          </w:p>
        </w:tc>
        <w:tc>
          <w:tcPr>
            <w:tcW w:w="9440" w:type="dxa"/>
            <w:vAlign w:val="bottom"/>
            <w:gridSpan w:val="5"/>
            <w:shd w:val="clear" w:color="auto" w:fill="CCEEFF"/>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Exhibits</w:t>
              </w:r>
            </w:hyperlink>
          </w:p>
        </w:tc>
        <w:tc>
          <w:tcPr>
            <w:tcW w:w="82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5">
              <w:r>
                <w:rPr>
                  <w:rFonts w:ascii="Arial" w:cs="Arial" w:eastAsia="Arial" w:hAnsi="Arial"/>
                  <w:sz w:val="18"/>
                  <w:szCs w:val="18"/>
                  <w:u w:val="single" w:color="auto"/>
                  <w:color w:val="0000FF"/>
                  <w:w w:val="89"/>
                </w:rPr>
                <w:t>56</w:t>
              </w:r>
            </w:hyperlink>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CCEEFF"/>
          </w:tcPr>
          <w:p>
            <w:pPr>
              <w:ind w:left="2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Signatures</w:t>
              </w:r>
            </w:hyperlink>
          </w:p>
        </w:tc>
        <w:tc>
          <w:tcPr>
            <w:tcW w:w="66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6">
              <w:r>
                <w:rPr>
                  <w:rFonts w:ascii="Arial" w:cs="Arial" w:eastAsia="Arial" w:hAnsi="Arial"/>
                  <w:sz w:val="18"/>
                  <w:szCs w:val="18"/>
                  <w:u w:val="single" w:color="auto"/>
                  <w:color w:val="0000FF"/>
                  <w:w w:val="89"/>
                </w:rPr>
                <w:t>57</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actual results may differ materially from those expressed in, or implied by, the forward-looking statements included in this Quarterly Report as a result of various factors, many of which are beyond our control, including, among others:</w:t>
      </w:r>
    </w:p>
    <w:p>
      <w:pPr>
        <w:spacing w:after="0" w:line="224" w:lineRule="exact"/>
        <w:rPr>
          <w:sz w:val="20"/>
          <w:szCs w:val="20"/>
          <w:color w:val="auto"/>
        </w:rPr>
      </w:pPr>
    </w:p>
    <w:p>
      <w:pPr>
        <w:ind w:left="820" w:hanging="488"/>
        <w:spacing w:after="0" w:line="277" w:lineRule="auto"/>
        <w:tabs>
          <w:tab w:leader="none" w:pos="81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inherent uncertainty of estimating reserves and the possibility that incurred losses may be greater than our loss and loss adjustment expense reserves;</w:t>
      </w:r>
    </w:p>
    <w:p>
      <w:pPr>
        <w:spacing w:after="0" w:line="62" w:lineRule="exact"/>
        <w:rPr>
          <w:rFonts w:ascii="Arial" w:cs="Arial" w:eastAsia="Arial" w:hAnsi="Arial"/>
          <w:sz w:val="18"/>
          <w:szCs w:val="18"/>
          <w:color w:val="auto"/>
        </w:rPr>
      </w:pPr>
    </w:p>
    <w:p>
      <w:pPr>
        <w:ind w:left="820" w:hanging="488"/>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inaccurate estimates and judgments in our risk management may expose us to greater risks than intended;</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potential loss of key members of our management team or key employees and our ability to attract and retain personnel;</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adverse economic factors resulting in the sale of fewer policies than expected or an increase in the frequency or severity of claims, or both;</w:t>
      </w:r>
    </w:p>
    <w:p>
      <w:pPr>
        <w:spacing w:after="0" w:line="140" w:lineRule="exact"/>
        <w:rPr>
          <w:rFonts w:ascii="Arial" w:cs="Arial" w:eastAsia="Arial" w:hAnsi="Arial"/>
          <w:sz w:val="16"/>
          <w:szCs w:val="16"/>
          <w:color w:val="auto"/>
        </w:rPr>
      </w:pPr>
    </w:p>
    <w:p>
      <w:pPr>
        <w:ind w:left="820" w:hanging="488"/>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decline in our financial strength rating resulting in a reduction of new or renewal business;</w:t>
      </w:r>
    </w:p>
    <w:p>
      <w:pPr>
        <w:spacing w:after="0" w:line="117" w:lineRule="exact"/>
        <w:rPr>
          <w:rFonts w:ascii="Arial" w:cs="Arial" w:eastAsia="Arial" w:hAnsi="Arial"/>
          <w:sz w:val="18"/>
          <w:szCs w:val="18"/>
          <w:color w:val="auto"/>
        </w:rPr>
      </w:pPr>
    </w:p>
    <w:p>
      <w:pPr>
        <w:ind w:left="820" w:right="60" w:hanging="488"/>
        <w:spacing w:after="0" w:line="277" w:lineRule="auto"/>
        <w:tabs>
          <w:tab w:leader="none" w:pos="815"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a select group of brokers and agents for a significant portion of our business and the impact of our potential failure to maintain, such relationships;</w:t>
      </w:r>
    </w:p>
    <w:p>
      <w:pPr>
        <w:spacing w:after="0" w:line="62" w:lineRule="exact"/>
        <w:rPr>
          <w:rFonts w:ascii="Arial" w:cs="Arial" w:eastAsia="Arial" w:hAnsi="Arial"/>
          <w:sz w:val="18"/>
          <w:szCs w:val="18"/>
          <w:color w:val="auto"/>
        </w:rPr>
      </w:pPr>
    </w:p>
    <w:p>
      <w:pPr>
        <w:ind w:left="820" w:right="40" w:hanging="488"/>
        <w:spacing w:after="0" w:line="277" w:lineRule="auto"/>
        <w:tabs>
          <w:tab w:leader="none" w:pos="815"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a select group of customers for a significant portion of our business and the impact of our potential failure to maintain, or decision to terminate, such relationships;</w:t>
      </w:r>
    </w:p>
    <w:p>
      <w:pPr>
        <w:spacing w:after="0" w:line="62" w:lineRule="exact"/>
        <w:rPr>
          <w:rFonts w:ascii="Arial" w:cs="Arial" w:eastAsia="Arial" w:hAnsi="Arial"/>
          <w:sz w:val="18"/>
          <w:szCs w:val="18"/>
          <w:color w:val="auto"/>
        </w:rPr>
      </w:pPr>
    </w:p>
    <w:p>
      <w:pPr>
        <w:ind w:left="820" w:right="320" w:hanging="488"/>
        <w:spacing w:after="0" w:line="263" w:lineRule="auto"/>
        <w:tabs>
          <w:tab w:leader="none" w:pos="815" w:val="left"/>
        </w:tabs>
        <w:numPr>
          <w:ilvl w:val="0"/>
          <w:numId w:val="1"/>
        </w:numPr>
        <w:rPr>
          <w:rFonts w:ascii="Arial" w:cs="Arial" w:eastAsia="Arial" w:hAnsi="Arial"/>
          <w:sz w:val="18"/>
          <w:szCs w:val="18"/>
          <w:color w:val="auto"/>
        </w:rPr>
      </w:pPr>
      <w:r>
        <w:rPr>
          <w:rFonts w:ascii="Arial" w:cs="Arial" w:eastAsia="Arial" w:hAnsi="Arial"/>
          <w:sz w:val="18"/>
          <w:szCs w:val="18"/>
          <w:color w:val="auto"/>
        </w:rPr>
        <w:t>losses resulting from reinsurance counterparties failing to pay us on reinsurance claims, insurance companies with whom we have a fronting arrangement failing to pay us for claims, or an insured group of companies with whom we have an indemnification arrangement failing to perform their reimbursement obligations;</w:t>
      </w:r>
    </w:p>
    <w:p>
      <w:pPr>
        <w:spacing w:after="0" w:line="75" w:lineRule="exact"/>
        <w:rPr>
          <w:rFonts w:ascii="Arial" w:cs="Arial" w:eastAsia="Arial" w:hAnsi="Arial"/>
          <w:sz w:val="18"/>
          <w:szCs w:val="18"/>
          <w:color w:val="auto"/>
        </w:rPr>
      </w:pPr>
    </w:p>
    <w:p>
      <w:pPr>
        <w:ind w:left="820" w:hanging="488"/>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laws or government regulation, including tax or insurance law and regulations;</w:t>
      </w:r>
    </w:p>
    <w:p>
      <w:pPr>
        <w:spacing w:after="0" w:line="117" w:lineRule="exact"/>
        <w:rPr>
          <w:rFonts w:ascii="Arial" w:cs="Arial" w:eastAsia="Arial" w:hAnsi="Arial"/>
          <w:sz w:val="18"/>
          <w:szCs w:val="18"/>
          <w:color w:val="auto"/>
        </w:rPr>
      </w:pPr>
    </w:p>
    <w:p>
      <w:pPr>
        <w:ind w:left="820" w:right="160" w:hanging="488"/>
        <w:spacing w:after="0" w:line="277" w:lineRule="auto"/>
        <w:tabs>
          <w:tab w:leader="none" w:pos="81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ongoing effect of Public Law No. 115-97, informally titled the Tax Cuts and Jobs Act, which may have a significant effect on us including, among other things, by potentially increasing our tax rate, as well as taxes on our shareholders;</w:t>
      </w:r>
    </w:p>
    <w:p>
      <w:pPr>
        <w:spacing w:after="0" w:line="62" w:lineRule="exact"/>
        <w:rPr>
          <w:rFonts w:ascii="Arial" w:cs="Arial" w:eastAsia="Arial" w:hAnsi="Arial"/>
          <w:sz w:val="18"/>
          <w:szCs w:val="18"/>
          <w:color w:val="auto"/>
        </w:rPr>
      </w:pPr>
    </w:p>
    <w:p>
      <w:pPr>
        <w:ind w:left="820" w:right="80" w:hanging="488"/>
        <w:spacing w:after="0" w:line="342" w:lineRule="auto"/>
        <w:tabs>
          <w:tab w:leader="none" w:pos="815"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spacing w:after="0" w:line="15" w:lineRule="exact"/>
        <w:rPr>
          <w:rFonts w:ascii="Arial" w:cs="Arial" w:eastAsia="Arial" w:hAnsi="Arial"/>
          <w:sz w:val="16"/>
          <w:szCs w:val="16"/>
          <w:color w:val="auto"/>
        </w:rPr>
      </w:pPr>
    </w:p>
    <w:p>
      <w:pPr>
        <w:ind w:left="820" w:hanging="488"/>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or any of its foreign subsidiaries becoming subject to U.S. federal income taxation;</w:t>
      </w:r>
    </w:p>
    <w:p>
      <w:pPr>
        <w:spacing w:after="0" w:line="117" w:lineRule="exact"/>
        <w:rPr>
          <w:rFonts w:ascii="Arial" w:cs="Arial" w:eastAsia="Arial" w:hAnsi="Arial"/>
          <w:sz w:val="18"/>
          <w:szCs w:val="18"/>
          <w:color w:val="auto"/>
        </w:rPr>
      </w:pPr>
    </w:p>
    <w:p>
      <w:pPr>
        <w:ind w:left="820" w:right="560" w:hanging="488"/>
        <w:spacing w:after="0" w:line="277" w:lineRule="auto"/>
        <w:tabs>
          <w:tab w:leader="none" w:pos="815" w:val="left"/>
        </w:tabs>
        <w:numPr>
          <w:ilvl w:val="0"/>
          <w:numId w:val="1"/>
        </w:numPr>
        <w:rPr>
          <w:rFonts w:ascii="Arial" w:cs="Arial" w:eastAsia="Arial" w:hAnsi="Arial"/>
          <w:sz w:val="18"/>
          <w:szCs w:val="18"/>
          <w:color w:val="auto"/>
        </w:rPr>
      </w:pPr>
      <w:r>
        <w:rPr>
          <w:rFonts w:ascii="Arial" w:cs="Arial" w:eastAsia="Arial" w:hAnsi="Arial"/>
          <w:sz w:val="18"/>
          <w:szCs w:val="18"/>
          <w:color w:val="auto"/>
        </w:rPr>
        <w:t>a failure of any of the loss limitations or exclusions we utilize to shield us from unanticipated financial losses or legal exposures, or other liabilities;</w:t>
      </w:r>
    </w:p>
    <w:p>
      <w:pPr>
        <w:spacing w:after="0" w:line="62" w:lineRule="exact"/>
        <w:rPr>
          <w:rFonts w:ascii="Arial" w:cs="Arial" w:eastAsia="Arial" w:hAnsi="Arial"/>
          <w:sz w:val="18"/>
          <w:szCs w:val="18"/>
          <w:color w:val="auto"/>
        </w:rPr>
      </w:pPr>
    </w:p>
    <w:p>
      <w:pPr>
        <w:ind w:left="820" w:right="540" w:hanging="488"/>
        <w:spacing w:after="0" w:line="277" w:lineRule="auto"/>
        <w:tabs>
          <w:tab w:leader="none" w:pos="815" w:val="left"/>
        </w:tabs>
        <w:numPr>
          <w:ilvl w:val="0"/>
          <w:numId w:val="1"/>
        </w:numPr>
        <w:rPr>
          <w:rFonts w:ascii="Arial" w:cs="Arial" w:eastAsia="Arial" w:hAnsi="Arial"/>
          <w:sz w:val="18"/>
          <w:szCs w:val="18"/>
          <w:color w:val="auto"/>
        </w:rPr>
      </w:pPr>
      <w:r>
        <w:rPr>
          <w:rFonts w:ascii="Arial" w:cs="Arial" w:eastAsia="Arial" w:hAnsi="Arial"/>
          <w:sz w:val="18"/>
          <w:szCs w:val="18"/>
          <w:color w:val="auto"/>
        </w:rPr>
        <w:t>losses from catastrophic events, such as natural disasters and terrorist acts, which substantially exceed our expectations and/or exceed the amount of reinsurance we have purchased to protect us from such events;</w:t>
      </w:r>
    </w:p>
    <w:p>
      <w:pPr>
        <w:spacing w:after="0" w:line="80" w:lineRule="exact"/>
        <w:rPr>
          <w:rFonts w:ascii="Arial" w:cs="Arial" w:eastAsia="Arial" w:hAnsi="Arial"/>
          <w:sz w:val="18"/>
          <w:szCs w:val="18"/>
          <w:color w:val="auto"/>
        </w:rPr>
      </w:pPr>
    </w:p>
    <w:p>
      <w:pPr>
        <w:ind w:left="820" w:hanging="488"/>
        <w:spacing w:after="0"/>
        <w:tabs>
          <w:tab w:leader="none" w:pos="820" w:val="left"/>
        </w:tabs>
        <w:numPr>
          <w:ilvl w:val="0"/>
          <w:numId w:val="1"/>
        </w:numPr>
        <w:rPr>
          <w:rFonts w:ascii="Arial" w:cs="Arial" w:eastAsia="Arial" w:hAnsi="Arial"/>
          <w:sz w:val="22"/>
          <w:szCs w:val="22"/>
          <w:color w:val="auto"/>
        </w:rPr>
      </w:pPr>
      <w:r>
        <w:rPr>
          <w:rFonts w:ascii="Arial" w:cs="Arial" w:eastAsia="Arial" w:hAnsi="Arial"/>
          <w:sz w:val="18"/>
          <w:szCs w:val="18"/>
          <w:color w:val="auto"/>
        </w:rPr>
        <w:t>the effects of the COVID-19 pandemic and associated government actions on our operations and financial performance;</w:t>
      </w:r>
    </w:p>
    <w:p>
      <w:pPr>
        <w:spacing w:after="0" w:line="93" w:lineRule="exact"/>
        <w:rPr>
          <w:rFonts w:ascii="Arial" w:cs="Arial" w:eastAsia="Arial" w:hAnsi="Arial"/>
          <w:sz w:val="22"/>
          <w:szCs w:val="22"/>
          <w:color w:val="auto"/>
        </w:rPr>
      </w:pPr>
    </w:p>
    <w:p>
      <w:pPr>
        <w:ind w:left="820" w:hanging="488"/>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effects on our business of emerging claim and coverage issues;</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exposure to credit risk, interest rate risk and other market risk in our investment portfolio;</w:t>
      </w:r>
    </w:p>
    <w:p>
      <w:pPr>
        <w:spacing w:after="0" w:line="117" w:lineRule="exact"/>
        <w:rPr>
          <w:rFonts w:ascii="Arial" w:cs="Arial" w:eastAsia="Arial" w:hAnsi="Arial"/>
          <w:sz w:val="18"/>
          <w:szCs w:val="18"/>
          <w:color w:val="auto"/>
        </w:rPr>
      </w:pPr>
    </w:p>
    <w:p>
      <w:pPr>
        <w:ind w:left="820" w:right="540" w:hanging="488"/>
        <w:spacing w:after="0" w:line="277" w:lineRule="auto"/>
        <w:tabs>
          <w:tab w:leader="none" w:pos="81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reinsurance coverage at prices and on terms that allow us to transfer risk and adequately protect our company against financial loss;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impact of internal or external fraud, operational errors, systems malfunctions or cyber security incidents;</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inadequacy of premiums we charge to compensate us for our losses incurred;</w:t>
      </w:r>
    </w:p>
    <w:p>
      <w:pPr>
        <w:spacing w:after="0" w:line="157"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maintain effective internal controls in accordance with Sarbanes-Oxley Act of 2002, as amended (“Sarbanes-Oxley”); and</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financial condition, regulations or other factors that may restrict our subsidiaries’ ability to pay us dividends.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 information about these risks and uncertainties, as well as others that may cause actual results to differ materially from those in the forward-looking statements, is contained in Part II, Item 1A "Risk Factors" in this Quarterly Report, and our filings with the U.S. Securities and Exchange Commission ("SEC"), including our Annual Report on Form 10-K filed with the SEC on February 27, 2020.</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(Unaudited) June 30,</w:t>
            </w:r>
          </w:p>
        </w:tc>
        <w:tc>
          <w:tcPr>
            <w:tcW w:w="200" w:type="dxa"/>
            <w:vAlign w:val="bottom"/>
          </w:tcPr>
          <w:p>
            <w:pPr>
              <w:spacing w:after="0"/>
              <w:rPr>
                <w:sz w:val="14"/>
                <w:szCs w:val="14"/>
                <w:color w:val="auto"/>
              </w:rPr>
            </w:pPr>
          </w:p>
        </w:tc>
        <w:tc>
          <w:tcPr>
            <w:tcW w:w="118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196"/>
        </w:trPr>
        <w:tc>
          <w:tcPr>
            <w:tcW w:w="8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4"/>
          </w:tcPr>
          <w:p>
            <w:pPr>
              <w:jc w:val="right"/>
              <w:ind w:right="912"/>
              <w:spacing w:after="0"/>
              <w:rPr>
                <w:sz w:val="20"/>
                <w:szCs w:val="20"/>
                <w:color w:val="auto"/>
              </w:rPr>
            </w:pPr>
            <w:r>
              <w:rPr>
                <w:rFonts w:ascii="Arial" w:cs="Arial" w:eastAsia="Arial" w:hAnsi="Arial"/>
                <w:sz w:val="14"/>
                <w:szCs w:val="14"/>
                <w:b w:val="1"/>
                <w:bCs w:val="1"/>
                <w:i w:val="1"/>
                <w:iCs w:val="1"/>
                <w:color w:val="auto"/>
              </w:rPr>
              <w:t>(in thousands)</w:t>
            </w:r>
          </w:p>
        </w:tc>
      </w:tr>
      <w:tr>
        <w:trPr>
          <w:trHeight w:val="256"/>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8320" w:type="dxa"/>
            <w:vAlign w:val="bottom"/>
          </w:tcPr>
          <w:p>
            <w:pPr>
              <w:spacing w:after="0"/>
              <w:rPr>
                <w:sz w:val="20"/>
                <w:szCs w:val="20"/>
                <w:color w:val="auto"/>
              </w:rPr>
            </w:pPr>
            <w:r>
              <w:rPr>
                <w:rFonts w:ascii="Arial" w:cs="Arial" w:eastAsia="Arial" w:hAnsi="Arial"/>
                <w:sz w:val="18"/>
                <w:szCs w:val="18"/>
                <w:color w:val="auto"/>
              </w:rPr>
              <w:t>Invested assets: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w w:val="92"/>
              </w:rPr>
              <w:t>Fixed maturity securities, available-for-sale, at fair value (amortized cost: 2020 – $1,664,382; 2019 – $1,398,533)</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1,747,404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1,433,626</w:t>
            </w:r>
          </w:p>
        </w:tc>
      </w:tr>
      <w:tr>
        <w:trPr>
          <w:trHeight w:val="270"/>
        </w:trPr>
        <w:tc>
          <w:tcPr>
            <w:tcW w:w="8320" w:type="dxa"/>
            <w:vAlign w:val="bottom"/>
          </w:tcPr>
          <w:p>
            <w:pPr>
              <w:spacing w:after="0"/>
              <w:rPr>
                <w:sz w:val="20"/>
                <w:szCs w:val="20"/>
                <w:color w:val="auto"/>
              </w:rPr>
            </w:pPr>
            <w:r>
              <w:rPr>
                <w:rFonts w:ascii="Arial" w:cs="Arial" w:eastAsia="Arial" w:hAnsi="Arial"/>
                <w:sz w:val="18"/>
                <w:szCs w:val="18"/>
                <w:color w:val="auto"/>
              </w:rPr>
              <w:t>Equity securities, at fair value (cost: 2020 – $79,823; 2019 – $73,244)</w:t>
            </w:r>
          </w:p>
        </w:tc>
        <w:tc>
          <w:tcPr>
            <w:tcW w:w="30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78,045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80,735</w:t>
            </w:r>
          </w:p>
        </w:tc>
      </w:tr>
      <w:tr>
        <w:trPr>
          <w:trHeight w:val="250"/>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Bank loan participations (2020: at fair value; 2019: held-for-investment, at amortized cost, net of allowance)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127,698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260,864</w:t>
            </w:r>
          </w:p>
        </w:tc>
      </w:tr>
      <w:tr>
        <w:trPr>
          <w:trHeight w:val="243"/>
        </w:trPr>
        <w:tc>
          <w:tcPr>
            <w:tcW w:w="8320" w:type="dxa"/>
            <w:vAlign w:val="bottom"/>
          </w:tcPr>
          <w:p>
            <w:pPr>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96,265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156,925</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invested assets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47,463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61,210</w:t>
            </w:r>
          </w:p>
        </w:tc>
      </w:tr>
      <w:tr>
        <w:trPr>
          <w:trHeight w:val="237"/>
        </w:trPr>
        <w:tc>
          <w:tcPr>
            <w:tcW w:w="8320" w:type="dxa"/>
            <w:vAlign w:val="bottom"/>
          </w:tcPr>
          <w:p>
            <w:pPr>
              <w:spacing w:after="0"/>
              <w:rPr>
                <w:sz w:val="20"/>
                <w:szCs w:val="20"/>
                <w:color w:val="auto"/>
              </w:rPr>
            </w:pPr>
            <w:r>
              <w:rPr>
                <w:rFonts w:ascii="Arial" w:cs="Arial" w:eastAsia="Arial" w:hAnsi="Arial"/>
                <w:sz w:val="18"/>
                <w:szCs w:val="18"/>
                <w:color w:val="auto"/>
              </w:rPr>
              <w:t>Total invested assets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2,096,875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1,993,360</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83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3"/>
        </w:trPr>
        <w:tc>
          <w:tcPr>
            <w:tcW w:w="8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204,309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206,912</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1,020,856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1,199,164</w:t>
            </w:r>
          </w:p>
        </w:tc>
      </w:tr>
      <w:tr>
        <w:trPr>
          <w:trHeight w:val="243"/>
        </w:trPr>
        <w:tc>
          <w:tcPr>
            <w:tcW w:w="8320" w:type="dxa"/>
            <w:vAlign w:val="bottom"/>
          </w:tcPr>
          <w:p>
            <w:pPr>
              <w:spacing w:after="0"/>
              <w:rPr>
                <w:sz w:val="20"/>
                <w:szCs w:val="20"/>
                <w:color w:val="auto"/>
              </w:rPr>
            </w:pPr>
            <w:r>
              <w:rPr>
                <w:rFonts w:ascii="Arial" w:cs="Arial" w:eastAsia="Arial" w:hAnsi="Arial"/>
                <w:sz w:val="18"/>
                <w:szCs w:val="18"/>
                <w:color w:val="auto"/>
              </w:rPr>
              <w:t>Accrued investment income</w:t>
            </w:r>
          </w:p>
        </w:tc>
        <w:tc>
          <w:tcPr>
            <w:tcW w:w="3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14,387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13,597</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Premiums receivable and agents’ balances, 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339,822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369,462</w:t>
            </w:r>
          </w:p>
        </w:tc>
      </w:tr>
      <w:tr>
        <w:trPr>
          <w:trHeight w:val="243"/>
        </w:trPr>
        <w:tc>
          <w:tcPr>
            <w:tcW w:w="8320" w:type="dxa"/>
            <w:vAlign w:val="bottom"/>
          </w:tcPr>
          <w:p>
            <w:pPr>
              <w:spacing w:after="0"/>
              <w:rPr>
                <w:sz w:val="20"/>
                <w:szCs w:val="20"/>
                <w:color w:val="auto"/>
              </w:rPr>
            </w:pPr>
            <w:r>
              <w:rPr>
                <w:rFonts w:ascii="Arial" w:cs="Arial" w:eastAsia="Arial" w:hAnsi="Arial"/>
                <w:sz w:val="18"/>
                <w:szCs w:val="18"/>
                <w:color w:val="auto"/>
              </w:rPr>
              <w:t>Reinsurance recoverable on unpaid losses, net</w:t>
            </w:r>
          </w:p>
        </w:tc>
        <w:tc>
          <w:tcPr>
            <w:tcW w:w="3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727,102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668,045</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Reinsurance recoverable on paid losses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43,308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33,221</w:t>
            </w:r>
          </w:p>
        </w:tc>
      </w:tr>
      <w:tr>
        <w:trPr>
          <w:trHeight w:val="243"/>
        </w:trPr>
        <w:tc>
          <w:tcPr>
            <w:tcW w:w="8320" w:type="dxa"/>
            <w:vAlign w:val="bottom"/>
          </w:tcPr>
          <w:p>
            <w:pPr>
              <w:spacing w:after="0"/>
              <w:rPr>
                <w:sz w:val="20"/>
                <w:szCs w:val="20"/>
                <w:color w:val="auto"/>
              </w:rPr>
            </w:pPr>
            <w:r>
              <w:rPr>
                <w:rFonts w:ascii="Arial" w:cs="Arial" w:eastAsia="Arial" w:hAnsi="Arial"/>
                <w:sz w:val="18"/>
                <w:szCs w:val="18"/>
                <w:color w:val="auto"/>
              </w:rPr>
              <w:t>Prepaid reinsurance premiums</w:t>
            </w:r>
          </w:p>
        </w:tc>
        <w:tc>
          <w:tcPr>
            <w:tcW w:w="3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215,285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178,976</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57,898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62,006</w:t>
            </w:r>
          </w:p>
        </w:tc>
      </w:tr>
      <w:tr>
        <w:trPr>
          <w:trHeight w:val="243"/>
        </w:trPr>
        <w:tc>
          <w:tcPr>
            <w:tcW w:w="832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36,642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36,940</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181,831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181,831</w:t>
            </w:r>
          </w:p>
        </w:tc>
      </w:tr>
      <w:tr>
        <w:trPr>
          <w:trHeight w:val="243"/>
        </w:trPr>
        <w:tc>
          <w:tcPr>
            <w:tcW w:w="832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70,886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80,891</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5,009,201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5,024,405</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 June 30,</w:t>
            </w:r>
          </w:p>
        </w:tc>
        <w:tc>
          <w:tcPr>
            <w:tcW w:w="180" w:type="dxa"/>
            <w:vAlign w:val="bottom"/>
          </w:tcPr>
          <w:p>
            <w:pPr>
              <w:spacing w:after="0"/>
              <w:rPr>
                <w:sz w:val="14"/>
                <w:szCs w:val="14"/>
                <w:color w:val="auto"/>
              </w:rPr>
            </w:pPr>
          </w:p>
        </w:tc>
        <w:tc>
          <w:tcPr>
            <w:tcW w:w="114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gridSpan w:val="4"/>
          </w:tcPr>
          <w:p>
            <w:pPr>
              <w:jc w:val="right"/>
              <w:ind w:right="192"/>
              <w:spacing w:after="0"/>
              <w:rPr>
                <w:sz w:val="20"/>
                <w:szCs w:val="20"/>
                <w:color w:val="auto"/>
              </w:rPr>
            </w:pPr>
            <w:r>
              <w:rPr>
                <w:rFonts w:ascii="Arial" w:cs="Arial" w:eastAsia="Arial" w:hAnsi="Arial"/>
                <w:sz w:val="14"/>
                <w:szCs w:val="14"/>
                <w:b w:val="1"/>
                <w:bCs w:val="1"/>
                <w:i w:val="1"/>
                <w:iCs w:val="1"/>
                <w:color w:val="auto"/>
                <w:w w:val="90"/>
              </w:rPr>
              <w:t>(in thousands, except share amounts)</w:t>
            </w:r>
          </w:p>
        </w:tc>
        <w:tc>
          <w:tcPr>
            <w:tcW w:w="0" w:type="dxa"/>
            <w:vAlign w:val="bottom"/>
          </w:tcPr>
          <w:p>
            <w:pPr>
              <w:spacing w:after="0"/>
              <w:rPr>
                <w:sz w:val="1"/>
                <w:szCs w:val="1"/>
                <w:color w:val="auto"/>
              </w:rPr>
            </w:pPr>
          </w:p>
        </w:tc>
      </w:tr>
      <w:tr>
        <w:trPr>
          <w:trHeight w:val="256"/>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Reserve for losses and loss adjustment expenses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2,066,971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2,045,506</w:t>
            </w:r>
          </w:p>
        </w:tc>
        <w:tc>
          <w:tcPr>
            <w:tcW w:w="0" w:type="dxa"/>
            <w:vAlign w:val="bottom"/>
          </w:tcPr>
          <w:p>
            <w:pPr>
              <w:spacing w:after="0"/>
              <w:rPr>
                <w:sz w:val="1"/>
                <w:szCs w:val="1"/>
                <w:color w:val="auto"/>
              </w:rPr>
            </w:pPr>
          </w:p>
        </w:tc>
      </w:tr>
      <w:tr>
        <w:trPr>
          <w:trHeight w:val="243"/>
        </w:trPr>
        <w:tc>
          <w:tcPr>
            <w:tcW w:w="8460" w:type="dxa"/>
            <w:vAlign w:val="bottom"/>
          </w:tcPr>
          <w:p>
            <w:pPr>
              <w:ind w:left="120"/>
              <w:spacing w:after="0"/>
              <w:rPr>
                <w:sz w:val="20"/>
                <w:szCs w:val="20"/>
                <w:color w:val="auto"/>
              </w:rPr>
            </w:pPr>
            <w:r>
              <w:rPr>
                <w:rFonts w:ascii="Arial" w:cs="Arial" w:eastAsia="Arial" w:hAnsi="Arial"/>
                <w:sz w:val="18"/>
                <w:szCs w:val="18"/>
                <w:color w:val="auto"/>
              </w:rPr>
              <w:t>Unearned premiums</w:t>
            </w:r>
          </w:p>
        </w:tc>
        <w:tc>
          <w:tcPr>
            <w:tcW w:w="2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566,443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524,377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Payables to reinsurers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109,908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108,059</w:t>
            </w:r>
          </w:p>
        </w:tc>
        <w:tc>
          <w:tcPr>
            <w:tcW w:w="0" w:type="dxa"/>
            <w:vAlign w:val="bottom"/>
          </w:tcPr>
          <w:p>
            <w:pPr>
              <w:spacing w:after="0"/>
              <w:rPr>
                <w:sz w:val="1"/>
                <w:szCs w:val="1"/>
                <w:color w:val="auto"/>
              </w:rPr>
            </w:pPr>
          </w:p>
        </w:tc>
      </w:tr>
      <w:tr>
        <w:trPr>
          <w:trHeight w:val="243"/>
        </w:trPr>
        <w:tc>
          <w:tcPr>
            <w:tcW w:w="8460" w:type="dxa"/>
            <w:vAlign w:val="bottom"/>
          </w:tcPr>
          <w:p>
            <w:pPr>
              <w:ind w:left="120"/>
              <w:spacing w:after="0"/>
              <w:rPr>
                <w:sz w:val="20"/>
                <w:szCs w:val="20"/>
                <w:color w:val="auto"/>
              </w:rPr>
            </w:pPr>
            <w:r>
              <w:rPr>
                <w:rFonts w:ascii="Arial" w:cs="Arial" w:eastAsia="Arial" w:hAnsi="Arial"/>
                <w:sz w:val="18"/>
                <w:szCs w:val="18"/>
                <w:color w:val="auto"/>
              </w:rPr>
              <w:t>Funds held</w:t>
            </w:r>
          </w:p>
        </w:tc>
        <w:tc>
          <w:tcPr>
            <w:tcW w:w="2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1,020,856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1,199,164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Senior debt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217,300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158,300</w:t>
            </w:r>
          </w:p>
        </w:tc>
        <w:tc>
          <w:tcPr>
            <w:tcW w:w="0" w:type="dxa"/>
            <w:vAlign w:val="bottom"/>
          </w:tcPr>
          <w:p>
            <w:pPr>
              <w:spacing w:after="0"/>
              <w:rPr>
                <w:sz w:val="1"/>
                <w:szCs w:val="1"/>
                <w:color w:val="auto"/>
              </w:rPr>
            </w:pPr>
          </w:p>
        </w:tc>
      </w:tr>
      <w:tr>
        <w:trPr>
          <w:trHeight w:val="243"/>
        </w:trPr>
        <w:tc>
          <w:tcPr>
            <w:tcW w:w="8460" w:type="dxa"/>
            <w:vAlign w:val="bottom"/>
          </w:tcPr>
          <w:p>
            <w:pPr>
              <w:ind w:left="120"/>
              <w:spacing w:after="0"/>
              <w:rPr>
                <w:sz w:val="20"/>
                <w:szCs w:val="20"/>
                <w:color w:val="auto"/>
              </w:rPr>
            </w:pPr>
            <w:r>
              <w:rPr>
                <w:rFonts w:ascii="Arial" w:cs="Arial" w:eastAsia="Arial" w:hAnsi="Arial"/>
                <w:sz w:val="18"/>
                <w:szCs w:val="18"/>
                <w:color w:val="auto"/>
              </w:rPr>
              <w:t>Junior subordinated debt</w:t>
            </w:r>
          </w:p>
        </w:tc>
        <w:tc>
          <w:tcPr>
            <w:tcW w:w="2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104,055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104,055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53,262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58,416</w:t>
            </w:r>
          </w:p>
        </w:tc>
        <w:tc>
          <w:tcPr>
            <w:tcW w:w="0" w:type="dxa"/>
            <w:vAlign w:val="bottom"/>
          </w:tcPr>
          <w:p>
            <w:pPr>
              <w:spacing w:after="0"/>
              <w:rPr>
                <w:sz w:val="1"/>
                <w:szCs w:val="1"/>
                <w:color w:val="auto"/>
              </w:rPr>
            </w:pPr>
          </w:p>
        </w:tc>
      </w:tr>
      <w:tr>
        <w:trPr>
          <w:trHeight w:val="243"/>
        </w:trPr>
        <w:tc>
          <w:tcPr>
            <w:tcW w:w="8460" w:type="dxa"/>
            <w:vAlign w:val="bottom"/>
          </w:tcPr>
          <w:p>
            <w:pPr>
              <w:ind w:left="1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74,695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47,947</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4,213,490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4,245,824</w:t>
            </w:r>
          </w:p>
        </w:tc>
        <w:tc>
          <w:tcPr>
            <w:tcW w:w="0" w:type="dxa"/>
            <w:vAlign w:val="bottom"/>
          </w:tcPr>
          <w:p>
            <w:pPr>
              <w:spacing w:after="0"/>
              <w:rPr>
                <w:sz w:val="1"/>
                <w:szCs w:val="1"/>
                <w:color w:val="auto"/>
              </w:rPr>
            </w:pPr>
          </w:p>
        </w:tc>
      </w:tr>
      <w:tr>
        <w:trPr>
          <w:trHeight w:val="243"/>
        </w:trPr>
        <w:tc>
          <w:tcPr>
            <w:tcW w:w="8460" w:type="dxa"/>
            <w:vAlign w:val="bottom"/>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140"/>
              <w:spacing w:after="0" w:line="176" w:lineRule="exact"/>
              <w:rPr>
                <w:sz w:val="20"/>
                <w:szCs w:val="20"/>
                <w:color w:val="auto"/>
              </w:rPr>
            </w:pPr>
            <w:r>
              <w:rPr>
                <w:rFonts w:ascii="Arial" w:cs="Arial" w:eastAsia="Arial" w:hAnsi="Arial"/>
                <w:sz w:val="18"/>
                <w:szCs w:val="18"/>
                <w:color w:val="auto"/>
                <w:w w:val="90"/>
              </w:rPr>
              <w:t>Common Shares – 2020 and 2019: $0.0002 par value; 200,000,000 shares authorized; 30,553,178 and 30,424,391</w:t>
            </w:r>
          </w:p>
        </w:tc>
        <w:tc>
          <w:tcPr>
            <w:tcW w:w="200" w:type="dxa"/>
            <w:vAlign w:val="bottom"/>
          </w:tcPr>
          <w:p>
            <w:pPr>
              <w:spacing w:after="0"/>
              <w:rPr>
                <w:sz w:val="15"/>
                <w:szCs w:val="15"/>
                <w:color w:val="auto"/>
              </w:rPr>
            </w:pPr>
          </w:p>
        </w:tc>
        <w:tc>
          <w:tcPr>
            <w:tcW w:w="1140" w:type="dxa"/>
            <w:vAlign w:val="bottom"/>
            <w:vMerge w:val="restart"/>
          </w:tcPr>
          <w:p>
            <w:pPr>
              <w:jc w:val="right"/>
              <w:ind w:right="5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ind w:right="7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shares issued and outstanding, respectively</w:t>
            </w:r>
          </w:p>
        </w:tc>
        <w:tc>
          <w:tcPr>
            <w:tcW w:w="2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Preferred Shares – 2020 and 2019: $0.00125 par value; 20,000,000 shares authorized; no shares issued and</w:t>
            </w:r>
          </w:p>
        </w:tc>
        <w:tc>
          <w:tcPr>
            <w:tcW w:w="2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w:t>
            </w:r>
          </w:p>
        </w:tc>
        <w:tc>
          <w:tcPr>
            <w:tcW w:w="2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660,427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657,875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61,770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89,586</w:t>
            </w:r>
          </w:p>
        </w:tc>
        <w:tc>
          <w:tcPr>
            <w:tcW w:w="0" w:type="dxa"/>
            <w:vAlign w:val="bottom"/>
          </w:tcPr>
          <w:p>
            <w:pPr>
              <w:spacing w:after="0"/>
              <w:rPr>
                <w:sz w:val="1"/>
                <w:szCs w:val="1"/>
                <w:color w:val="auto"/>
              </w:rPr>
            </w:pPr>
          </w:p>
        </w:tc>
      </w:tr>
      <w:tr>
        <w:trPr>
          <w:trHeight w:val="243"/>
        </w:trPr>
        <w:tc>
          <w:tcPr>
            <w:tcW w:w="8460" w:type="dxa"/>
            <w:vAlign w:val="bottom"/>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73,508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31,114</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795,711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778,581</w:t>
            </w:r>
          </w:p>
        </w:tc>
        <w:tc>
          <w:tcPr>
            <w:tcW w:w="0" w:type="dxa"/>
            <w:vAlign w:val="bottom"/>
          </w:tcPr>
          <w:p>
            <w:pPr>
              <w:spacing w:after="0"/>
              <w:rPr>
                <w:sz w:val="1"/>
                <w:szCs w:val="1"/>
                <w:color w:val="auto"/>
              </w:rPr>
            </w:pPr>
          </w:p>
        </w:tc>
      </w:tr>
      <w:tr>
        <w:trPr>
          <w:trHeight w:val="263"/>
        </w:trPr>
        <w:tc>
          <w:tcPr>
            <w:tcW w:w="846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5,009,201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5,024,405</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 and Comprehensive Income (Unaudited)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60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gridSpan w:val="5"/>
          </w:tcPr>
          <w:p>
            <w:pPr>
              <w:ind w:left="60"/>
              <w:spacing w:after="0"/>
              <w:rPr>
                <w:sz w:val="20"/>
                <w:szCs w:val="20"/>
                <w:color w:val="auto"/>
              </w:rPr>
            </w:pPr>
            <w:r>
              <w:rPr>
                <w:rFonts w:ascii="Arial" w:cs="Arial" w:eastAsia="Arial" w:hAnsi="Arial"/>
                <w:sz w:val="14"/>
                <w:szCs w:val="14"/>
                <w:b w:val="1"/>
                <w:bCs w:val="1"/>
                <w:i w:val="1"/>
                <w:iCs w:val="1"/>
                <w:color w:val="auto"/>
              </w:rPr>
              <w:t>(in thousands, except share amounts)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301,639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380,003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585,480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707,337</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written premiums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(135,882)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(140,093)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(285,069)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(259,686)</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Net written premiums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165,757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239,910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300,411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447,651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net unearned premiums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(40,796)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(5,678)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(58,385)</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Net earned premiums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148,815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199,114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294,733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389,266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15,350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17,535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36,186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36,966</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Net realized and unrealized gains (losses) on investments</w:t>
            </w:r>
          </w:p>
        </w:tc>
        <w:tc>
          <w:tcPr>
            <w:tcW w:w="2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21,593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(36,814)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2,662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186,749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220,374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297,033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434,501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2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98,746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147,053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195,602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286,980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43,397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44,843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95,018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90,595</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2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146,989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195,412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298,491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384,048</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Income (loss) before taxes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39,760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24,962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50,453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4,655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7,418</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35,614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20,307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43,035</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520" w:type="dxa"/>
            <w:vAlign w:val="bottom"/>
          </w:tcPr>
          <w:p>
            <w:pPr>
              <w:ind w:left="20"/>
              <w:spacing w:after="0" w:line="176" w:lineRule="exact"/>
              <w:rPr>
                <w:sz w:val="20"/>
                <w:szCs w:val="20"/>
                <w:color w:val="auto"/>
              </w:rPr>
            </w:pPr>
            <w:r>
              <w:rPr>
                <w:rFonts w:ascii="Arial" w:cs="Arial" w:eastAsia="Arial" w:hAnsi="Arial"/>
                <w:sz w:val="18"/>
                <w:szCs w:val="18"/>
                <w:color w:val="auto"/>
                <w:w w:val="91"/>
              </w:rPr>
              <w:t>Net unrealized gains, net of taxes of $6,927 and $5,535 in 2020 and $1,865</w:t>
            </w:r>
          </w:p>
        </w:tc>
        <w:tc>
          <w:tcPr>
            <w:tcW w:w="240" w:type="dxa"/>
            <w:vAlign w:val="bottom"/>
          </w:tcPr>
          <w:p>
            <w:pPr>
              <w:spacing w:after="0"/>
              <w:rPr>
                <w:sz w:val="15"/>
                <w:szCs w:val="15"/>
                <w:color w:val="auto"/>
              </w:rPr>
            </w:pPr>
          </w:p>
        </w:tc>
        <w:tc>
          <w:tcPr>
            <w:tcW w:w="1080" w:type="dxa"/>
            <w:vAlign w:val="bottom"/>
            <w:vMerge w:val="restart"/>
          </w:tcPr>
          <w:p>
            <w:pPr>
              <w:jc w:val="right"/>
              <w:ind w:right="72"/>
              <w:spacing w:after="0"/>
              <w:rPr>
                <w:sz w:val="20"/>
                <w:szCs w:val="20"/>
                <w:color w:val="auto"/>
              </w:rPr>
            </w:pPr>
            <w:r>
              <w:rPr>
                <w:rFonts w:ascii="Arial" w:cs="Arial" w:eastAsia="Arial" w:hAnsi="Arial"/>
                <w:sz w:val="18"/>
                <w:szCs w:val="18"/>
                <w:color w:val="auto"/>
              </w:rPr>
              <w:t>46,313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ind w:right="51"/>
              <w:spacing w:after="0"/>
              <w:rPr>
                <w:sz w:val="20"/>
                <w:szCs w:val="20"/>
                <w:color w:val="auto"/>
              </w:rPr>
            </w:pPr>
            <w:r>
              <w:rPr>
                <w:rFonts w:ascii="Arial" w:cs="Arial" w:eastAsia="Arial" w:hAnsi="Arial"/>
                <w:sz w:val="18"/>
                <w:szCs w:val="18"/>
                <w:color w:val="auto"/>
              </w:rPr>
              <w:t>20,732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restart"/>
          </w:tcPr>
          <w:p>
            <w:pPr>
              <w:jc w:val="right"/>
              <w:ind w:right="72"/>
              <w:spacing w:after="0"/>
              <w:rPr>
                <w:sz w:val="20"/>
                <w:szCs w:val="20"/>
                <w:color w:val="auto"/>
              </w:rPr>
            </w:pPr>
            <w:r>
              <w:rPr>
                <w:rFonts w:ascii="Arial" w:cs="Arial" w:eastAsia="Arial" w:hAnsi="Arial"/>
                <w:sz w:val="18"/>
                <w:szCs w:val="18"/>
                <w:color w:val="auto"/>
              </w:rPr>
              <w:t>42,394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restart"/>
          </w:tcPr>
          <w:p>
            <w:pPr>
              <w:jc w:val="right"/>
              <w:ind w:right="71"/>
              <w:spacing w:after="0"/>
              <w:rPr>
                <w:sz w:val="20"/>
                <w:szCs w:val="20"/>
                <w:color w:val="auto"/>
              </w:rPr>
            </w:pPr>
            <w:r>
              <w:rPr>
                <w:rFonts w:ascii="Arial" w:cs="Arial" w:eastAsia="Arial" w:hAnsi="Arial"/>
                <w:sz w:val="18"/>
                <w:szCs w:val="18"/>
                <w:color w:val="auto"/>
              </w:rPr>
              <w:t>40,992</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and $3,311 in 2019</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81,927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41,039</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41,193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84,027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data:</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 earnings (loss) per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Diluted earnings (loss)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Dividend declared per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30,529,241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30,246,420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30,502,774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7"/>
              </w:rPr>
              <w:t>30,153,426</w:t>
            </w: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w w:val="99"/>
              </w:rPr>
              <w:t>30,782,609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w w:val="99"/>
              </w:rPr>
              <w:t>30,689,074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30,502,774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w w:val="97"/>
              </w:rPr>
              <w:t>30,581,205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8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13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Outstanding</w:t>
            </w:r>
          </w:p>
        </w:tc>
        <w:tc>
          <w:tcPr>
            <w:tcW w:w="9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Shares (Par)</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gridSpan w:val="8"/>
          </w:tcPr>
          <w:p>
            <w:pPr>
              <w:ind w:left="440"/>
              <w:spacing w:after="0"/>
              <w:rPr>
                <w:sz w:val="20"/>
                <w:szCs w:val="20"/>
                <w:color w:val="auto"/>
              </w:rPr>
            </w:pPr>
            <w:r>
              <w:rPr>
                <w:rFonts w:ascii="Arial" w:cs="Arial" w:eastAsia="Arial" w:hAnsi="Arial"/>
                <w:sz w:val="14"/>
                <w:szCs w:val="14"/>
                <w:b w:val="1"/>
                <w:bCs w:val="1"/>
                <w:i w:val="1"/>
                <w:iCs w:val="1"/>
                <w:color w:val="auto"/>
              </w:rPr>
              <w:t>(in thousands, except share amounts)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2020</w:t>
            </w: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30,520,428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657,704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35,412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27,195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5"/>
              </w:rPr>
              <w:t>720,317</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35,614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35,614</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46,313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46,313</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Dividends</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(9,256)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(9,256)</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29,141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Vesting of RSUs</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3,609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Compensation expense under share incentive</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64"/>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2020</w:t>
            </w:r>
          </w:p>
        </w:tc>
        <w:tc>
          <w:tcPr>
            <w:tcW w:w="11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30,553,178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660,427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61,770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73,508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5"/>
              </w:rPr>
              <w:t>795,711</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Balances at December 31, 2019</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30,424,391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657,875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89,586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31,114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1"/>
              <w:spacing w:after="0"/>
              <w:rPr>
                <w:sz w:val="20"/>
                <w:szCs w:val="20"/>
                <w:color w:val="auto"/>
              </w:rPr>
            </w:pPr>
            <w:r>
              <w:rPr>
                <w:rFonts w:ascii="Arial" w:cs="Arial" w:eastAsia="Arial" w:hAnsi="Arial"/>
                <w:sz w:val="18"/>
                <w:szCs w:val="18"/>
                <w:color w:val="auto"/>
                <w:w w:val="95"/>
              </w:rPr>
              <w:t>778,581</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42,394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42,394</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(18,523)</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29,141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Vesting of RSUs</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99,646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w w:val="90"/>
              </w:rPr>
              <w:t>Compensation expense under share incentive</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plans</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3,777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3,777</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effect of fair value option</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election (see Note 1)</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(7,827)</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Cumulative effect of adoption of ASU No.</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2016-13 (see Note 1)</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June 30, 2020</w:t>
            </w: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30,553,178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660,427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61,770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73,508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5"/>
              </w:rPr>
              <w:t>795,711</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8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13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9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Shares (Par)</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8"/>
          </w:tcPr>
          <w:p>
            <w:pPr>
              <w:ind w:left="460"/>
              <w:spacing w:after="0"/>
              <w:rPr>
                <w:sz w:val="20"/>
                <w:szCs w:val="20"/>
                <w:color w:val="auto"/>
              </w:rPr>
            </w:pPr>
            <w:r>
              <w:rPr>
                <w:rFonts w:ascii="Arial" w:cs="Arial" w:eastAsia="Arial" w:hAnsi="Arial"/>
                <w:sz w:val="14"/>
                <w:szCs w:val="14"/>
                <w:b w:val="1"/>
                <w:bCs w:val="1"/>
                <w:i w:val="1"/>
                <w:iCs w:val="1"/>
                <w:color w:val="auto"/>
              </w:rPr>
              <w:t>(in thousands, except share amounts)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2019</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30,162,045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648,242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101,617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4,432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5"/>
              </w:rPr>
              <w:t>754,297</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20,307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20,307</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20,732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20,732</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Dividends</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(9,195)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(9,195)</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166,963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Vesting of RSUs</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Compensation expense under share incentive</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64"/>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2019</w:t>
            </w:r>
          </w:p>
        </w:tc>
        <w:tc>
          <w:tcPr>
            <w:tcW w:w="11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30,330,675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653,151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112,729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25,164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5"/>
              </w:rPr>
              <w:t>791,050</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Balances at December 31, 2018</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29,988,460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645,310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79,753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(15,828)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1"/>
              <w:spacing w:after="0"/>
              <w:rPr>
                <w:sz w:val="20"/>
                <w:szCs w:val="20"/>
                <w:color w:val="auto"/>
              </w:rPr>
            </w:pPr>
            <w:r>
              <w:rPr>
                <w:rFonts w:ascii="Arial" w:cs="Arial" w:eastAsia="Arial" w:hAnsi="Arial"/>
                <w:sz w:val="18"/>
                <w:szCs w:val="18"/>
                <w:color w:val="auto"/>
                <w:w w:val="95"/>
              </w:rPr>
              <w:t>709,241</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43,035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43,035</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40,992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40,992</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(18,339)</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265,938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5,731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5,731</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Vesting of RSUs</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76,277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w w:val="89"/>
              </w:rPr>
              <w:t>Compensation expense under share incentive</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plans</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3,484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Adoption of ASU No. 2016-02,</w:t>
            </w:r>
          </w:p>
        </w:tc>
        <w:tc>
          <w:tcPr>
            <w:tcW w:w="1180" w:type="dxa"/>
            <w:vAlign w:val="bottom"/>
            <w:vMerge w:val="restart"/>
            <w:shd w:val="clear" w:color="auto" w:fill="CCEEFF"/>
          </w:tcPr>
          <w:p>
            <w:pPr>
              <w:jc w:val="right"/>
              <w:ind w:right="54"/>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52"/>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8,280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8,280</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derecognition of build-to-suit lease</w:t>
            </w: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2019</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30,330,675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653,151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112,729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25,164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1"/>
              <w:spacing w:after="0"/>
              <w:rPr>
                <w:sz w:val="20"/>
                <w:szCs w:val="20"/>
                <w:color w:val="auto"/>
              </w:rPr>
            </w:pPr>
            <w:r>
              <w:rPr>
                <w:rFonts w:ascii="Arial" w:cs="Arial" w:eastAsia="Arial" w:hAnsi="Arial"/>
                <w:sz w:val="18"/>
                <w:szCs w:val="18"/>
                <w:color w:val="auto"/>
                <w:w w:val="95"/>
              </w:rPr>
              <w:t>791,050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Net cash (used in) provided by operating activities (a)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(136,231)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68,123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Securities available-for-sale: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 fixed maturity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(368,975)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(260,853)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Sales – fixed maturity securities</w:t>
            </w:r>
          </w:p>
        </w:tc>
        <w:tc>
          <w:tcPr>
            <w:tcW w:w="3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9,432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91,537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Maturities and calls – fixed maturity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92,395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64,905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Purchases – equity securities</w:t>
            </w:r>
          </w:p>
        </w:tc>
        <w:tc>
          <w:tcPr>
            <w:tcW w:w="3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(9,993)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 equity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Bank loan participations: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(46,327)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Sales</w:t>
            </w:r>
          </w:p>
        </w:tc>
        <w:tc>
          <w:tcPr>
            <w:tcW w:w="3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103,933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27,920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Maturities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17,238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25,565</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Other invested assets: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Return of capital</w:t>
            </w:r>
          </w:p>
        </w:tc>
        <w:tc>
          <w:tcPr>
            <w:tcW w:w="3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13,612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Short-term investments, net</w:t>
            </w:r>
          </w:p>
        </w:tc>
        <w:tc>
          <w:tcPr>
            <w:tcW w:w="3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60,660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57,503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Securities receivable or payable, 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19,098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(83,810)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(37,470)</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debt issuances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119,000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Senior debt repayments</w:t>
            </w:r>
          </w:p>
        </w:tc>
        <w:tc>
          <w:tcPr>
            <w:tcW w:w="3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(18,342)</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Issuance of common shares under equity incentive plans</w:t>
            </w:r>
          </w:p>
        </w:tc>
        <w:tc>
          <w:tcPr>
            <w:tcW w:w="3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6,493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share repurchases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37"/>
        </w:trPr>
        <w:tc>
          <w:tcPr>
            <w:tcW w:w="834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39,130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(33,985)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cash, cash equivalents, and restricted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(180,911)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(3,332)</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equivalents at beginning of period</w:t>
            </w:r>
          </w:p>
        </w:tc>
        <w:tc>
          <w:tcPr>
            <w:tcW w:w="3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1,406,076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172,457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equivalents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1,225,165</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169,125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6,526</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6,499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8"/>
        <w:spacing w:after="0" w:line="286" w:lineRule="auto"/>
        <w:tabs>
          <w:tab w:leader="none" w:pos="256"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Cash used in operating activities for the six months ended June 30, 2020 primarily reflects $178.3 million of restricted cash equivalents returned to a former insured, per the terms of a collateral trust (see </w:t>
      </w:r>
      <w:r>
        <w:rPr>
          <w:rFonts w:ascii="Arial" w:cs="Arial" w:eastAsia="Arial" w:hAnsi="Arial"/>
          <w:sz w:val="17"/>
          <w:szCs w:val="17"/>
          <w:i w:val="1"/>
          <w:iCs w:val="1"/>
          <w:color w:val="auto"/>
        </w:rPr>
        <w:t>Amounts Recoverable from an Indemnifying Party in Liquidity and Capital Resources</w:t>
      </w:r>
      <w:r>
        <w:rPr>
          <w:rFonts w:ascii="Arial" w:cs="Arial" w:eastAsia="Arial" w:hAnsi="Arial"/>
          <w:sz w:val="17"/>
          <w:szCs w:val="17"/>
          <w:color w:val="auto"/>
        </w:rPr>
        <w:t>). Excluding the reduction in the collateral funds, cash provided by operating activities was $42.1 million for the six months ended June 30, 2020.</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9560" w:firstLine="8"/>
        <w:spacing w:after="0" w:line="425" w:lineRule="auto"/>
        <w:tabs>
          <w:tab w:leader="none" w:pos="17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Accounting Policies Organization</w:t>
      </w:r>
    </w:p>
    <w:p>
      <w:pPr>
        <w:ind w:right="20" w:firstLine="324"/>
        <w:spacing w:after="0" w:line="277" w:lineRule="auto"/>
        <w:rPr>
          <w:sz w:val="20"/>
          <w:szCs w:val="20"/>
          <w:color w:val="auto"/>
        </w:rPr>
      </w:pPr>
      <w:r>
        <w:rPr>
          <w:rFonts w:ascii="Arial" w:cs="Arial" w:eastAsia="Arial" w:hAnsi="Arial"/>
          <w:sz w:val="18"/>
          <w:szCs w:val="18"/>
          <w:color w:val="auto"/>
        </w:rPr>
        <w:t>James River Group Holdings, Ltd. (referred to as “JRG Holdings” or, with its subsidiaries, the “Company”) is an exempted holding company registered in Bermuda, organized for the purpose of acquiring and managing insurance and reinsurance entities.</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owns five insurance companies based in the United States (“U.S.”) focused on specialty insurance niches and two Bermuda-based reinsurance companies as described below:</w:t>
      </w:r>
    </w:p>
    <w:p>
      <w:pPr>
        <w:spacing w:after="0" w:line="62" w:lineRule="exact"/>
        <w:rPr>
          <w:sz w:val="20"/>
          <w:szCs w:val="20"/>
          <w:color w:val="auto"/>
        </w:rPr>
      </w:pPr>
    </w:p>
    <w:p>
      <w:pPr>
        <w:ind w:left="660" w:right="20" w:hanging="328"/>
        <w:spacing w:after="0" w:line="342"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James River Group Holdings UK Limited (“James River UK”) is an insurance holding company formed in 2015 in the United Kingdom (“U.K.”). JRG Holdings contributed James River Group, Inc. (“James River Group”), a U.S. insurance holding company, to James River UK in 2015.</w:t>
      </w:r>
    </w:p>
    <w:p>
      <w:pPr>
        <w:spacing w:after="0" w:line="16" w:lineRule="exact"/>
        <w:rPr>
          <w:sz w:val="20"/>
          <w:szCs w:val="20"/>
          <w:color w:val="auto"/>
        </w:rPr>
      </w:pPr>
    </w:p>
    <w:p>
      <w:pPr>
        <w:jc w:val="both"/>
        <w:ind w:left="660" w:hanging="328"/>
        <w:spacing w:after="0" w:line="263" w:lineRule="auto"/>
        <w:tabs>
          <w:tab w:leader="none" w:pos="697" w:val="left"/>
        </w:tabs>
        <w:numPr>
          <w:ilvl w:val="0"/>
          <w:numId w:val="6"/>
        </w:numPr>
        <w:rPr>
          <w:rFonts w:ascii="Arial" w:cs="Arial" w:eastAsia="Arial" w:hAnsi="Arial"/>
          <w:sz w:val="18"/>
          <w:szCs w:val="18"/>
          <w:color w:val="auto"/>
        </w:rPr>
      </w:pPr>
      <w:r>
        <w:rPr>
          <w:rFonts w:ascii="Arial" w:cs="Arial" w:eastAsia="Arial" w:hAnsi="Arial"/>
          <w:sz w:val="18"/>
          <w:szCs w:val="18"/>
          <w:color w:val="auto"/>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spacing w:after="0" w:line="76" w:lineRule="exact"/>
        <w:rPr>
          <w:sz w:val="20"/>
          <w:szCs w:val="20"/>
          <w:color w:val="auto"/>
        </w:rPr>
      </w:pPr>
    </w:p>
    <w:p>
      <w:pPr>
        <w:jc w:val="both"/>
        <w:ind w:left="660" w:hanging="328"/>
        <w:spacing w:after="0" w:line="263" w:lineRule="auto"/>
        <w:tabs>
          <w:tab w:leader="none" w:pos="683" w:val="left"/>
        </w:tabs>
        <w:numPr>
          <w:ilvl w:val="0"/>
          <w:numId w:val="7"/>
        </w:numPr>
        <w:rPr>
          <w:rFonts w:ascii="Arial" w:cs="Arial" w:eastAsia="Arial" w:hAnsi="Arial"/>
          <w:sz w:val="18"/>
          <w:szCs w:val="18"/>
          <w:color w:val="auto"/>
        </w:rPr>
      </w:pPr>
      <w:r>
        <w:rPr>
          <w:rFonts w:ascii="Arial" w:cs="Arial" w:eastAsia="Arial" w:hAnsi="Arial"/>
          <w:sz w:val="18"/>
          <w:szCs w:val="18"/>
          <w:color w:val="auto"/>
        </w:rPr>
        <w:t>James River Insurance Company is an Ohio domiciled excess and surplus lines insurance company that, with its wholly-owned insurance subsidiary, James River Casualty Company, a Virginia domiciled company, is authorized to write business in every state and the District of Columbia.</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83" w:val="left"/>
        </w:tabs>
        <w:numPr>
          <w:ilvl w:val="0"/>
          <w:numId w:val="7"/>
        </w:numPr>
        <w:rPr>
          <w:rFonts w:ascii="Arial" w:cs="Arial" w:eastAsia="Arial" w:hAnsi="Arial"/>
          <w:sz w:val="18"/>
          <w:szCs w:val="18"/>
          <w:color w:val="auto"/>
        </w:rPr>
      </w:pPr>
      <w:r>
        <w:rPr>
          <w:rFonts w:ascii="Arial" w:cs="Arial" w:eastAsia="Arial" w:hAnsi="Arial"/>
          <w:sz w:val="18"/>
          <w:szCs w:val="18"/>
          <w:color w:val="auto"/>
        </w:rPr>
        <w:t>Falls Lake National Insurance Company (“Falls Lake National”) is an Ohio domiciled insurance company which wholly owns Stonewood Insurance Company (“Stonewood Insurance”), a North Carolina domiciled company, and Falls Lake Fire and Casualty Company, a California domiciled company. Falls Lake National and its subsidiaries primarily write specialty admitted fronting and program business and individual risk workers' compensation insurance.</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color w:val="auto"/>
        </w:rPr>
        <w:t>JRG Reinsurance Company Ltd. (“JRG Re”) was formed in 2007 and commenced operations in 2008. JRG Re, a Bermuda domiciled reinsurer, primarily provides non-catastrophe casualty reinsurance to U.S. third parties and, through December 31, 2017, to the Company’s U.S.-based insurance subsidiaries.</w:t>
      </w:r>
    </w:p>
    <w:p>
      <w:pPr>
        <w:spacing w:after="0" w:line="75" w:lineRule="exact"/>
        <w:rPr>
          <w:rFonts w:ascii="Arial" w:cs="Arial" w:eastAsia="Arial" w:hAnsi="Arial"/>
          <w:sz w:val="18"/>
          <w:szCs w:val="18"/>
          <w:color w:val="auto"/>
        </w:rPr>
      </w:pPr>
    </w:p>
    <w:p>
      <w:pPr>
        <w:ind w:left="660" w:hanging="328"/>
        <w:spacing w:after="0" w:line="277" w:lineRule="auto"/>
        <w:tabs>
          <w:tab w:leader="none" w:pos="67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Carolina Re Ltd (“Carolina Re”) was formed in 2018 and as of January 1, 2018 provides reinsurance to the Company’s U.S.-based insurance subsidiaries. Carolina Re is also the cedent on a stop loss reinsurance treaty with JRG 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2019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2019 was derived from the Company’s audited annual consolidated financial statements.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Intercompany transactions and balances have been eliminated.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Preparation of the condensed consolidated financial statements in conformity with U.S. GAAP requires management to make estimates and assumptions that affect the amounts reported in the condensed consolidated financial statements and accompanying disclosures. Those estimates are inherently subject to change, and actual results may ultimately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spacing w:after="0" w:line="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$31.3 million and $31.2 million as of June 30, 2020 and December 31, 2019, respectively, representing the Company’s maximum exposure to loss.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effective tax rate fluctuates from period to period based on the relative mix of income reported by country and the respective tax rates imposed by each tax jurisdiction.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 In 2020, the COVID-19 pandemic has led to significant unrealized losses in our investment portfolio that were recognized in earnings. As a result, the Company had a pre-tax loss of $1.5 million for the six months ended June 30, 2020 and recorded a U.S. federal income tax benefit of $257,000. For the six months ended June 30, 2019, our U.S. federal income tax expense was 14.7% of income before taxes.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Accounting Standards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 xml:space="preserve">On January 1, 2020, the Company adopted ASU 2016-13, </w:t>
      </w:r>
      <w:r>
        <w:rPr>
          <w:rFonts w:ascii="Arial" w:cs="Arial" w:eastAsia="Arial" w:hAnsi="Arial"/>
          <w:sz w:val="18"/>
          <w:szCs w:val="18"/>
          <w:i w:val="1"/>
          <w:iCs w:val="1"/>
          <w:color w:val="231F20"/>
        </w:rPr>
        <w:t>Financial Instruments - Credit Losses (Topic 326): Measurement of Credit Losses on</w:t>
      </w:r>
      <w:r>
        <w:rPr>
          <w:rFonts w:ascii="Arial" w:cs="Arial" w:eastAsia="Arial" w:hAnsi="Arial"/>
          <w:sz w:val="18"/>
          <w:szCs w:val="18"/>
          <w:color w:val="231F20"/>
        </w:rPr>
        <w:t xml:space="preserve"> </w:t>
      </w:r>
      <w:r>
        <w:rPr>
          <w:rFonts w:ascii="Arial" w:cs="Arial" w:eastAsia="Arial" w:hAnsi="Arial"/>
          <w:sz w:val="18"/>
          <w:szCs w:val="18"/>
          <w:i w:val="1"/>
          <w:iCs w:val="1"/>
          <w:color w:val="231F20"/>
        </w:rPr>
        <w:t>Financial Instruments</w:t>
      </w:r>
      <w:r>
        <w:rPr>
          <w:rFonts w:ascii="Arial" w:cs="Arial" w:eastAsia="Arial" w:hAnsi="Arial"/>
          <w:sz w:val="18"/>
          <w:szCs w:val="18"/>
          <w:color w:val="231F20"/>
        </w:rPr>
        <w:t>, using the modified retrospective approach, by which a cumulative-effect adjustment was made to retained earnings as of the date of</w:t>
      </w:r>
      <w:r>
        <w:rPr>
          <w:rFonts w:ascii="Arial" w:cs="Arial" w:eastAsia="Arial" w:hAnsi="Arial"/>
          <w:sz w:val="18"/>
          <w:szCs w:val="18"/>
          <w:i w:val="1"/>
          <w:iCs w:val="1"/>
          <w:color w:val="231F20"/>
        </w:rPr>
        <w:t xml:space="preserve"> </w:t>
      </w:r>
      <w:r>
        <w:rPr>
          <w:rFonts w:ascii="Arial" w:cs="Arial" w:eastAsia="Arial" w:hAnsi="Arial"/>
          <w:sz w:val="18"/>
          <w:szCs w:val="18"/>
          <w:color w:val="231F20"/>
        </w:rPr>
        <w:t>adoption. This update requires financial assets measured at amortized cost, such as bank loan participations held for investment, to be presented at the net amount expected to be collected by means of an allowance for credit losses that is reflected in net income. Credit losses relating to available-for-sale debt securities are recorded through an allowance for credit losses, with the amount of the allowance limited to the amount by which fair value is below amortized cost.</w:t>
      </w:r>
    </w:p>
    <w:p>
      <w:pPr>
        <w:spacing w:after="0" w:line="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231F20"/>
        </w:rPr>
        <w:t xml:space="preserve">In connection with the adoption of this ASU, the Company elected the fair value option in accounting for bank loan participations effective January 1, 2020. The targeted transition relief offered by ASU 2019-05, </w:t>
      </w:r>
      <w:r>
        <w:rPr>
          <w:rFonts w:ascii="Arial" w:cs="Arial" w:eastAsia="Arial" w:hAnsi="Arial"/>
          <w:sz w:val="16"/>
          <w:szCs w:val="16"/>
          <w:i w:val="1"/>
          <w:iCs w:val="1"/>
          <w:color w:val="231F20"/>
        </w:rPr>
        <w:t>Financial Instruments - Credit Losses (Topic 326): Targeted Transition Relief</w:t>
      </w:r>
      <w:r>
        <w:rPr>
          <w:rFonts w:ascii="Arial" w:cs="Arial" w:eastAsia="Arial" w:hAnsi="Arial"/>
          <w:sz w:val="16"/>
          <w:szCs w:val="16"/>
          <w:color w:val="231F20"/>
        </w:rPr>
        <w:t xml:space="preserve"> was applied to elect the fair value option to account for bank loan participations already held at the January 1, 2020 date of adoption. Under the fair value option, bank loan participations are measured at fair value, and changes in unrealized gains and losses in bank loan participations are reported in our income statement as net realized and unrealized gains (losses) on investments. At adoption on January 1, 2020, the Company reduced the carrying value of its bank loan portfolio to fair value through an $8.4 million adjustment with a $7.8 million (net of tax) cumulative effect adjustment to reduce retained earnings.</w:t>
      </w:r>
    </w:p>
    <w:p>
      <w:pPr>
        <w:spacing w:after="0" w:line="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Upon adoption of this ASU, the Company established an allowance for uncollectible reinsurance balances through a $265,000 (net of tax) cumulative effect adjustment to retained earnings. Because we purchase reinsurance from financially strong reinsurers or we have collateral securing the recoverables, the effect of adoption was not material to our financial position.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available-for-sale fixed maturity securities are summarized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gridSpan w:val="5"/>
          </w:tcPr>
          <w:p>
            <w:pPr>
              <w:ind w:left="72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2020</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254,226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15,714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269,922</w:t>
            </w:r>
          </w:p>
        </w:tc>
        <w:tc>
          <w:tcPr>
            <w:tcW w:w="0" w:type="dxa"/>
            <w:vAlign w:val="bottom"/>
          </w:tcPr>
          <w:p>
            <w:pPr>
              <w:spacing w:after="0"/>
              <w:rPr>
                <w:sz w:val="1"/>
                <w:szCs w:val="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23"/>
                <w:szCs w:val="23"/>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282,396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8,853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291,188</w:t>
            </w: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707,203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47,479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754,442</w:t>
            </w:r>
          </w:p>
        </w:tc>
        <w:tc>
          <w:tcPr>
            <w:tcW w:w="0" w:type="dxa"/>
            <w:vAlign w:val="bottom"/>
          </w:tcPr>
          <w:p>
            <w:pPr>
              <w:spacing w:after="0"/>
              <w:rPr>
                <w:sz w:val="1"/>
                <w:szCs w:val="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23"/>
                <w:szCs w:val="23"/>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303,161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10,802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(2,782)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311,181</w:t>
            </w: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U.S. Treasury securities and obligations guaranteed by the U.S.</w:t>
            </w: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115,371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3,309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118,680</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w:t>
            </w:r>
          </w:p>
        </w:tc>
        <w:tc>
          <w:tcPr>
            <w:tcW w:w="2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Redeemable preferred stock</w:t>
            </w:r>
          </w:p>
        </w:tc>
        <w:tc>
          <w:tcPr>
            <w:tcW w:w="220" w:type="dxa"/>
            <w:vAlign w:val="bottom"/>
          </w:tcPr>
          <w:p>
            <w:pPr>
              <w:spacing w:after="0"/>
              <w:rPr>
                <w:sz w:val="23"/>
                <w:szCs w:val="23"/>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88"/>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1,664,382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86,157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(3,135)</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1,747,404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December 31, 2019</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159,894</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7,949</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167,101</w:t>
            </w: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261,524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3,244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264,146</w:t>
            </w:r>
          </w:p>
        </w:tc>
        <w:tc>
          <w:tcPr>
            <w:tcW w:w="0" w:type="dxa"/>
            <w:vAlign w:val="bottom"/>
          </w:tcPr>
          <w:p>
            <w:pPr>
              <w:spacing w:after="0"/>
              <w:rPr>
                <w:sz w:val="1"/>
                <w:szCs w:val="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23"/>
                <w:szCs w:val="23"/>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611,304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21,306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632,221</w:t>
            </w: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249,309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3,954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252,457</w:t>
            </w:r>
          </w:p>
        </w:tc>
        <w:tc>
          <w:tcPr>
            <w:tcW w:w="0" w:type="dxa"/>
            <w:vAlign w:val="bottom"/>
          </w:tcPr>
          <w:p>
            <w:pPr>
              <w:spacing w:after="0"/>
              <w:rPr>
                <w:sz w:val="1"/>
                <w:szCs w:val="1"/>
                <w:color w:val="auto"/>
              </w:rPr>
            </w:pPr>
          </w:p>
        </w:tc>
      </w:tr>
      <w:tr>
        <w:trPr>
          <w:trHeight w:val="175"/>
        </w:trPr>
        <w:tc>
          <w:tcPr>
            <w:tcW w:w="5600" w:type="dxa"/>
            <w:vAlign w:val="bottom"/>
          </w:tcPr>
          <w:p>
            <w:pPr>
              <w:ind w:left="180"/>
              <w:spacing w:after="0" w:line="176" w:lineRule="exact"/>
              <w:rPr>
                <w:sz w:val="20"/>
                <w:szCs w:val="20"/>
                <w:color w:val="auto"/>
              </w:rPr>
            </w:pPr>
            <w:r>
              <w:rPr>
                <w:rFonts w:ascii="Arial" w:cs="Arial" w:eastAsia="Arial" w:hAnsi="Arial"/>
                <w:sz w:val="18"/>
                <w:szCs w:val="18"/>
                <w:color w:val="auto"/>
              </w:rPr>
              <w:t>U.S. Treasury securities and obligations guaranteed by the U.S.</w:t>
            </w:r>
          </w:p>
        </w:tc>
        <w:tc>
          <w:tcPr>
            <w:tcW w:w="220" w:type="dxa"/>
            <w:vAlign w:val="bottom"/>
          </w:tcPr>
          <w:p>
            <w:pPr>
              <w:spacing w:after="0"/>
              <w:rPr>
                <w:sz w:val="15"/>
                <w:szCs w:val="15"/>
                <w:color w:val="auto"/>
              </w:rPr>
            </w:pPr>
          </w:p>
        </w:tc>
        <w:tc>
          <w:tcPr>
            <w:tcW w:w="1100" w:type="dxa"/>
            <w:vAlign w:val="bottom"/>
            <w:vMerge w:val="restart"/>
          </w:tcPr>
          <w:p>
            <w:pPr>
              <w:jc w:val="right"/>
              <w:ind w:right="73"/>
              <w:spacing w:after="0"/>
              <w:rPr>
                <w:sz w:val="20"/>
                <w:szCs w:val="20"/>
                <w:color w:val="auto"/>
              </w:rPr>
            </w:pPr>
            <w:r>
              <w:rPr>
                <w:rFonts w:ascii="Arial" w:cs="Arial" w:eastAsia="Arial" w:hAnsi="Arial"/>
                <w:sz w:val="18"/>
                <w:szCs w:val="18"/>
                <w:color w:val="auto"/>
              </w:rPr>
              <w:t>114,477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ind w:right="74"/>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ind w:right="72"/>
              <w:spacing w:after="0"/>
              <w:rPr>
                <w:sz w:val="20"/>
                <w:szCs w:val="20"/>
                <w:color w:val="auto"/>
              </w:rPr>
            </w:pPr>
            <w:r>
              <w:rPr>
                <w:rFonts w:ascii="Arial" w:cs="Arial" w:eastAsia="Arial" w:hAnsi="Arial"/>
                <w:sz w:val="18"/>
                <w:szCs w:val="18"/>
                <w:color w:val="auto"/>
              </w:rPr>
              <w:t>115,667</w:t>
            </w:r>
          </w:p>
        </w:tc>
        <w:tc>
          <w:tcPr>
            <w:tcW w:w="0" w:type="dxa"/>
            <w:vAlign w:val="bottom"/>
          </w:tcPr>
          <w:p>
            <w:pPr>
              <w:spacing w:after="0"/>
              <w:rPr>
                <w:sz w:val="1"/>
                <w:szCs w:val="1"/>
                <w:color w:val="auto"/>
              </w:rPr>
            </w:pPr>
          </w:p>
        </w:tc>
      </w:tr>
      <w:tr>
        <w:trPr>
          <w:trHeight w:val="230"/>
        </w:trPr>
        <w:tc>
          <w:tcPr>
            <w:tcW w:w="5600" w:type="dxa"/>
            <w:vAlign w:val="bottom"/>
          </w:tcPr>
          <w:p>
            <w:pPr>
              <w:ind w:left="360"/>
              <w:spacing w:after="0"/>
              <w:rPr>
                <w:sz w:val="20"/>
                <w:szCs w:val="20"/>
                <w:color w:val="auto"/>
              </w:rPr>
            </w:pPr>
            <w:r>
              <w:rPr>
                <w:rFonts w:ascii="Arial" w:cs="Arial" w:eastAsia="Arial" w:hAnsi="Arial"/>
                <w:sz w:val="18"/>
                <w:szCs w:val="18"/>
                <w:color w:val="auto"/>
              </w:rPr>
              <w:t>government</w:t>
            </w:r>
          </w:p>
        </w:tc>
        <w:tc>
          <w:tcPr>
            <w:tcW w:w="2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Redeemable preferred stock</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63"/>
        </w:trPr>
        <w:tc>
          <w:tcPr>
            <w:tcW w:w="560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1,398,533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37,691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(2,598)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1,433,626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amortized cost and fair value of available-for-sale investments in fixed maturity securities at June 30, 2020 are summarized, by contractual maturity,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Cost or</w:t>
            </w:r>
          </w:p>
        </w:tc>
        <w:tc>
          <w:tcPr>
            <w:tcW w:w="420" w:type="dxa"/>
            <w:vAlign w:val="bottom"/>
          </w:tcPr>
          <w:p>
            <w:pPr>
              <w:spacing w:after="0"/>
              <w:rPr>
                <w:sz w:val="14"/>
                <w:szCs w:val="14"/>
                <w:color w:val="auto"/>
              </w:rPr>
            </w:pPr>
          </w:p>
        </w:tc>
        <w:tc>
          <w:tcPr>
            <w:tcW w:w="9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8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Amortized</w:t>
            </w:r>
          </w:p>
        </w:tc>
        <w:tc>
          <w:tcPr>
            <w:tcW w:w="4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8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One year or less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103,318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104,395</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After one year through five years</w:t>
            </w:r>
          </w:p>
        </w:tc>
        <w:tc>
          <w:tcPr>
            <w:tcW w:w="22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472,778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498,541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After five years through ten years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293,830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316,790</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After ten years</w:t>
            </w:r>
          </w:p>
        </w:tc>
        <w:tc>
          <w:tcPr>
            <w:tcW w:w="22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206,874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223,318</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mortgage-backed</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282,396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291,188</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303,161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311,181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64"/>
        </w:trPr>
        <w:tc>
          <w:tcPr>
            <w:tcW w:w="84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1,664,382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2"/>
              </w:rPr>
              <w:t>1,747,404</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Actual maturities may differ for some securities because borrowers have the right to call or prepay obligations with or without penalties.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the Company’s gross unrealized losses and fair value for available-for-sale securities aggregated by investment category and the length of time that individual securities have been in a continuous unrealized loss position: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center"/>
              <w:ind w:right="154"/>
              <w:spacing w:after="0"/>
              <w:rPr>
                <w:sz w:val="20"/>
                <w:szCs w:val="20"/>
                <w:color w:val="auto"/>
              </w:rPr>
            </w:pPr>
            <w:r>
              <w:rPr>
                <w:rFonts w:ascii="Arial" w:cs="Arial" w:eastAsia="Arial" w:hAnsi="Arial"/>
                <w:sz w:val="14"/>
                <w:szCs w:val="14"/>
                <w:b w:val="1"/>
                <w:bCs w:val="1"/>
                <w:color w:val="auto"/>
                <w:w w:val="94"/>
              </w:rPr>
              <w:t>12 Months or More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10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9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3"/>
                <w:szCs w:val="13"/>
                <w:color w:val="auto"/>
              </w:rPr>
            </w:pPr>
          </w:p>
        </w:tc>
        <w:tc>
          <w:tcPr>
            <w:tcW w:w="7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54"/>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2020</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State and municipal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13,729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13,729</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140" w:type="dxa"/>
            <w:vAlign w:val="bottom"/>
          </w:tcPr>
          <w:p>
            <w:pPr>
              <w:ind w:left="260"/>
              <w:spacing w:after="0"/>
              <w:rPr>
                <w:sz w:val="20"/>
                <w:szCs w:val="20"/>
                <w:color w:val="auto"/>
              </w:rPr>
            </w:pPr>
            <w:r>
              <w:rPr>
                <w:rFonts w:ascii="Arial" w:cs="Arial" w:eastAsia="Arial" w:hAnsi="Arial"/>
                <w:sz w:val="18"/>
                <w:szCs w:val="18"/>
                <w:color w:val="auto"/>
              </w:rPr>
              <w:t>Residential mortgage-backed</w:t>
            </w:r>
          </w:p>
        </w:tc>
        <w:tc>
          <w:tcPr>
            <w:tcW w:w="24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6,578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23,050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3"/>
        </w:trPr>
        <w:tc>
          <w:tcPr>
            <w:tcW w:w="4140" w:type="dxa"/>
            <w:vAlign w:val="bottom"/>
          </w:tcPr>
          <w:p>
            <w:pPr>
              <w:ind w:left="26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27,017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37,182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64,199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Redeemable preferred stock</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63"/>
        </w:trPr>
        <w:tc>
          <w:tcPr>
            <w:tcW w:w="414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72,365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37,182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109,547</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State and municipal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30,028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30,695</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43"/>
        </w:trPr>
        <w:tc>
          <w:tcPr>
            <w:tcW w:w="4140" w:type="dxa"/>
            <w:vAlign w:val="bottom"/>
          </w:tcPr>
          <w:p>
            <w:pPr>
              <w:ind w:left="260"/>
              <w:spacing w:after="0"/>
              <w:rPr>
                <w:sz w:val="20"/>
                <w:szCs w:val="20"/>
                <w:color w:val="auto"/>
              </w:rPr>
            </w:pPr>
            <w:r>
              <w:rPr>
                <w:rFonts w:ascii="Arial" w:cs="Arial" w:eastAsia="Arial" w:hAnsi="Arial"/>
                <w:sz w:val="18"/>
                <w:szCs w:val="18"/>
                <w:color w:val="auto"/>
              </w:rPr>
              <w:t>Residential mortgage-backed</w:t>
            </w:r>
          </w:p>
        </w:tc>
        <w:tc>
          <w:tcPr>
            <w:tcW w:w="24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23,632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37,363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60,995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45,550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9,933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43"/>
        </w:trPr>
        <w:tc>
          <w:tcPr>
            <w:tcW w:w="4140" w:type="dxa"/>
            <w:vAlign w:val="bottom"/>
          </w:tcPr>
          <w:p>
            <w:pPr>
              <w:ind w:left="26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46,434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56,720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103,154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14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3"/>
              </w:rPr>
              <w:t>U.S. Treasury securities and obligations guaranteed</w:t>
            </w: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8,474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75"/>
              <w:spacing w:after="0"/>
              <w:rPr>
                <w:sz w:val="20"/>
                <w:szCs w:val="20"/>
                <w:color w:val="auto"/>
              </w:rPr>
            </w:pPr>
            <w:r>
              <w:rPr>
                <w:rFonts w:ascii="Arial" w:cs="Arial" w:eastAsia="Arial" w:hAnsi="Arial"/>
                <w:sz w:val="18"/>
                <w:szCs w:val="18"/>
                <w:color w:val="auto"/>
              </w:rPr>
              <w:t>7,168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15,642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by the U.S. government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14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154,118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111,851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265,969</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Investment fair values in 2020 have been negatively impacted by COVID-19. At June 30, 2020, the Company held fixed maturity securities of 56 issuers that were in an unrealized loss position with a total fair value of $109.5 million and gross unrealized losses of $3.1 million. None of the fixed maturity securities with unrealized losses has ever missed, or been delinquent on, a scheduled principal or interest payment. At June 30, 2020, 99.7% of the Company’s fixed maturity security portfolio was rated “BBB-” or better (“investment grade”) by Standard &amp; Poor’s or received an equivalent rating from another nationally recognized rating agency. Fixed maturity securities with ratings below investment grade by Standard &amp; Poor’s or another nationally recognized rating agency at June 30, 2020 had an aggregate fair value of $5.5 million and an aggregate net unrealized loss of $6,000.</w:t>
      </w:r>
    </w:p>
    <w:p>
      <w:pPr>
        <w:spacing w:after="0" w:line="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 xml:space="preserve">The Company adopted ASU 2016-13, </w:t>
      </w:r>
      <w:r>
        <w:rPr>
          <w:rFonts w:ascii="Arial" w:cs="Arial" w:eastAsia="Arial" w:hAnsi="Arial"/>
          <w:sz w:val="18"/>
          <w:szCs w:val="18"/>
          <w:i w:val="1"/>
          <w:iCs w:val="1"/>
          <w:color w:val="231F20"/>
        </w:rPr>
        <w:t>Financial Instruments - Credit Losses (Topic 326): Measurement of Credit Losses on Financial Instruments</w:t>
      </w:r>
      <w:r>
        <w:rPr>
          <w:rFonts w:ascii="Arial" w:cs="Arial" w:eastAsia="Arial" w:hAnsi="Arial"/>
          <w:sz w:val="18"/>
          <w:szCs w:val="18"/>
          <w:color w:val="231F20"/>
        </w:rPr>
        <w:t xml:space="preserve"> on January 1, 2020. This update changed the impairment model for available-for-sale fixed maturities and requires the Company to determine whether unrealized losses on available-for-sale fixed maturities are due to credit-related factors. An allowance for credit losses is established for any credit-related impairments, limited to the amount by which fair value is below amortized cost. Changes in the allowance for credit losses are recognized in earnings and included in n</w:t>
      </w:r>
      <w:r>
        <w:rPr>
          <w:rFonts w:ascii="Arial" w:cs="Arial" w:eastAsia="Arial" w:hAnsi="Arial"/>
          <w:sz w:val="18"/>
          <w:szCs w:val="18"/>
          <w:color w:val="000000"/>
        </w:rPr>
        <w:t>et realized and unrealized gains (losses) on investments</w:t>
      </w:r>
      <w:r>
        <w:rPr>
          <w:rFonts w:ascii="Arial" w:cs="Arial" w:eastAsia="Arial" w:hAnsi="Arial"/>
          <w:sz w:val="18"/>
          <w:szCs w:val="18"/>
          <w:color w:val="231F20"/>
        </w:rPr>
        <w:t>. Unrealized losses that are not credit-related will continue to be recognized in other comprehensive income.</w:t>
      </w:r>
    </w:p>
    <w:p>
      <w:pPr>
        <w:spacing w:after="0" w:line="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As a result of this review, management concluded that there were no credit-related impairments of fixed maturity securities at June 30, 2020. </w:t>
      </w:r>
      <w:r>
        <w:rPr>
          <w:rFonts w:ascii="Arial" w:cs="Arial" w:eastAsia="Arial" w:hAnsi="Arial"/>
          <w:sz w:val="17"/>
          <w:szCs w:val="17"/>
          <w:color w:val="231F20"/>
        </w:rPr>
        <w:t>Management does not intend to sell the</w:t>
      </w:r>
      <w:r>
        <w:rPr>
          <w:rFonts w:ascii="Arial" w:cs="Arial" w:eastAsia="Arial" w:hAnsi="Arial"/>
          <w:sz w:val="17"/>
          <w:szCs w:val="17"/>
          <w:color w:val="auto"/>
        </w:rPr>
        <w:t xml:space="preserve"> </w:t>
      </w:r>
      <w:r>
        <w:rPr>
          <w:rFonts w:ascii="Arial" w:cs="Arial" w:eastAsia="Arial" w:hAnsi="Arial"/>
          <w:sz w:val="17"/>
          <w:szCs w:val="17"/>
          <w:color w:val="231F20"/>
        </w:rPr>
        <w:t>securities in an unrealized loss position, and it is not “more likely than not” that the Company will be required to sell these securities before a recovery in their value to their amortized cost basis occurs.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Management concluded that none of the fixed maturity securities with an unrealized loss at December 31, 2019 had experienced an other-than-temporary impairment. At March 31, 2019, management concluded that three fixed maturity securities from one issuer that we intended to sell at a loss in the second quarter were impaired. The Company recorded impairment losses on these securities of $271,000 in the three months ended March 31, 2019. Management concluded that none of the fixed maturity securities with an unrealized loss at June 30, 2019 had experienced an other-than-temporary impairment.</w:t>
      </w:r>
    </w:p>
    <w:p>
      <w:pPr>
        <w:spacing w:after="0" w:line="8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 xml:space="preserve">In connection with the adoption of ASU 2016-13, the Company elected the fair value option in accounting for bank loan participations effective January 1, 2020. The targeted transition relief offered by ASU 2019-05, </w:t>
      </w:r>
      <w:r>
        <w:rPr>
          <w:rFonts w:ascii="Arial" w:cs="Arial" w:eastAsia="Arial" w:hAnsi="Arial"/>
          <w:sz w:val="17"/>
          <w:szCs w:val="17"/>
          <w:i w:val="1"/>
          <w:iCs w:val="1"/>
          <w:color w:val="231F20"/>
        </w:rPr>
        <w:t>Financial Instruments - Credit Losses (Topic 326): Targeted Transition Relief</w:t>
      </w:r>
      <w:r>
        <w:rPr>
          <w:rFonts w:ascii="Arial" w:cs="Arial" w:eastAsia="Arial" w:hAnsi="Arial"/>
          <w:sz w:val="17"/>
          <w:szCs w:val="17"/>
          <w:color w:val="231F20"/>
        </w:rPr>
        <w:t xml:space="preserve"> was applied to elect the fair value option to account for bank loan participations already held at the January 1, 2020 date of adoption. Under the fair value option, bank loan participations are measured at fair value, and changes in unrealized gains and losses in bank loan participations are reported in our income statement as net realized and unrealized gains (losses) on investments. At adoption on January 1, 2020, the Company applied the amendments on a modified retrospective basis, reducing the carrying value of its bank loan portfolio to fair value through an $8.4 million adjustment with a $7.8 million (net of tax) cumulative effect adjustment to reduce retained earnings.</w:t>
      </w:r>
    </w:p>
    <w:p>
      <w:pPr>
        <w:spacing w:after="0" w:line="6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231F20"/>
        </w:rPr>
        <w:t>Applying the fair value option to the bank loan portfolio will increase volatility in the Company's financial statements, but management believes it is less subjective and less burdensome to implement and maintain than ASU 2016-13, which would have otherwise been required. At June 30, 2020, the Company's bank loan portfolio had an aggregate fair value of $127.7 million and unpaid principal of $157.2 million. Investment income on bank loan participations included in net investment income was $3.1 million and $7.3 million for the three and six months ended June 30, 2020, respectively. Net realized and unrealized gains (losses) on investments includes gains of $26.6 million and losses of $17.4 million related to changes in unrealized gains and losses on bank loan participations in the three and six months ended June 30, 2020, respectively, and management concluded that $2.8 million and $7.8 million of those losses were due to credit-related impairments for the three and six months ended June 30, 2020, respectively. Losses due to credit-related impairments were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spacing w:after="0" w:line="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Prior to the election of the fair value option on January 1, 2020, bank loan participations were classified as held-for-investment and carried at amortized cost net of any allowance for credit losses. Under the prior accounting method, management concluded that seven loans from six issuers in the Company's bank loan portfolio were impaired at December 31, 2019. At December 31, 2019, the impaired loans had a carrying value of $6.9 million, unpaid principal of $14.3 million, and an allowance for credit losses of $7.2 million, $5.1 million of which related to two loans from one issuer that was experiencing liquidity concerns resulting from revenue declines and poor growth prospects in its most profitable segment. Management concluded that two of the loans in the Company’s loan portfolio were impaired at June 30, 2019. At June 30, 2019, the impaired loans had a carrying value of $3.4 million, unpaid principal of $3.6 million, and an allowance for credit losses of $231,000.</w:t>
      </w:r>
    </w:p>
    <w:p>
      <w:pPr>
        <w:spacing w:after="0" w:line="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31F20"/>
        </w:rPr>
        <w:t>Bank loan participations generally provide a higher yield than our portfolio of fixed maturities and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spacing w:after="0" w:line="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231F20"/>
        </w:rPr>
        <w:t>Interest income on bank loan participations is accrued on the unpaid principal balance, and discounts and premiums on bank loan participations are amortized to income using the interest method. 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June 30, 2020 or December 31, 2019.</w:t>
      </w:r>
    </w:p>
    <w:p>
      <w:pPr>
        <w:spacing w:after="0" w:line="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The average recorded investment in impaired bank loans was $1.7 million during the six months ended June 30, 2019. No investment income was recognized during the period that the loans were impaired and net realized investment losses of $231,000 and $1.8 million were recorded in the three and six months ended June 30, 2019 for changes in the fair value of impaired bank loans.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ind w:left="94"/>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74"/>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34"/>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left="434"/>
        <w:spacing w:after="0"/>
        <w:rPr>
          <w:sz w:val="20"/>
          <w:szCs w:val="20"/>
          <w:color w:val="auto"/>
        </w:rPr>
      </w:pPr>
      <w:r>
        <w:rPr>
          <w:rFonts w:ascii="Arial" w:cs="Arial" w:eastAsia="Arial" w:hAnsi="Arial"/>
          <w:sz w:val="18"/>
          <w:szCs w:val="18"/>
          <w:color w:val="auto"/>
        </w:rPr>
        <w:t>The Company’s net realized and unrealized gains and losses on investments are summarized as follows:</w:t>
      </w:r>
    </w:p>
    <w:p>
      <w:pPr>
        <w:spacing w:after="0" w:line="150" w:lineRule="exact"/>
        <w:rPr>
          <w:sz w:val="20"/>
          <w:szCs w:val="20"/>
          <w:color w:val="auto"/>
        </w:rPr>
      </w:pPr>
    </w:p>
    <w:tbl>
      <w:tblPr>
        <w:tblLayout w:type="fixed"/>
        <w:tblInd w:w="94"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83"/>
              </w:rPr>
              <w:t>2019</w:t>
            </w: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588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w:t>
            </w:r>
          </w:p>
        </w:tc>
      </w:tr>
      <w:tr>
        <w:trPr>
          <w:trHeight w:val="237"/>
        </w:trPr>
        <w:tc>
          <w:tcPr>
            <w:tcW w:w="56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Bank loan participations: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150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(10,978)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Changes in fair values of bank loan participations</w:t>
            </w:r>
          </w:p>
        </w:tc>
        <w:tc>
          <w:tcPr>
            <w:tcW w:w="32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26,570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(17,377)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17,131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(28,023)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(2,850)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Changes in fair values of equity securities</w:t>
            </w:r>
          </w:p>
        </w:tc>
        <w:tc>
          <w:tcPr>
            <w:tcW w:w="32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4,046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(9,269)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5,449</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5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4,046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(9,439)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5,431</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Short-term investments and other:</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fair values of short-term investments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6"/>
        </w:trPr>
        <w:tc>
          <w:tcPr>
            <w:tcW w:w="56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21,593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(36,814)</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2,688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34"/>
        <w:spacing w:after="0"/>
        <w:rPr>
          <w:sz w:val="20"/>
          <w:szCs w:val="20"/>
          <w:color w:val="auto"/>
        </w:rPr>
      </w:pPr>
      <w:r>
        <w:rPr>
          <w:rFonts w:ascii="Arial" w:cs="Arial" w:eastAsia="Arial" w:hAnsi="Arial"/>
          <w:sz w:val="18"/>
          <w:szCs w:val="18"/>
          <w:color w:val="auto"/>
        </w:rPr>
        <w:t>Realized investment gains or losses are determined on a specific identification basis.</w:t>
      </w:r>
    </w:p>
    <w:p>
      <w:pPr>
        <w:spacing w:after="0" w:line="117" w:lineRule="exact"/>
        <w:rPr>
          <w:sz w:val="20"/>
          <w:szCs w:val="20"/>
          <w:color w:val="auto"/>
        </w:rPr>
      </w:pPr>
    </w:p>
    <w:p>
      <w:pPr>
        <w:jc w:val="both"/>
        <w:ind w:left="94" w:firstLine="324"/>
        <w:spacing w:after="0" w:line="277" w:lineRule="auto"/>
        <w:rPr>
          <w:sz w:val="20"/>
          <w:szCs w:val="20"/>
          <w:color w:val="auto"/>
        </w:rPr>
      </w:pPr>
      <w:r>
        <w:rPr>
          <w:rFonts w:ascii="Arial" w:cs="Arial" w:eastAsia="Arial" w:hAnsi="Arial"/>
          <w:sz w:val="18"/>
          <w:szCs w:val="18"/>
          <w:color w:val="auto"/>
        </w:rPr>
        <w:t>The Company invests selectively in private debt and equity opportunities. These investments, which together comprise the Company’s other invested assets, are primarily focused in renewable energy, limited partnerships, and bank holding companies.</w:t>
      </w:r>
    </w:p>
    <w:p>
      <w:pPr>
        <w:spacing w:after="0" w:line="108" w:lineRule="exact"/>
        <w:rPr>
          <w:sz w:val="20"/>
          <w:szCs w:val="20"/>
          <w:color w:val="auto"/>
        </w:rPr>
      </w:pPr>
    </w:p>
    <w:tbl>
      <w:tblPr>
        <w:tblLayout w:type="fixed"/>
        <w:tblInd w:w="94"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Investment Income</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3"/>
                <w:szCs w:val="13"/>
                <w:color w:val="auto"/>
              </w:rPr>
            </w:pPr>
          </w:p>
        </w:tc>
        <w:tc>
          <w:tcPr>
            <w:tcW w:w="2180" w:type="dxa"/>
            <w:vAlign w:val="bottom"/>
            <w:gridSpan w:val="5"/>
          </w:tcPr>
          <w:p>
            <w:pPr>
              <w:ind w:left="260"/>
              <w:spacing w:after="0" w:line="153" w:lineRule="exact"/>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3"/>
                <w:szCs w:val="13"/>
                <w:color w:val="auto"/>
              </w:rPr>
            </w:pPr>
          </w:p>
        </w:tc>
        <w:tc>
          <w:tcPr>
            <w:tcW w:w="2100" w:type="dxa"/>
            <w:vAlign w:val="bottom"/>
            <w:gridSpan w:val="4"/>
          </w:tcPr>
          <w:p>
            <w:pPr>
              <w:jc w:val="right"/>
              <w:ind w:right="533"/>
              <w:spacing w:after="0" w:line="153"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30"/>
              <w:spacing w:after="0"/>
              <w:rPr>
                <w:sz w:val="20"/>
                <w:szCs w:val="20"/>
                <w:color w:val="auto"/>
              </w:rPr>
            </w:pPr>
            <w:r>
              <w:rPr>
                <w:rFonts w:ascii="Arial" w:cs="Arial" w:eastAsia="Arial" w:hAnsi="Arial"/>
                <w:sz w:val="14"/>
                <w:szCs w:val="14"/>
                <w:b w:val="1"/>
                <w:bCs w:val="1"/>
                <w:i w:val="1"/>
                <w:iCs w:val="1"/>
                <w:color w:val="auto"/>
              </w:rPr>
              <w:t>(in thousands)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Renewable energy LLCs </w:t>
            </w:r>
            <w:r>
              <w:rPr>
                <w:rFonts w:ascii="Arial" w:cs="Arial" w:eastAsia="Arial" w:hAnsi="Arial"/>
                <w:sz w:val="18"/>
                <w:szCs w:val="18"/>
                <w:i w:val="1"/>
                <w:iCs w:val="1"/>
                <w:color w:val="auto"/>
              </w:rPr>
              <w:t>(a)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31,318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31,219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center"/>
              <w:ind w:left="217"/>
              <w:spacing w:after="0"/>
              <w:rPr>
                <w:sz w:val="20"/>
                <w:szCs w:val="20"/>
                <w:color w:val="auto"/>
              </w:rPr>
            </w:pPr>
            <w:r>
              <w:rPr>
                <w:rFonts w:ascii="Arial" w:cs="Arial" w:eastAsia="Arial" w:hAnsi="Arial"/>
                <w:sz w:val="18"/>
                <w:szCs w:val="18"/>
                <w:color w:val="auto"/>
                <w:w w:val="93"/>
              </w:rPr>
              <w:t>846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Renewable energy notes receivable (</w:t>
            </w:r>
            <w:r>
              <w:rPr>
                <w:rFonts w:ascii="Arial" w:cs="Arial" w:eastAsia="Arial" w:hAnsi="Arial"/>
                <w:sz w:val="18"/>
                <w:szCs w:val="18"/>
                <w:i w:val="1"/>
                <w:iCs w:val="1"/>
                <w:color w:val="auto"/>
              </w:rPr>
              <w:t>b)</w:t>
            </w:r>
          </w:p>
        </w:tc>
        <w:tc>
          <w:tcPr>
            <w:tcW w:w="260" w:type="dxa"/>
            <w:vAlign w:val="bottom"/>
          </w:tcPr>
          <w:p>
            <w:pPr>
              <w:spacing w:after="0"/>
              <w:rPr>
                <w:sz w:val="23"/>
                <w:szCs w:val="23"/>
                <w:color w:val="auto"/>
              </w:rPr>
            </w:pP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58"/>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75"/>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center"/>
              <w:ind w:left="217"/>
              <w:spacing w:after="0"/>
              <w:rPr>
                <w:sz w:val="20"/>
                <w:szCs w:val="20"/>
                <w:color w:val="auto"/>
              </w:rPr>
            </w:pPr>
            <w:r>
              <w:rPr>
                <w:rFonts w:ascii="Arial" w:cs="Arial" w:eastAsia="Arial" w:hAnsi="Arial"/>
                <w:sz w:val="18"/>
                <w:szCs w:val="18"/>
                <w:color w:val="auto"/>
                <w:w w:val="93"/>
              </w:rPr>
              <w:t>267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Limited partnerships </w:t>
            </w:r>
            <w:r>
              <w:rPr>
                <w:rFonts w:ascii="Arial" w:cs="Arial" w:eastAsia="Arial" w:hAnsi="Arial"/>
                <w:sz w:val="18"/>
                <w:szCs w:val="18"/>
                <w:i w:val="1"/>
                <w:iCs w:val="1"/>
                <w:color w:val="auto"/>
              </w:rPr>
              <w:t>(c)</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8,965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16,741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center"/>
              <w:ind w:left="177"/>
              <w:spacing w:after="0"/>
              <w:rPr>
                <w:sz w:val="20"/>
                <w:szCs w:val="20"/>
                <w:color w:val="auto"/>
              </w:rPr>
            </w:pPr>
            <w:r>
              <w:rPr>
                <w:rFonts w:ascii="Arial" w:cs="Arial" w:eastAsia="Arial" w:hAnsi="Arial"/>
                <w:sz w:val="18"/>
                <w:szCs w:val="18"/>
                <w:color w:val="auto"/>
                <w:w w:val="95"/>
              </w:rPr>
              <w:t>(324)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70"/>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Bank holding companies </w:t>
            </w:r>
            <w:r>
              <w:rPr>
                <w:rFonts w:ascii="Arial" w:cs="Arial" w:eastAsia="Arial" w:hAnsi="Arial"/>
                <w:sz w:val="18"/>
                <w:szCs w:val="18"/>
                <w:i w:val="1"/>
                <w:iCs w:val="1"/>
                <w:color w:val="auto"/>
              </w:rPr>
              <w:t>(d)</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center"/>
              <w:ind w:left="217"/>
              <w:spacing w:after="0"/>
              <w:rPr>
                <w:sz w:val="20"/>
                <w:szCs w:val="20"/>
                <w:color w:val="auto"/>
              </w:rPr>
            </w:pPr>
            <w:r>
              <w:rPr>
                <w:rFonts w:ascii="Arial" w:cs="Arial" w:eastAsia="Arial" w:hAnsi="Arial"/>
                <w:sz w:val="18"/>
                <w:szCs w:val="18"/>
                <w:color w:val="auto"/>
                <w:w w:val="93"/>
              </w:rPr>
              <w:t>172</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88"/>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invested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47,463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61,210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center"/>
              <w:ind w:left="217"/>
              <w:spacing w:after="0"/>
              <w:rPr>
                <w:sz w:val="20"/>
                <w:szCs w:val="20"/>
                <w:color w:val="auto"/>
              </w:rPr>
            </w:pPr>
            <w:r>
              <w:rPr>
                <w:rFonts w:ascii="Arial" w:cs="Arial" w:eastAsia="Arial" w:hAnsi="Arial"/>
                <w:sz w:val="18"/>
                <w:szCs w:val="18"/>
                <w:color w:val="auto"/>
                <w:w w:val="93"/>
              </w:rPr>
              <w:t>961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left="274" w:hanging="274"/>
        <w:spacing w:after="0" w:line="291" w:lineRule="auto"/>
        <w:tabs>
          <w:tab w:leader="none" w:pos="27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Company’s Corporate and Other segment owns equity interests ranging from 2.6% to 32.6% in various LLCs whose principal objective is capital appreciation and income generation from owning and operating renewable energy production facilities (wind and solar). The LLCs are managed by an entity for which two former directors served as officers, and the Company’s Chairman and Chief Executive Officer ("CEO") has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The Company received cash distributions from these investments totaling $747,000 and $253,000 in the six months ended June 30, 2020 and 2019, respectively.</w:t>
      </w:r>
    </w:p>
    <w:p>
      <w:pPr>
        <w:sectPr>
          <w:pgSz w:w="11900" w:h="16838" w:orient="portrait"/>
          <w:cols w:equalWidth="0" w:num="1">
            <w:col w:w="11334"/>
          </w:cols>
          <w:pgMar w:left="226"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3"/>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34"/>
          </w:cols>
          <w:pgMar w:left="226" w:top="125" w:right="339" w:bottom="1440" w:gutter="0" w:footer="0" w:header="0"/>
          <w:type w:val="continuous"/>
        </w:sectPr>
      </w:pPr>
    </w:p>
    <w:bookmarkStart w:id="16" w:name="page17"/>
    <w:bookmarkEnd w:id="16"/>
    <w:p>
      <w:pPr>
        <w:ind w:left="94"/>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74"/>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34"/>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jc w:val="both"/>
        <w:ind w:left="274" w:hanging="274"/>
        <w:spacing w:after="0" w:line="257" w:lineRule="auto"/>
        <w:tabs>
          <w:tab w:leader="none" w:pos="268" w:val="left"/>
        </w:tabs>
        <w:numPr>
          <w:ilvl w:val="0"/>
          <w:numId w:val="9"/>
        </w:numPr>
        <w:rPr>
          <w:rFonts w:ascii="Arial" w:cs="Arial" w:eastAsia="Arial" w:hAnsi="Arial"/>
          <w:sz w:val="18"/>
          <w:szCs w:val="18"/>
          <w:color w:val="auto"/>
        </w:rPr>
      </w:pPr>
      <w:r>
        <w:rPr>
          <w:rFonts w:ascii="Arial" w:cs="Arial" w:eastAsia="Arial" w:hAnsi="Arial"/>
          <w:sz w:val="18"/>
          <w:szCs w:val="18"/>
          <w:color w:val="231F20"/>
        </w:rPr>
        <w:t xml:space="preserve">The Company's Corporate and Other segment has invested in notes receivable for renewable energy projects. At December 31, 2019, the Company held an $8.8 million note issued by an </w:t>
      </w:r>
      <w:r>
        <w:rPr>
          <w:rFonts w:ascii="Arial" w:cs="Arial" w:eastAsia="Arial" w:hAnsi="Arial"/>
          <w:sz w:val="18"/>
          <w:szCs w:val="18"/>
          <w:color w:val="000000"/>
        </w:rPr>
        <w:t>entity for which two of our former directors serve as officers</w:t>
      </w:r>
      <w:r>
        <w:rPr>
          <w:rFonts w:ascii="Arial" w:cs="Arial" w:eastAsia="Arial" w:hAnsi="Arial"/>
          <w:sz w:val="18"/>
          <w:szCs w:val="18"/>
          <w:color w:val="231F20"/>
        </w:rPr>
        <w:t>. During the three months ended March 31, 2020, the Company received repayment of $6.1 million of the original note principal. Interest on the note, which matures in 2021, is fixed at 15.0%. Interest income on the note was $101,000 and $267,000 for the three and six months ended June 30, 2020, respectively ($328,000 and $656,000 for the three and six months ended June 30, 2019, respectively).</w:t>
      </w:r>
    </w:p>
    <w:p>
      <w:pPr>
        <w:spacing w:after="0" w:line="79" w:lineRule="exact"/>
        <w:rPr>
          <w:rFonts w:ascii="Arial" w:cs="Arial" w:eastAsia="Arial" w:hAnsi="Arial"/>
          <w:sz w:val="18"/>
          <w:szCs w:val="18"/>
          <w:color w:val="auto"/>
        </w:rPr>
      </w:pPr>
    </w:p>
    <w:p>
      <w:pPr>
        <w:jc w:val="both"/>
        <w:ind w:left="274" w:hanging="274"/>
        <w:spacing w:after="0" w:line="254" w:lineRule="auto"/>
        <w:tabs>
          <w:tab w:leader="none" w:pos="271"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Company owns investments in limited partnerships that invest in concentrated portfolios including publicly-traded small cap equities, loans of middle market private equity sponsored companies, and tranches of distressed home loans. </w:t>
      </w:r>
      <w:r>
        <w:rPr>
          <w:rFonts w:ascii="Arial" w:cs="Arial" w:eastAsia="Arial" w:hAnsi="Arial"/>
          <w:sz w:val="18"/>
          <w:szCs w:val="18"/>
          <w:color w:val="231F20"/>
        </w:rPr>
        <w:t>Income f</w:t>
      </w:r>
      <w:r>
        <w:rPr>
          <w:rFonts w:ascii="Arial" w:cs="Arial" w:eastAsia="Arial" w:hAnsi="Arial"/>
          <w:sz w:val="18"/>
          <w:szCs w:val="18"/>
          <w:color w:val="auto"/>
        </w:rPr>
        <w:t xml:space="preserve">rom the partnerships is recognized under the equity method of accounting. The Company’s Corporate and Other segment held an investment in a limited partnership with a carrying value of $3.2 million at June 30, 2020. The Company recognized investment losses of $201,000 and investment income of $480,000 on the investment for the six months ended June 30, 2020, and </w:t>
      </w:r>
      <w:r>
        <w:rPr>
          <w:rFonts w:ascii="Arial" w:cs="Arial" w:eastAsia="Arial" w:hAnsi="Arial"/>
          <w:sz w:val="18"/>
          <w:szCs w:val="18"/>
          <w:color w:val="231F20"/>
        </w:rPr>
        <w:t>2019</w:t>
      </w:r>
      <w:r>
        <w:rPr>
          <w:rFonts w:ascii="Arial" w:cs="Arial" w:eastAsia="Arial" w:hAnsi="Arial"/>
          <w:sz w:val="18"/>
          <w:szCs w:val="18"/>
          <w:color w:val="auto"/>
        </w:rPr>
        <w:t xml:space="preserve"> respectively. The Company’s Excess and Surplus Lines segment holds investments in limited partnerships of $5.8 million at June 30, 2020. Investment losses of $123,000 and investment income of $2.3 million was recognized on the investments for the six months ended June 30, 2020 and </w:t>
      </w:r>
      <w:r>
        <w:rPr>
          <w:rFonts w:ascii="Arial" w:cs="Arial" w:eastAsia="Arial" w:hAnsi="Arial"/>
          <w:sz w:val="18"/>
          <w:szCs w:val="18"/>
          <w:color w:val="231F20"/>
        </w:rPr>
        <w:t>2019</w:t>
      </w:r>
      <w:r>
        <w:rPr>
          <w:rFonts w:ascii="Arial" w:cs="Arial" w:eastAsia="Arial" w:hAnsi="Arial"/>
          <w:sz w:val="18"/>
          <w:szCs w:val="18"/>
          <w:color w:val="auto"/>
        </w:rPr>
        <w:t>, respectively.</w:t>
      </w:r>
    </w:p>
    <w:p>
      <w:pPr>
        <w:spacing w:after="0" w:line="86" w:lineRule="exact"/>
        <w:rPr>
          <w:rFonts w:ascii="Arial" w:cs="Arial" w:eastAsia="Arial" w:hAnsi="Arial"/>
          <w:sz w:val="18"/>
          <w:szCs w:val="18"/>
          <w:color w:val="auto"/>
        </w:rPr>
      </w:pPr>
    </w:p>
    <w:p>
      <w:pPr>
        <w:jc w:val="both"/>
        <w:ind w:left="274" w:hanging="274"/>
        <w:spacing w:after="0" w:line="301" w:lineRule="auto"/>
        <w:tabs>
          <w:tab w:leader="none" w:pos="26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Company's Corporate and Other segment holds $4.5 million of subordinated notes issued by a bank holding company for which the Company’s Chairman and CEO was previously the Lead Independent Director and an investor and for which one of the Company’s directors was an investor and is currently a holder of the subordinated notes (the "Bank Holding Company"). Interest on the notes, which mature on August 12, 2023, is fixed at 7.6% per annum. Interest income on the notes was $172,000 for both six month periods ended June 30, 2020 and 2019, respectively.</w:t>
      </w:r>
    </w:p>
    <w:p>
      <w:pPr>
        <w:spacing w:after="0" w:line="49" w:lineRule="exact"/>
        <w:rPr>
          <w:sz w:val="20"/>
          <w:szCs w:val="20"/>
          <w:color w:val="auto"/>
        </w:rPr>
      </w:pPr>
    </w:p>
    <w:p>
      <w:pPr>
        <w:jc w:val="both"/>
        <w:ind w:left="94" w:firstLine="324"/>
        <w:spacing w:after="0" w:line="308" w:lineRule="auto"/>
        <w:rPr>
          <w:sz w:val="20"/>
          <w:szCs w:val="20"/>
          <w:color w:val="auto"/>
        </w:rPr>
      </w:pPr>
      <w:r>
        <w:rPr>
          <w:rFonts w:ascii="Arial" w:cs="Arial" w:eastAsia="Arial" w:hAnsi="Arial"/>
          <w:sz w:val="17"/>
          <w:szCs w:val="17"/>
          <w:color w:val="231F20"/>
        </w:rPr>
        <w:t>At June 30, 2020 and December 31, 2019, the Company held an investment in a CLO where one of the underlying loans was issued by the Bank Holding Company. The investment, with a carrying value of $1.5 million at June 30, 2020, is classified as an available-for-sale fixed maturity.</w:t>
      </w:r>
    </w:p>
    <w:p>
      <w:pPr>
        <w:spacing w:after="0" w:line="34" w:lineRule="exact"/>
        <w:rPr>
          <w:sz w:val="20"/>
          <w:szCs w:val="20"/>
          <w:color w:val="auto"/>
        </w:rPr>
      </w:pPr>
    </w:p>
    <w:p>
      <w:pPr>
        <w:ind w:left="94"/>
        <w:spacing w:after="0"/>
        <w:rPr>
          <w:sz w:val="20"/>
          <w:szCs w:val="20"/>
          <w:color w:val="auto"/>
        </w:rPr>
      </w:pPr>
      <w:r>
        <w:rPr>
          <w:rFonts w:ascii="Arial" w:cs="Arial" w:eastAsia="Arial" w:hAnsi="Arial"/>
          <w:sz w:val="18"/>
          <w:szCs w:val="18"/>
          <w:b w:val="1"/>
          <w:bCs w:val="1"/>
          <w:color w:val="auto"/>
        </w:rPr>
        <w:t>3. Goodwill and Intangible Assets</w:t>
      </w:r>
    </w:p>
    <w:p>
      <w:pPr>
        <w:spacing w:after="0" w:line="121" w:lineRule="exact"/>
        <w:rPr>
          <w:sz w:val="20"/>
          <w:szCs w:val="20"/>
          <w:color w:val="auto"/>
        </w:rPr>
      </w:pPr>
    </w:p>
    <w:p>
      <w:pPr>
        <w:jc w:val="both"/>
        <w:ind w:left="94" w:firstLine="324"/>
        <w:spacing w:after="0" w:line="259" w:lineRule="auto"/>
        <w:rPr>
          <w:sz w:val="20"/>
          <w:szCs w:val="20"/>
          <w:color w:val="auto"/>
        </w:rPr>
      </w:pPr>
      <w:r>
        <w:rPr>
          <w:rFonts w:ascii="Arial" w:cs="Arial" w:eastAsia="Arial" w:hAnsi="Arial"/>
          <w:sz w:val="18"/>
          <w:szCs w:val="18"/>
          <w:color w:val="auto"/>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 Goodwill resulting from the Merger was $181.8 million at June 30, 2020 and December 31, 2019.</w:t>
      </w:r>
    </w:p>
    <w:p>
      <w:pPr>
        <w:spacing w:after="0" w:line="79" w:lineRule="exact"/>
        <w:rPr>
          <w:sz w:val="20"/>
          <w:szCs w:val="20"/>
          <w:color w:val="auto"/>
        </w:rPr>
      </w:pPr>
    </w:p>
    <w:p>
      <w:pPr>
        <w:ind w:left="434"/>
        <w:spacing w:after="0"/>
        <w:rPr>
          <w:sz w:val="20"/>
          <w:szCs w:val="20"/>
          <w:color w:val="auto"/>
        </w:rPr>
      </w:pPr>
      <w:r>
        <w:rPr>
          <w:rFonts w:ascii="Arial" w:cs="Arial" w:eastAsia="Arial" w:hAnsi="Arial"/>
          <w:sz w:val="18"/>
          <w:szCs w:val="18"/>
          <w:color w:val="auto"/>
        </w:rPr>
        <w:t>The gross carrying amounts and accumulated amortization for each major specifically identifiable intangible asset class were as follows:</w:t>
      </w:r>
    </w:p>
    <w:p>
      <w:pPr>
        <w:spacing w:after="0" w:line="163" w:lineRule="exact"/>
        <w:rPr>
          <w:sz w:val="20"/>
          <w:szCs w:val="20"/>
          <w:color w:val="auto"/>
        </w:rPr>
      </w:pPr>
    </w:p>
    <w:tbl>
      <w:tblPr>
        <w:tblLayout w:type="fixed"/>
        <w:tblInd w:w="94"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Life</w:t>
            </w:r>
          </w:p>
        </w:tc>
        <w:tc>
          <w:tcPr>
            <w:tcW w:w="240" w:type="dxa"/>
            <w:vAlign w:val="bottom"/>
          </w:tcPr>
          <w:p>
            <w:pPr>
              <w:spacing w:after="0"/>
              <w:rPr>
                <w:sz w:val="13"/>
                <w:szCs w:val="13"/>
                <w:color w:val="auto"/>
              </w:rPr>
            </w:pPr>
          </w:p>
        </w:tc>
        <w:tc>
          <w:tcPr>
            <w:tcW w:w="11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11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1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140" w:type="dxa"/>
            <w:vAlign w:val="bottom"/>
          </w:tcPr>
          <w:p>
            <w:pPr>
              <w:jc w:val="right"/>
              <w:ind w:right="175"/>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640" w:type="dxa"/>
            <w:vAlign w:val="bottom"/>
            <w:tcBorders>
              <w:top w:val="single" w:sz="8" w:color="auto"/>
            </w:tcBorders>
            <w:gridSpan w:val="5"/>
          </w:tcPr>
          <w:p>
            <w:pPr>
              <w:ind w:left="70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Intangible Assets</w:t>
            </w: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Indefinite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7"/>
              <w:spacing w:after="0"/>
              <w:rPr>
                <w:sz w:val="20"/>
                <w:szCs w:val="20"/>
                <w:color w:val="auto"/>
              </w:rPr>
            </w:pPr>
            <w:r>
              <w:rPr>
                <w:rFonts w:ascii="Arial" w:cs="Arial" w:eastAsia="Arial" w:hAnsi="Arial"/>
                <w:sz w:val="18"/>
                <w:szCs w:val="18"/>
                <w:color w:val="auto"/>
              </w:rPr>
              <w:t>22,200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7"/>
              <w:spacing w:after="0"/>
              <w:rPr>
                <w:sz w:val="20"/>
                <w:szCs w:val="20"/>
                <w:color w:val="auto"/>
              </w:rPr>
            </w:pPr>
            <w:r>
              <w:rPr>
                <w:rFonts w:ascii="Arial" w:cs="Arial" w:eastAsia="Arial" w:hAnsi="Arial"/>
                <w:sz w:val="18"/>
                <w:szCs w:val="18"/>
                <w:color w:val="auto"/>
              </w:rPr>
              <w:t>22,200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 licenses and authorities</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Indefinite</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8,964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8,964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Identifiable intangibles not subject to amortization</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31,164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31,164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Broker relationships</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11,611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6,133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11,611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5,835</w:t>
            </w: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w w:val="97"/>
              </w:rPr>
              <w:t>Identifiable intangible assets subject to amortization</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11,611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6,133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11,611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5,835</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6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42,775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6,133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42,775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5,835</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93"/>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34"/>
          </w:cols>
          <w:pgMar w:left="226"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represents a reconciliation of the numerator and denominator of the basic and diluted earnings per share computations contained in the condensed consolidated financial statements: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680" w:type="dxa"/>
            <w:vAlign w:val="bottom"/>
            <w:gridSpan w:val="4"/>
          </w:tcPr>
          <w:p>
            <w:pPr>
              <w:jc w:val="right"/>
              <w:ind w:right="832"/>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r>
      <w:tr>
        <w:trPr>
          <w:trHeight w:val="196"/>
        </w:trPr>
        <w:tc>
          <w:tcPr>
            <w:tcW w:w="5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196"/>
        </w:trPr>
        <w:tc>
          <w:tcPr>
            <w:tcW w:w="5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180" w:type="dxa"/>
            <w:vAlign w:val="bottom"/>
            <w:gridSpan w:val="7"/>
          </w:tcPr>
          <w:p>
            <w:pPr>
              <w:ind w:left="60"/>
              <w:spacing w:after="0"/>
              <w:rPr>
                <w:sz w:val="20"/>
                <w:szCs w:val="20"/>
                <w:color w:val="auto"/>
              </w:rPr>
            </w:pPr>
            <w:r>
              <w:rPr>
                <w:rFonts w:ascii="Arial" w:cs="Arial" w:eastAsia="Arial" w:hAnsi="Arial"/>
                <w:sz w:val="14"/>
                <w:szCs w:val="14"/>
                <w:b w:val="1"/>
                <w:bCs w:val="1"/>
                <w:i w:val="1"/>
                <w:iCs w:val="1"/>
                <w:color w:val="auto"/>
                <w:w w:val="89"/>
              </w:rPr>
              <w:t>(in thousands, except share and per share amounts)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to shareholders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35,614</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20,307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43,035</w:t>
            </w:r>
          </w:p>
        </w:tc>
      </w:tr>
      <w:tr>
        <w:trPr>
          <w:trHeight w:val="270"/>
        </w:trPr>
        <w:tc>
          <w:tcPr>
            <w:tcW w:w="5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30,529,241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30,246,420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30,502,774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30,153,426</w:t>
            </w:r>
          </w:p>
        </w:tc>
      </w:tr>
      <w:tr>
        <w:trPr>
          <w:trHeight w:val="27"/>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Common share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253,368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442,654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427,779</w:t>
            </w:r>
          </w:p>
        </w:tc>
      </w:tr>
      <w:tr>
        <w:trPr>
          <w:trHeight w:val="263"/>
        </w:trPr>
        <w:tc>
          <w:tcPr>
            <w:tcW w:w="5200" w:type="dxa"/>
            <w:vAlign w:val="bottom"/>
          </w:tcPr>
          <w:p>
            <w:pPr>
              <w:ind w:left="12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30,782,609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30,689,074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30,502,774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30,581,205</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1.17</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1.43</w:t>
            </w:r>
          </w:p>
        </w:tc>
      </w:tr>
      <w:tr>
        <w:trPr>
          <w:trHeight w:val="243"/>
        </w:trPr>
        <w:tc>
          <w:tcPr>
            <w:tcW w:w="5200" w:type="dxa"/>
            <w:vAlign w:val="bottom"/>
          </w:tcPr>
          <w:p>
            <w:pPr>
              <w:ind w:left="120"/>
              <w:spacing w:after="0"/>
              <w:rPr>
                <w:sz w:val="20"/>
                <w:szCs w:val="20"/>
                <w:color w:val="auto"/>
              </w:rPr>
            </w:pPr>
            <w:r>
              <w:rPr>
                <w:rFonts w:ascii="Arial" w:cs="Arial" w:eastAsia="Arial" w:hAnsi="Arial"/>
                <w:sz w:val="18"/>
                <w:szCs w:val="18"/>
                <w:color w:val="auto"/>
              </w:rPr>
              <w:t>Common share equivalents</w:t>
            </w:r>
          </w:p>
        </w:tc>
        <w:tc>
          <w:tcPr>
            <w:tcW w:w="28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(0.02)</w:t>
            </w:r>
          </w:p>
        </w:tc>
      </w:tr>
      <w:tr>
        <w:trPr>
          <w:trHeight w:val="27"/>
        </w:trPr>
        <w:tc>
          <w:tcPr>
            <w:tcW w:w="5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4"/>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three and six months ended June 30, 2020, common share equivalents of 0 and 281,405 shares, respectively (9,735 and 170,310 in the respective prior year periods), were excluded from the calculations of diluted earnings per share as their effects were anti-dilutive.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Reserve for Losses and Loss Adjustment Expenses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table provides a reconciliation of the beginning and ending reserve balances for losses and loss adjustment expenses, net of reinsurance, to the gross amounts reported in the condensed consolidated balance sheets. Reinsurance recoverables on unpaid losses and loss adjustment expenses are presented gross of a $335,000 allowance for uncollectible reinsurance balances at March 31, 2020 and June 30,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400" w:type="dxa"/>
            <w:vAlign w:val="bottom"/>
            <w:gridSpan w:val="4"/>
          </w:tcPr>
          <w:p>
            <w:pPr>
              <w:jc w:val="right"/>
              <w:ind w:right="77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for losses and loss adjustment expenses net of reinsurance</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recoverables at beginning of period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1,351,689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1,221,652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2"/>
              </w:rPr>
              <w:t>1,377,461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1,194,088</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w w:val="96"/>
              </w:rPr>
              <w:t>Add: Incurred losses and loss adjustment expenses net of reinsurance:</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97,620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144,738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193,602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283,697</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Prior years</w:t>
            </w:r>
          </w:p>
        </w:tc>
        <w:tc>
          <w:tcPr>
            <w:tcW w:w="28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2,315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incurred losses and loss and adjustment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98,746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147,053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195,602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286,980</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w w:val="94"/>
              </w:rPr>
              <w:t>Deduct: Loss and loss adjustment expense payments net of reinsurance:</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20,575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6,609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25,254</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Prior years</w:t>
            </w:r>
          </w:p>
        </w:tc>
        <w:tc>
          <w:tcPr>
            <w:tcW w:w="28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108,564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110,200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226,920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217,884</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loss and loss adjustment expense payments</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110,901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130,775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233,529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243,138</w:t>
            </w:r>
          </w:p>
        </w:tc>
        <w:tc>
          <w:tcPr>
            <w:tcW w:w="0" w:type="dxa"/>
            <w:vAlign w:val="bottom"/>
          </w:tcPr>
          <w:p>
            <w:pPr>
              <w:spacing w:after="0"/>
              <w:rPr>
                <w:sz w:val="1"/>
                <w:szCs w:val="1"/>
                <w:color w:val="auto"/>
              </w:rPr>
            </w:pPr>
          </w:p>
        </w:tc>
      </w:tr>
      <w:tr>
        <w:trPr>
          <w:trHeight w:val="209"/>
        </w:trPr>
        <w:tc>
          <w:tcPr>
            <w:tcW w:w="5520" w:type="dxa"/>
            <w:vAlign w:val="bottom"/>
          </w:tcPr>
          <w:p>
            <w:pPr>
              <w:ind w:left="20"/>
              <w:spacing w:after="0"/>
              <w:rPr>
                <w:sz w:val="20"/>
                <w:szCs w:val="20"/>
                <w:color w:val="auto"/>
              </w:rPr>
            </w:pPr>
            <w:r>
              <w:rPr>
                <w:rFonts w:ascii="Arial" w:cs="Arial" w:eastAsia="Arial" w:hAnsi="Arial"/>
                <w:sz w:val="18"/>
                <w:szCs w:val="18"/>
                <w:color w:val="auto"/>
              </w:rPr>
              <w:t>Reserve for losses and loss adjustment expenses net of reinsurance</w:t>
            </w: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recoverables at end of period</w:t>
            </w:r>
          </w:p>
        </w:tc>
        <w:tc>
          <w:tcPr>
            <w:tcW w:w="280" w:type="dxa"/>
            <w:vAlign w:val="bottom"/>
          </w:tcPr>
          <w:p>
            <w:pPr>
              <w:spacing w:after="0"/>
              <w:rPr>
                <w:sz w:val="20"/>
                <w:szCs w:val="20"/>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1,339,534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1,237,930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w w:val="92"/>
              </w:rPr>
              <w:t>1,339,534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1,237,930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Add: Reinsurance recoverables on unpaid losses and loss adjustment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 at end of period</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727,437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545,404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727,437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545,404</w:t>
            </w:r>
          </w:p>
        </w:tc>
        <w:tc>
          <w:tcPr>
            <w:tcW w:w="0" w:type="dxa"/>
            <w:vAlign w:val="bottom"/>
          </w:tcPr>
          <w:p>
            <w:pPr>
              <w:spacing w:after="0"/>
              <w:rPr>
                <w:sz w:val="1"/>
                <w:szCs w:val="1"/>
                <w:color w:val="auto"/>
              </w:rPr>
            </w:pPr>
          </w:p>
        </w:tc>
      </w:tr>
      <w:tr>
        <w:trPr>
          <w:trHeight w:val="209"/>
        </w:trPr>
        <w:tc>
          <w:tcPr>
            <w:tcW w:w="5520" w:type="dxa"/>
            <w:vAlign w:val="bottom"/>
          </w:tcPr>
          <w:p>
            <w:pPr>
              <w:ind w:left="20"/>
              <w:spacing w:after="0"/>
              <w:rPr>
                <w:sz w:val="20"/>
                <w:szCs w:val="20"/>
                <w:color w:val="auto"/>
              </w:rPr>
            </w:pPr>
            <w:r>
              <w:rPr>
                <w:rFonts w:ascii="Arial" w:cs="Arial" w:eastAsia="Arial" w:hAnsi="Arial"/>
                <w:sz w:val="18"/>
                <w:szCs w:val="18"/>
                <w:color w:val="auto"/>
                <w:w w:val="97"/>
              </w:rPr>
              <w:t>Reserve for losses and loss adjustment expenses gross of reinsurance</w:t>
            </w: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8"/>
                <w:szCs w:val="18"/>
                <w:color w:val="auto"/>
                <w:w w:val="96"/>
              </w:rPr>
              <w:t>recoverables on unpaid losses and loss adjustment expenses at end of</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ind w:right="74"/>
              <w:spacing w:after="0"/>
              <w:rPr>
                <w:sz w:val="20"/>
                <w:szCs w:val="20"/>
                <w:color w:val="auto"/>
              </w:rPr>
            </w:pPr>
            <w:r>
              <w:rPr>
                <w:rFonts w:ascii="Arial" w:cs="Arial" w:eastAsia="Arial" w:hAnsi="Arial"/>
                <w:sz w:val="18"/>
                <w:szCs w:val="18"/>
                <w:color w:val="auto"/>
              </w:rPr>
              <w:t>2,066,971</w:t>
            </w:r>
          </w:p>
        </w:tc>
        <w:tc>
          <w:tcPr>
            <w:tcW w:w="10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53"/>
              <w:spacing w:after="0"/>
              <w:rPr>
                <w:sz w:val="20"/>
                <w:szCs w:val="20"/>
                <w:color w:val="auto"/>
              </w:rPr>
            </w:pPr>
            <w:r>
              <w:rPr>
                <w:rFonts w:ascii="Arial" w:cs="Arial" w:eastAsia="Arial" w:hAnsi="Arial"/>
                <w:sz w:val="18"/>
                <w:szCs w:val="18"/>
                <w:color w:val="auto"/>
              </w:rPr>
              <w:t>1,783,334</w:t>
            </w:r>
          </w:p>
        </w:tc>
        <w:tc>
          <w:tcPr>
            <w:tcW w:w="120" w:type="dxa"/>
            <w:vAlign w:val="bottom"/>
          </w:tcPr>
          <w:p>
            <w:pPr>
              <w:spacing w:after="0"/>
              <w:rPr>
                <w:sz w:val="18"/>
                <w:szCs w:val="18"/>
                <w:color w:val="auto"/>
              </w:rPr>
            </w:pPr>
          </w:p>
        </w:tc>
        <w:tc>
          <w:tcPr>
            <w:tcW w:w="460" w:type="dxa"/>
            <w:vAlign w:val="bottom"/>
            <w:vMerge w:val="restart"/>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74"/>
              <w:spacing w:after="0"/>
              <w:rPr>
                <w:sz w:val="20"/>
                <w:szCs w:val="20"/>
                <w:color w:val="auto"/>
              </w:rPr>
            </w:pPr>
            <w:r>
              <w:rPr>
                <w:rFonts w:ascii="Arial" w:cs="Arial" w:eastAsia="Arial" w:hAnsi="Arial"/>
                <w:sz w:val="18"/>
                <w:szCs w:val="18"/>
                <w:color w:val="auto"/>
                <w:w w:val="92"/>
              </w:rPr>
              <w:t>2,066,971</w:t>
            </w:r>
          </w:p>
        </w:tc>
        <w:tc>
          <w:tcPr>
            <w:tcW w:w="100" w:type="dxa"/>
            <w:vAlign w:val="bottom"/>
          </w:tcPr>
          <w:p>
            <w:pPr>
              <w:spacing w:after="0"/>
              <w:rPr>
                <w:sz w:val="18"/>
                <w:szCs w:val="18"/>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72"/>
              <w:spacing w:after="0"/>
              <w:rPr>
                <w:sz w:val="20"/>
                <w:szCs w:val="20"/>
                <w:color w:val="auto"/>
              </w:rPr>
            </w:pPr>
            <w:r>
              <w:rPr>
                <w:rFonts w:ascii="Arial" w:cs="Arial" w:eastAsia="Arial" w:hAnsi="Arial"/>
                <w:sz w:val="18"/>
                <w:szCs w:val="18"/>
                <w:color w:val="auto"/>
              </w:rPr>
              <w:t>1,783,334</w:t>
            </w:r>
          </w:p>
        </w:tc>
        <w:tc>
          <w:tcPr>
            <w:tcW w:w="0" w:type="dxa"/>
            <w:vAlign w:val="bottom"/>
          </w:tcPr>
          <w:p>
            <w:pPr>
              <w:spacing w:after="0"/>
              <w:rPr>
                <w:sz w:val="1"/>
                <w:szCs w:val="1"/>
                <w:color w:val="auto"/>
              </w:rPr>
            </w:pPr>
          </w:p>
        </w:tc>
      </w:tr>
      <w:tr>
        <w:trPr>
          <w:trHeight w:val="235"/>
        </w:trPr>
        <w:tc>
          <w:tcPr>
            <w:tcW w:w="5520" w:type="dxa"/>
            <w:vAlign w:val="bottom"/>
          </w:tcPr>
          <w:p>
            <w:pPr>
              <w:ind w:left="20"/>
              <w:spacing w:after="0"/>
              <w:rPr>
                <w:sz w:val="20"/>
                <w:szCs w:val="20"/>
                <w:color w:val="auto"/>
              </w:rPr>
            </w:pPr>
            <w:r>
              <w:rPr>
                <w:rFonts w:ascii="Arial" w:cs="Arial" w:eastAsia="Arial" w:hAnsi="Arial"/>
                <w:sz w:val="18"/>
                <w:szCs w:val="18"/>
                <w:color w:val="auto"/>
              </w:rPr>
              <w:t>period</w:t>
            </w:r>
          </w:p>
        </w:tc>
        <w:tc>
          <w:tcPr>
            <w:tcW w:w="2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experienced $1.1 million of adverse reserve development in the three months ended June 30, 2020 on the reserve for losses and loss adjustment expenses held at December 31, 2019. This reserve development included $2.8 million of favorable development in the Excess and Surplus Lines segment, $1.0 million of favorable development in the Specialty Admitted Insurance segment due to favorable development in the workers' compensation business for prior accident years, and $5.0 million of adverse development in the Casualty Reinsurance segment.</w:t>
      </w:r>
    </w:p>
    <w:p>
      <w:pPr>
        <w:spacing w:after="0" w:line="6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experienced $2.3 million of adverse reserve development in the three months ended June 30, 2019 on the reserve for losses and loss adjustment expenses held at December 31, 2018. This reserve development included $1.2 million of adverse development in the Excess and Surplus Lines segment, as adverse development in the 2016 and 2017 accident years for commercial auto business were largely offset by favorable development in the 2018 accident year for commercial auto business. The Specialty Admitted Insurance segment experienced $1.2 million of favorable development due to favorable development in the workers' compensation business for prior accident years. The Company also experienced $2.4 million of adverse development in the Casualty Reinsurance segment primarily related to losses from risk profiles and treaty structures that the Company no longer writes.</w:t>
      </w:r>
    </w:p>
    <w:p>
      <w:pPr>
        <w:spacing w:after="0" w:line="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experienced $2.0 million of adverse reserve development in the six months ended June 30, 2020 on the reserve for losses and loss adjustment expenses held at December 31, 2019. This reserve development included $2.9 million of favorable development in the Excess and Surplus Lines segment, $2.0 million of favorable development in the Specialty Admitted Insurance segment due to favorable development in the workers' compensation business for prior accident years, and $6.9 million of adverse development in the Casualty Reinsurance segment.</w:t>
      </w:r>
    </w:p>
    <w:p>
      <w:pPr>
        <w:spacing w:after="0" w:line="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experienced $3.3 million of adverse reserve development in the six months ended June 30, 2019 on the reserve for losses and loss adjustment expenses held at December 31, 2018. This reserve development included $1.2 million of adverse development in the Excess and Surplus Lines segment, as adverse development in the 2016 and 2017 accident years for commercial auto business was largely offset by favorable development in the 2018 accident year for commercial auto business. The Specialty Admitted Insurance segment experienced $3.3 million of favorable development due to favorable development in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workers' compensation business for prior accident years. The Company also experienced $5.3 million of adverse development in the Casualty Reinsurance segment primarily related to losses from risk profiles and treaty structures that the Company no longer writes.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Comprehensive Income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components of other comprehensive income: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5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6"/>
        </w:trPr>
        <w:tc>
          <w:tcPr>
            <w:tcW w:w="5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9"/>
              </w:rPr>
              <w:t>2019</w:t>
            </w:r>
          </w:p>
        </w:tc>
      </w:tr>
      <w:tr>
        <w:trPr>
          <w:trHeight w:val="196"/>
        </w:trPr>
        <w:tc>
          <w:tcPr>
            <w:tcW w:w="5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6"/>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arising during the period, before U.S. income taxes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53,545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22,928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48,449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44,406</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U.S. income taxes</w:t>
            </w:r>
          </w:p>
        </w:tc>
        <w:tc>
          <w:tcPr>
            <w:tcW w:w="3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(6,937)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(1,908)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(5,559)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(3,355)</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arising during the period, net of U.S.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46,608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21,020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42,890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41,051</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Less reclassification adjustment:</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realized investment gains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103</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U.S. income taxes</w:t>
            </w:r>
          </w:p>
        </w:tc>
        <w:tc>
          <w:tcPr>
            <w:tcW w:w="3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(44)</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3"/>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Reclassification adjustment for investment gains realized in net income</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w:t>
            </w:r>
          </w:p>
        </w:tc>
      </w:tr>
      <w:tr>
        <w:trPr>
          <w:trHeight w:val="263"/>
        </w:trPr>
        <w:tc>
          <w:tcPr>
            <w:tcW w:w="55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46,313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20,732</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42,394</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40,992</w:t>
            </w:r>
          </w:p>
        </w:tc>
      </w:tr>
      <w:tr>
        <w:trPr>
          <w:trHeight w:val="21"/>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64"/>
        <w:spacing w:after="0" w:line="293" w:lineRule="auto"/>
        <w:rPr>
          <w:sz w:val="20"/>
          <w:szCs w:val="20"/>
          <w:color w:val="auto"/>
        </w:rPr>
      </w:pPr>
      <w:r>
        <w:rPr>
          <w:rFonts w:ascii="Arial" w:cs="Arial" w:eastAsia="Arial" w:hAnsi="Arial"/>
          <w:sz w:val="16"/>
          <w:szCs w:val="16"/>
          <w:color w:val="auto"/>
        </w:rPr>
        <w:t xml:space="preserve">In addition to the $305,000 and $520,000 of net realized investment gains on available-for-sale fixed maturities for the three and six </w:t>
      </w:r>
      <w:r>
        <w:rPr>
          <w:rFonts w:ascii="Arial" w:cs="Arial" w:eastAsia="Arial" w:hAnsi="Arial"/>
          <w:sz w:val="16"/>
          <w:szCs w:val="16"/>
          <w:color w:val="231F20"/>
        </w:rPr>
        <w:t>months ended</w:t>
      </w:r>
      <w:r>
        <w:rPr>
          <w:rFonts w:ascii="Arial" w:cs="Arial" w:eastAsia="Arial" w:hAnsi="Arial"/>
          <w:sz w:val="16"/>
          <w:szCs w:val="16"/>
          <w:color w:val="auto"/>
        </w:rPr>
        <w:t xml:space="preserve"> </w:t>
      </w:r>
      <w:r>
        <w:rPr>
          <w:rFonts w:ascii="Arial" w:cs="Arial" w:eastAsia="Arial" w:hAnsi="Arial"/>
          <w:sz w:val="16"/>
          <w:szCs w:val="16"/>
          <w:color w:val="231F20"/>
        </w:rPr>
        <w:t xml:space="preserve">June 30, 2020, respectively ($331,000 </w:t>
      </w:r>
      <w:r>
        <w:rPr>
          <w:rFonts w:ascii="Arial" w:cs="Arial" w:eastAsia="Arial" w:hAnsi="Arial"/>
          <w:sz w:val="16"/>
          <w:szCs w:val="16"/>
          <w:color w:val="000000"/>
        </w:rPr>
        <w:t>and $103,000 of net realized investment gains for the three and six</w:t>
      </w:r>
      <w:r>
        <w:rPr>
          <w:rFonts w:ascii="Arial" w:cs="Arial" w:eastAsia="Arial" w:hAnsi="Arial"/>
          <w:sz w:val="16"/>
          <w:szCs w:val="16"/>
          <w:color w:val="231F20"/>
        </w:rPr>
        <w:t xml:space="preserve"> months ended June 30, 2019</w:t>
      </w:r>
      <w:r>
        <w:rPr>
          <w:rFonts w:ascii="Arial" w:cs="Arial" w:eastAsia="Arial" w:hAnsi="Arial"/>
          <w:sz w:val="16"/>
          <w:szCs w:val="16"/>
          <w:color w:val="000000"/>
        </w:rPr>
        <w:t>, respectively), the</w:t>
      </w:r>
      <w:r>
        <w:rPr>
          <w:rFonts w:ascii="Arial" w:cs="Arial" w:eastAsia="Arial" w:hAnsi="Arial"/>
          <w:sz w:val="16"/>
          <w:szCs w:val="16"/>
          <w:color w:val="231F20"/>
        </w:rPr>
        <w:t xml:space="preserve"> </w:t>
      </w:r>
      <w:r>
        <w:rPr>
          <w:rFonts w:ascii="Arial" w:cs="Arial" w:eastAsia="Arial" w:hAnsi="Arial"/>
          <w:sz w:val="16"/>
          <w:szCs w:val="16"/>
          <w:color w:val="000000"/>
        </w:rPr>
        <w:t>Company also recognized $17.1 million of net realized and unrealized investment gains and $28.0 million of net realized and unrealized investment losses in the respective periods on its investments in bank loan participations ($1.2 million and $2.9 million of net realized investment losses in the prior year respective periods) and $4.0 million of net realized and unrealized gains and $9.4 million of net realized and unrealized losses in the respective periods on its investments in equity securities ($1.9 million and $5.4 million of net realized and unrealized gains in the prior year respective periods).</w:t>
      </w:r>
    </w:p>
    <w:p>
      <w:pPr>
        <w:spacing w:after="0" w:line="5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Liabilities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a party to various lawsuits arising in the ordinary course of its operations. The Company believes that the ultimate resolution of these matters will not materially impact its financial position, cash flows, or results of operations.</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response to the outbreak of the coronavirus pandemic in the first quarter of 2020, many state and local governments in the United States and around the world have instituted emergency restrictions that have substantially limited the operation of non-essential businesses and the activities of individuals. Many states have extended the expiration date of restrictions and some states that eased restrictions subsequently re-imposed them as the spread of COVID-19 worsened. These restrictions could result in significant adverse effects on our policyholders and many different types of small and mid-sized businesses within the Company’s client base, particularly those in the retail, hospitality and food and beverage industries, among many others. The ultimate effect and severity of COVID-19 on the economy is not known nor is the ultimate length of the restrictions and any accompanying effects caused by it. Moreover, the Federal Reserve has taken action to lower the Federal Funds rate and the U.S. equity markets have experienced substantial volatility in reaction to COVID-19 since February 2020, both of which have, along with other factors, placed pressure on net investment income and resulted in material realized and unrealized losses in our investment portfolio in the first quarter of 2020. Investment markets recovered substantially in the second quarter, leading to unrealized gains in our investment portfolio for the quarter.</w:t>
      </w:r>
    </w:p>
    <w:p>
      <w:pPr>
        <w:spacing w:after="0" w:line="7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effect of COVID-19 and related events could have a negative effect on the Company, including as a result of quarantines, market volatility, market downturns, actions of lawmakers and regulators, changes in consumer behavior, business closures, deterioration in the credit quality of policyholders or the inability of policyholders to pay their premium and deductible obligations to the Company, and deterioration in the credit quality of reinsurers or insurance entities with which we have a fronting arrangement or the inability of insurers or the insurance entities for which we are fronting to pay their obligations to the Company. At the federal and state level, there have been proposals by lawmakers to retroactively amend business interruption insurance policies to cover claims related to COVID-19 when such insurance policies otherwise would exclude such risks. In addition, a number of states have instituted, and other states are considering instituting, changes designed to effectively expand workers’ compensation coverage by creating presumptions of compensability of claims for certain types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of workers. The Company has received both business interruption and workers’ compensation claims related to COVID-19 and we expect that we will</w:t>
      </w:r>
    </w:p>
    <w:p>
      <w:pPr>
        <w:spacing w:after="0" w:line="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continue to receive claims related to COVID-19. If the efforts of lawmakers to effectively expand coverage under business interruption, workers’ compensation or other policies on a retroactive basis are successful and enforceable, the Company may be forced to pay claims under policies for which it received inadequate premiums to cover such risks, and therefore the Company’s reserves may be inadequate to pay such claims. At the state level, insurance departments throughout the country have issued bulletins and regulations urging or requiring insurers to extend grace periods for the payment of policy premiums and to refrain from canceling or non-renewing policies for the non-payment of policy premiums for policyholders adversely affected by COVID-19. While many of these requirements and recommendations have expired or are scheduled to expire in the near future, insurance departments could reinstate or extend them as conditions deteriorate and/or the negative impact of the pandemic on policyholders persists. It is uncertain what impact these government mandates may have on our ability to recover unpaid premiums on the affected policies or what our obligations may be for the payment of claims made under policies for which we have not received premium payments. Further, demand for the insurance policies that the Company offers is highly dependent upon the business environment in the markets in which the Company operates. Given the ongoing and dynamic nature of the circumstances, it is not possible to predict the ultimate impact of the coronavirus outbreak, but it could have a material adverse impact on the business prospects, financial condition or results of operations of the Company.</w:t>
      </w:r>
    </w:p>
    <w:p>
      <w:pPr>
        <w:spacing w:after="0" w:line="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JRG Re has entered into three letter of credit facilities with banks as security to third-party reinsureds on reinsurance assumed by JRG Re. JRG Re has established custodial accounts to secure these letters of credit. Under a $75.0 million facility, $12.6 million of letters of credit were issued through June 30, 2020 which were secured by deposits of $28.6 million. Under a $102.5 million facility, $74.7 million of letters of credit were issued through June 30, 2020 which were secured by deposits of $94.8 million. Under a $100.0 million facility, $17.8 million of letters of credit were issued through June 30, 2020 which were secured by deposits of $28.3 million. JRG Re has also established trust accounts to secure its obligations to selected reinsureds. The total amount deposited in the trust accounts for the benefit of third-party reinsureds was $306.7 million at June 30, 2020.</w:t>
      </w:r>
    </w:p>
    <w:p>
      <w:pPr>
        <w:spacing w:after="0" w:line="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previously issued a set of insurance contracts to Rasier LLC and its affiliates (collectively, “Rasier”) under which the Company pays losses and loss adjustment expenses on the contracts. The Company has indemnity agreements with Rasier (non-insurance entities) and is contractually entitled to receive reimbursement for a significant portion of the losses and loss adjustment expenses paid on behalf of Rasier and other expenses incurred by the Company. Rasier is required to collateralize all amounts currently due to the Company and to provide additional collateral sufficient to cover the amounts that may be recoverable under the indemnity agreements, including, among other things, case loss and loss adjustment expense reserves, IBNR loss and loss adjustment expense reserves, extra contractual obligations and excess of policy limits liabilities. The collateral is provided through a collateral trust arrangement established in favor of the Company by a captive insurance company affiliate of Rasier.</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permitted under our indemnification agreements with Rasier and the associated trust agreement, we have withdrawn the collateral posted to the trust account. At June 30, 2020, the Company held collateral funds of $1,020.9 million. The funds withdrawn from the trust account, currently invested in short term securities and included in restricted cash equivalents on the Company's consolidated balance sheet, will be used to reimburse the Company for the losses and loss adjustment expenses paid on behalf of Rasier and other related expenses incurred by the Company to the extent not paid as required under the indemnity agreements.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The Company has four reportable segments: the Excess and Surplus Lines segment, the Specialty Admitted Insurance segment, the Casualty Reinsurance segment, and the Corporate and Other segment. Segment profit (loss) is measured by underwriting profit (loss), which is generally defined as net earned premiums less loss and loss adjustment expenses and other operating expenses of the operating segments. Included in “other income” on the condensed consolidated statements of income (loss) and comprehensive income is gross fee income of $744,000 and $2.4 million for the three and six </w:t>
      </w:r>
      <w:r>
        <w:rPr>
          <w:rFonts w:ascii="Arial" w:cs="Arial" w:eastAsia="Arial" w:hAnsi="Arial"/>
          <w:sz w:val="18"/>
          <w:szCs w:val="18"/>
          <w:color w:val="231F20"/>
        </w:rPr>
        <w:t xml:space="preserve">months ended June 30, 2020, respectively, ($2.3 million and </w:t>
      </w:r>
      <w:r>
        <w:rPr>
          <w:rFonts w:ascii="Arial" w:cs="Arial" w:eastAsia="Arial" w:hAnsi="Arial"/>
          <w:sz w:val="18"/>
          <w:szCs w:val="18"/>
          <w:color w:val="000000"/>
        </w:rPr>
        <w:t>$5.0 million the three and six</w:t>
      </w:r>
      <w:r>
        <w:rPr>
          <w:rFonts w:ascii="Arial" w:cs="Arial" w:eastAsia="Arial" w:hAnsi="Arial"/>
          <w:sz w:val="18"/>
          <w:szCs w:val="18"/>
          <w:color w:val="231F20"/>
        </w:rPr>
        <w:t xml:space="preserve"> months ended June 30, 2019</w:t>
      </w:r>
      <w:r>
        <w:rPr>
          <w:rFonts w:ascii="Arial" w:cs="Arial" w:eastAsia="Arial" w:hAnsi="Arial"/>
          <w:sz w:val="18"/>
          <w:szCs w:val="18"/>
          <w:color w:val="000000"/>
        </w:rPr>
        <w:t>, respectively) that is included in</w:t>
      </w:r>
      <w:r>
        <w:rPr>
          <w:rFonts w:ascii="Arial" w:cs="Arial" w:eastAsia="Arial" w:hAnsi="Arial"/>
          <w:sz w:val="18"/>
          <w:szCs w:val="18"/>
          <w:color w:val="231F20"/>
        </w:rPr>
        <w:t xml:space="preserve"> </w:t>
      </w:r>
      <w:r>
        <w:rPr>
          <w:rFonts w:ascii="Arial" w:cs="Arial" w:eastAsia="Arial" w:hAnsi="Arial"/>
          <w:sz w:val="18"/>
          <w:szCs w:val="18"/>
          <w:color w:val="000000"/>
        </w:rPr>
        <w:t>underwriting profit for the respective three and six month periods. Segment results are reported prior to the effects of intercompany reinsurance agreements among the Company’s insurance subsidiaries.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segment results: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112"/>
              <w:spacing w:after="0"/>
              <w:rPr>
                <w:sz w:val="20"/>
                <w:szCs w:val="20"/>
                <w:color w:val="auto"/>
              </w:rPr>
            </w:pPr>
            <w:r>
              <w:rPr>
                <w:rFonts w:ascii="Arial" w:cs="Arial" w:eastAsia="Arial" w:hAnsi="Arial"/>
                <w:sz w:val="14"/>
                <w:szCs w:val="14"/>
                <w:b w:val="1"/>
                <w:bCs w:val="1"/>
                <w:color w:val="auto"/>
                <w:w w:val="88"/>
              </w:rPr>
              <w:t>Excess and</w:t>
            </w:r>
          </w:p>
        </w:tc>
        <w:tc>
          <w:tcPr>
            <w:tcW w:w="360" w:type="dxa"/>
            <w:vAlign w:val="bottom"/>
          </w:tcPr>
          <w:p>
            <w:pPr>
              <w:spacing w:after="0"/>
              <w:rPr>
                <w:sz w:val="14"/>
                <w:szCs w:val="14"/>
                <w:color w:val="auto"/>
              </w:rPr>
            </w:pPr>
          </w:p>
        </w:tc>
        <w:tc>
          <w:tcPr>
            <w:tcW w:w="1080" w:type="dxa"/>
            <w:vAlign w:val="bottom"/>
          </w:tcPr>
          <w:p>
            <w:pPr>
              <w:jc w:val="center"/>
              <w:ind w:right="112"/>
              <w:spacing w:after="0"/>
              <w:rPr>
                <w:sz w:val="20"/>
                <w:szCs w:val="20"/>
                <w:color w:val="auto"/>
              </w:rPr>
            </w:pPr>
            <w:r>
              <w:rPr>
                <w:rFonts w:ascii="Arial" w:cs="Arial" w:eastAsia="Arial" w:hAnsi="Arial"/>
                <w:sz w:val="14"/>
                <w:szCs w:val="14"/>
                <w:b w:val="1"/>
                <w:bCs w:val="1"/>
                <w:color w:val="auto"/>
                <w:w w:val="91"/>
              </w:rPr>
              <w:t>Specialty</w:t>
            </w:r>
          </w:p>
        </w:tc>
        <w:tc>
          <w:tcPr>
            <w:tcW w:w="300" w:type="dxa"/>
            <w:vAlign w:val="bottom"/>
          </w:tcPr>
          <w:p>
            <w:pPr>
              <w:spacing w:after="0"/>
              <w:rPr>
                <w:sz w:val="14"/>
                <w:szCs w:val="14"/>
                <w:color w:val="auto"/>
              </w:rPr>
            </w:pPr>
          </w:p>
        </w:tc>
        <w:tc>
          <w:tcPr>
            <w:tcW w:w="116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92"/>
              </w:rPr>
              <w:t>Casualty</w:t>
            </w:r>
          </w:p>
        </w:tc>
        <w:tc>
          <w:tcPr>
            <w:tcW w:w="320" w:type="dxa"/>
            <w:vAlign w:val="bottom"/>
          </w:tcPr>
          <w:p>
            <w:pPr>
              <w:spacing w:after="0"/>
              <w:rPr>
                <w:sz w:val="14"/>
                <w:szCs w:val="14"/>
                <w:color w:val="auto"/>
              </w:rPr>
            </w:pPr>
          </w:p>
        </w:tc>
        <w:tc>
          <w:tcPr>
            <w:tcW w:w="1080" w:type="dxa"/>
            <w:vAlign w:val="bottom"/>
          </w:tcPr>
          <w:p>
            <w:pPr>
              <w:jc w:val="center"/>
              <w:ind w:right="112"/>
              <w:spacing w:after="0"/>
              <w:rPr>
                <w:sz w:val="20"/>
                <w:szCs w:val="20"/>
                <w:color w:val="auto"/>
              </w:rPr>
            </w:pPr>
            <w:r>
              <w:rPr>
                <w:rFonts w:ascii="Arial" w:cs="Arial" w:eastAsia="Arial" w:hAnsi="Arial"/>
                <w:sz w:val="14"/>
                <w:szCs w:val="14"/>
                <w:b w:val="1"/>
                <w:bCs w:val="1"/>
                <w:color w:val="auto"/>
                <w:w w:val="95"/>
              </w:rPr>
              <w:t>Corporate</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1"/>
              </w:rPr>
              <w:t>Surplus</w:t>
            </w:r>
          </w:p>
        </w:tc>
        <w:tc>
          <w:tcPr>
            <w:tcW w:w="360" w:type="dxa"/>
            <w:vAlign w:val="bottom"/>
          </w:tcPr>
          <w:p>
            <w:pPr>
              <w:spacing w:after="0"/>
              <w:rPr>
                <w:sz w:val="12"/>
                <w:szCs w:val="12"/>
                <w:color w:val="auto"/>
              </w:rPr>
            </w:pPr>
          </w:p>
        </w:tc>
        <w:tc>
          <w:tcPr>
            <w:tcW w:w="108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5"/>
              </w:rPr>
              <w:t>Admitted</w:t>
            </w:r>
          </w:p>
        </w:tc>
        <w:tc>
          <w:tcPr>
            <w:tcW w:w="3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8"/>
              </w:rPr>
              <w:t>and</w:t>
            </w:r>
          </w:p>
        </w:tc>
        <w:tc>
          <w:tcPr>
            <w:tcW w:w="400" w:type="dxa"/>
            <w:vAlign w:val="bottom"/>
          </w:tcPr>
          <w:p>
            <w:pPr>
              <w:spacing w:after="0"/>
              <w:rPr>
                <w:sz w:val="12"/>
                <w:szCs w:val="12"/>
                <w:color w:val="auto"/>
              </w:rPr>
            </w:pPr>
          </w:p>
        </w:tc>
        <w:tc>
          <w:tcPr>
            <w:tcW w:w="104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7"/>
              </w:rPr>
              <w:t>Lines</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3"/>
              </w:rPr>
              <w:t>Insurance</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0"/>
              </w:rPr>
              <w:t>Reinsurance</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Other</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center"/>
              <w:ind w:right="92"/>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June 30, 2020</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186,994</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88,440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26,205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301,639</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100,849</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14,392</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33,574</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148,815</w:t>
            </w:r>
          </w:p>
        </w:tc>
        <w:tc>
          <w:tcPr>
            <w:tcW w:w="0" w:type="dxa"/>
            <w:vAlign w:val="bottom"/>
          </w:tcPr>
          <w:p>
            <w:pPr>
              <w:spacing w:after="0"/>
              <w:rPr>
                <w:sz w:val="1"/>
                <w:szCs w:val="1"/>
                <w:color w:val="auto"/>
              </w:rPr>
            </w:pPr>
          </w:p>
        </w:tc>
      </w:tr>
      <w:tr>
        <w:trPr>
          <w:trHeight w:val="270"/>
        </w:trPr>
        <w:tc>
          <w:tcPr>
            <w:tcW w:w="4140" w:type="dxa"/>
            <w:vAlign w:val="bottom"/>
          </w:tcPr>
          <w:p>
            <w:pPr>
              <w:ind w:left="20"/>
              <w:spacing w:after="0"/>
              <w:rPr>
                <w:sz w:val="20"/>
                <w:szCs w:val="20"/>
                <w:color w:val="auto"/>
              </w:rPr>
            </w:pPr>
            <w:r>
              <w:rPr>
                <w:rFonts w:ascii="Arial" w:cs="Arial" w:eastAsia="Arial" w:hAnsi="Arial"/>
                <w:sz w:val="18"/>
                <w:szCs w:val="18"/>
                <w:color w:val="auto"/>
              </w:rPr>
              <w:t>Underwriting profit (loss) of insurance segments</w:t>
            </w:r>
          </w:p>
        </w:tc>
        <w:tc>
          <w:tcPr>
            <w:tcW w:w="22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16,095</w:t>
            </w:r>
          </w:p>
        </w:tc>
        <w:tc>
          <w:tcPr>
            <w:tcW w:w="36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1,430</w:t>
            </w:r>
          </w:p>
        </w:tc>
        <w:tc>
          <w:tcPr>
            <w:tcW w:w="3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(2,637)</w:t>
            </w:r>
          </w:p>
        </w:tc>
        <w:tc>
          <w:tcPr>
            <w:tcW w:w="32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14,888</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3,336</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812</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10,534</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668</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15,350</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2,965</w:t>
            </w:r>
          </w:p>
        </w:tc>
        <w:tc>
          <w:tcPr>
            <w:tcW w:w="40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113,343</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15,870</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56,794</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742</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186,749</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181,831</w:t>
            </w:r>
          </w:p>
        </w:tc>
        <w:tc>
          <w:tcPr>
            <w:tcW w:w="36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2,304,169</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838,753</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1,808,921</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57,358</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5,009,201</w:t>
            </w:r>
          </w:p>
        </w:tc>
        <w:tc>
          <w:tcPr>
            <w:tcW w:w="0" w:type="dxa"/>
            <w:vAlign w:val="bottom"/>
          </w:tcPr>
          <w:p>
            <w:pPr>
              <w:spacing w:after="0"/>
              <w:rPr>
                <w:sz w:val="1"/>
                <w:szCs w:val="1"/>
                <w:color w:val="auto"/>
              </w:rPr>
            </w:pPr>
          </w:p>
        </w:tc>
      </w:tr>
      <w:tr>
        <w:trPr>
          <w:trHeight w:val="257"/>
        </w:trPr>
        <w:tc>
          <w:tcPr>
            <w:tcW w:w="4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June 30, 2019</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260,277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89,472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30,254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380,003</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150,921</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13,086</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35,107</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199,114</w:t>
            </w:r>
          </w:p>
        </w:tc>
        <w:tc>
          <w:tcPr>
            <w:tcW w:w="0" w:type="dxa"/>
            <w:vAlign w:val="bottom"/>
          </w:tcPr>
          <w:p>
            <w:pPr>
              <w:spacing w:after="0"/>
              <w:rPr>
                <w:sz w:val="1"/>
                <w:szCs w:val="1"/>
                <w:color w:val="auto"/>
              </w:rPr>
            </w:pPr>
          </w:p>
        </w:tc>
      </w:tr>
      <w:tr>
        <w:trPr>
          <w:trHeight w:val="270"/>
        </w:trPr>
        <w:tc>
          <w:tcPr>
            <w:tcW w:w="4140" w:type="dxa"/>
            <w:vAlign w:val="bottom"/>
          </w:tcPr>
          <w:p>
            <w:pPr>
              <w:ind w:left="20"/>
              <w:spacing w:after="0"/>
              <w:rPr>
                <w:sz w:val="20"/>
                <w:szCs w:val="20"/>
                <w:color w:val="auto"/>
              </w:rPr>
            </w:pPr>
            <w:r>
              <w:rPr>
                <w:rFonts w:ascii="Arial" w:cs="Arial" w:eastAsia="Arial" w:hAnsi="Arial"/>
                <w:sz w:val="18"/>
                <w:szCs w:val="18"/>
                <w:color w:val="auto"/>
              </w:rPr>
              <w:t>Underwriting profit (loss) of insurance segments</w:t>
            </w:r>
          </w:p>
        </w:tc>
        <w:tc>
          <w:tcPr>
            <w:tcW w:w="22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15,810</w:t>
            </w:r>
          </w:p>
        </w:tc>
        <w:tc>
          <w:tcPr>
            <w:tcW w:w="36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1,298</w:t>
            </w:r>
          </w:p>
        </w:tc>
        <w:tc>
          <w:tcPr>
            <w:tcW w:w="3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17,008</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4,229</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918</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11,986</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402</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17,535</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2,684</w:t>
            </w:r>
          </w:p>
        </w:tc>
        <w:tc>
          <w:tcPr>
            <w:tcW w:w="40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158,574</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14,940</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46,318</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542</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220,374</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181,831</w:t>
            </w:r>
          </w:p>
        </w:tc>
        <w:tc>
          <w:tcPr>
            <w:tcW w:w="36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1,122,080</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721,506</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1,544,565</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62,956</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3,451,107</w:t>
            </w:r>
          </w:p>
        </w:tc>
        <w:tc>
          <w:tcPr>
            <w:tcW w:w="0" w:type="dxa"/>
            <w:vAlign w:val="bottom"/>
          </w:tcPr>
          <w:p>
            <w:pPr>
              <w:spacing w:after="0"/>
              <w:rPr>
                <w:sz w:val="1"/>
                <w:szCs w:val="1"/>
                <w:color w:val="auto"/>
              </w:rPr>
            </w:pPr>
          </w:p>
        </w:tc>
      </w:tr>
      <w:tr>
        <w:trPr>
          <w:trHeight w:val="257"/>
        </w:trPr>
        <w:tc>
          <w:tcPr>
            <w:tcW w:w="4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2020</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323,191</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191,242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71,047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585,480</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200,588</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27,675</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66,470</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294,733</w:t>
            </w:r>
          </w:p>
        </w:tc>
        <w:tc>
          <w:tcPr>
            <w:tcW w:w="0" w:type="dxa"/>
            <w:vAlign w:val="bottom"/>
          </w:tcPr>
          <w:p>
            <w:pPr>
              <w:spacing w:after="0"/>
              <w:rPr>
                <w:sz w:val="1"/>
                <w:szCs w:val="1"/>
                <w:color w:val="auto"/>
              </w:rPr>
            </w:pPr>
          </w:p>
        </w:tc>
      </w:tr>
      <w:tr>
        <w:trPr>
          <w:trHeight w:val="270"/>
        </w:trPr>
        <w:tc>
          <w:tcPr>
            <w:tcW w:w="4140" w:type="dxa"/>
            <w:vAlign w:val="bottom"/>
          </w:tcPr>
          <w:p>
            <w:pPr>
              <w:ind w:left="20"/>
              <w:spacing w:after="0"/>
              <w:rPr>
                <w:sz w:val="20"/>
                <w:szCs w:val="20"/>
                <w:color w:val="auto"/>
              </w:rPr>
            </w:pPr>
            <w:r>
              <w:rPr>
                <w:rFonts w:ascii="Arial" w:cs="Arial" w:eastAsia="Arial" w:hAnsi="Arial"/>
                <w:sz w:val="18"/>
                <w:szCs w:val="18"/>
                <w:color w:val="auto"/>
              </w:rPr>
              <w:t>Underwriting profit (loss) of insurance segments</w:t>
            </w:r>
          </w:p>
        </w:tc>
        <w:tc>
          <w:tcPr>
            <w:tcW w:w="22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24,207</w:t>
            </w:r>
          </w:p>
        </w:tc>
        <w:tc>
          <w:tcPr>
            <w:tcW w:w="36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442</w:t>
            </w:r>
          </w:p>
        </w:tc>
        <w:tc>
          <w:tcPr>
            <w:tcW w:w="3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(2,430)</w:t>
            </w:r>
          </w:p>
        </w:tc>
        <w:tc>
          <w:tcPr>
            <w:tcW w:w="32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22,219</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11,277</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1,740</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22,138</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1,031</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36,186</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5,841</w:t>
            </w:r>
          </w:p>
        </w:tc>
        <w:tc>
          <w:tcPr>
            <w:tcW w:w="40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197,172</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28,543</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70,074</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1,244</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297,033</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181,831</w:t>
            </w:r>
          </w:p>
        </w:tc>
        <w:tc>
          <w:tcPr>
            <w:tcW w:w="36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2,304,169</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838,753</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1,808,921</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57,358</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5,009,201</w:t>
            </w:r>
          </w:p>
        </w:tc>
        <w:tc>
          <w:tcPr>
            <w:tcW w:w="0" w:type="dxa"/>
            <w:vAlign w:val="bottom"/>
          </w:tcPr>
          <w:p>
            <w:pPr>
              <w:spacing w:after="0"/>
              <w:rPr>
                <w:sz w:val="1"/>
                <w:szCs w:val="1"/>
                <w:color w:val="auto"/>
              </w:rPr>
            </w:pPr>
          </w:p>
        </w:tc>
      </w:tr>
      <w:tr>
        <w:trPr>
          <w:trHeight w:val="257"/>
        </w:trPr>
        <w:tc>
          <w:tcPr>
            <w:tcW w:w="4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2019</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446,826</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192,425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68,086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707,337</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292,593</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25,446</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71,227</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389,266</w:t>
            </w:r>
          </w:p>
        </w:tc>
        <w:tc>
          <w:tcPr>
            <w:tcW w:w="0" w:type="dxa"/>
            <w:vAlign w:val="bottom"/>
          </w:tcPr>
          <w:p>
            <w:pPr>
              <w:spacing w:after="0"/>
              <w:rPr>
                <w:sz w:val="1"/>
                <w:szCs w:val="1"/>
                <w:color w:val="auto"/>
              </w:rPr>
            </w:pPr>
          </w:p>
        </w:tc>
      </w:tr>
      <w:tr>
        <w:trPr>
          <w:trHeight w:val="270"/>
        </w:trPr>
        <w:tc>
          <w:tcPr>
            <w:tcW w:w="4140" w:type="dxa"/>
            <w:vAlign w:val="bottom"/>
          </w:tcPr>
          <w:p>
            <w:pPr>
              <w:ind w:left="20"/>
              <w:spacing w:after="0"/>
              <w:rPr>
                <w:sz w:val="20"/>
                <w:szCs w:val="20"/>
                <w:color w:val="auto"/>
              </w:rPr>
            </w:pPr>
            <w:r>
              <w:rPr>
                <w:rFonts w:ascii="Arial" w:cs="Arial" w:eastAsia="Arial" w:hAnsi="Arial"/>
                <w:sz w:val="18"/>
                <w:szCs w:val="18"/>
                <w:color w:val="auto"/>
              </w:rPr>
              <w:t>Underwriting profit of insurance segments</w:t>
            </w:r>
          </w:p>
        </w:tc>
        <w:tc>
          <w:tcPr>
            <w:tcW w:w="22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28,912</w:t>
            </w:r>
          </w:p>
        </w:tc>
        <w:tc>
          <w:tcPr>
            <w:tcW w:w="36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2,921</w:t>
            </w:r>
          </w:p>
        </w:tc>
        <w:tc>
          <w:tcPr>
            <w:tcW w:w="300" w:type="dxa"/>
            <w:vAlign w:val="bottom"/>
          </w:tcPr>
          <w:p>
            <w:pPr>
              <w:spacing w:after="0"/>
              <w:rPr>
                <w:sz w:val="23"/>
                <w:szCs w:val="23"/>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227</w:t>
            </w:r>
          </w:p>
        </w:tc>
        <w:tc>
          <w:tcPr>
            <w:tcW w:w="32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32,060</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9,773</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1,815</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23,158</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2,220</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36,966</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5,492</w:t>
            </w:r>
          </w:p>
        </w:tc>
        <w:tc>
          <w:tcPr>
            <w:tcW w:w="40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311,011</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28,676</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92,328</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2,486</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434,501</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181,831</w:t>
            </w:r>
          </w:p>
        </w:tc>
        <w:tc>
          <w:tcPr>
            <w:tcW w:w="36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1,122,080</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721,506</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1,544,565</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62,956</w:t>
            </w: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3,451,107</w:t>
            </w:r>
          </w:p>
        </w:tc>
        <w:tc>
          <w:tcPr>
            <w:tcW w:w="0" w:type="dxa"/>
            <w:vAlign w:val="bottom"/>
          </w:tcPr>
          <w:p>
            <w:pPr>
              <w:spacing w:after="0"/>
              <w:rPr>
                <w:sz w:val="1"/>
                <w:szCs w:val="1"/>
                <w:color w:val="auto"/>
              </w:rPr>
            </w:pPr>
          </w:p>
        </w:tc>
      </w:tr>
      <w:tr>
        <w:trPr>
          <w:trHeight w:val="27"/>
        </w:trPr>
        <w:tc>
          <w:tcPr>
            <w:tcW w:w="4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reconciles the underwriting profit (loss) of the operating segments by individual segment to consolidated income before taxes: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540" w:type="dxa"/>
            <w:vAlign w:val="bottom"/>
          </w:tcPr>
          <w:p>
            <w:pPr>
              <w:spacing w:after="0"/>
              <w:rPr>
                <w:sz w:val="14"/>
                <w:szCs w:val="14"/>
                <w:color w:val="auto"/>
              </w:rPr>
            </w:pPr>
          </w:p>
        </w:tc>
        <w:tc>
          <w:tcPr>
            <w:tcW w:w="1560" w:type="dxa"/>
            <w:vAlign w:val="bottom"/>
            <w:gridSpan w:val="3"/>
          </w:tcPr>
          <w:p>
            <w:pPr>
              <w:jc w:val="center"/>
              <w:ind w:left="255"/>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275"/>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gridSpan w:val="3"/>
          </w:tcPr>
          <w:p>
            <w:pPr>
              <w:jc w:val="center"/>
              <w:ind w:left="574"/>
              <w:spacing w:after="0"/>
              <w:rPr>
                <w:sz w:val="20"/>
                <w:szCs w:val="20"/>
                <w:color w:val="auto"/>
              </w:rPr>
            </w:pPr>
            <w:r>
              <w:rPr>
                <w:rFonts w:ascii="Arial" w:cs="Arial" w:eastAsia="Arial" w:hAnsi="Arial"/>
                <w:sz w:val="14"/>
                <w:szCs w:val="14"/>
                <w:b w:val="1"/>
                <w:bCs w:val="1"/>
                <w:i w:val="1"/>
                <w:iCs w:val="1"/>
                <w:color w:val="auto"/>
                <w:w w:val="89"/>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Underwriting profit (loss) of the insurance segments: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16,095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15,810</w:t>
            </w:r>
          </w:p>
        </w:tc>
        <w:tc>
          <w:tcPr>
            <w:tcW w:w="100" w:type="dxa"/>
            <w:vAlign w:val="bottom"/>
          </w:tcPr>
          <w:p>
            <w:pPr>
              <w:spacing w:after="0"/>
              <w:rPr>
                <w:sz w:val="21"/>
                <w:szCs w:val="21"/>
                <w:color w:val="auto"/>
              </w:rPr>
            </w:pPr>
          </w:p>
        </w:tc>
        <w:tc>
          <w:tcPr>
            <w:tcW w:w="540" w:type="dxa"/>
            <w:vAlign w:val="bottom"/>
          </w:tcPr>
          <w:p>
            <w:pPr>
              <w:jc w:val="center"/>
              <w:ind w:right="3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24,207</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28,912</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Casualty Reinsurance</w:t>
            </w:r>
          </w:p>
        </w:tc>
        <w:tc>
          <w:tcPr>
            <w:tcW w:w="3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(2,637)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underwriting profit of insurance segments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14,888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17,008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22,219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32,060</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3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(7,472)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(7,433)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(15,751)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(15,339)</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Underwriting profit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7,416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9,575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6,468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16,721</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2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15,350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17,535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36,186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36,966</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realized and unrealized gains (losses) on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21,593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(36,814)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(2,965)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(5,841)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39,760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24,962</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center"/>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50,453</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9. Other Operating Expenses and Other Expenses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4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0" w:type="dxa"/>
            <w:vAlign w:val="bottom"/>
          </w:tcPr>
          <w:p>
            <w:pPr>
              <w:ind w:left="340"/>
              <w:spacing w:after="0"/>
              <w:rPr>
                <w:sz w:val="20"/>
                <w:szCs w:val="20"/>
                <w:color w:val="auto"/>
              </w:rPr>
            </w:pPr>
            <w:r>
              <w:rPr>
                <w:rFonts w:ascii="Arial" w:cs="Arial" w:eastAsia="Arial" w:hAnsi="Arial"/>
                <w:sz w:val="18"/>
                <w:szCs w:val="18"/>
                <w:color w:val="auto"/>
              </w:rPr>
              <w:t>Other operating expenses consist of the following:</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540" w:type="dxa"/>
            <w:vAlign w:val="bottom"/>
          </w:tcPr>
          <w:p>
            <w:pPr>
              <w:spacing w:after="0"/>
              <w:rPr>
                <w:sz w:val="24"/>
                <w:szCs w:val="24"/>
                <w:color w:val="auto"/>
              </w:rPr>
            </w:pPr>
          </w:p>
        </w:tc>
        <w:tc>
          <w:tcPr>
            <w:tcW w:w="1560" w:type="dxa"/>
            <w:vAlign w:val="bottom"/>
            <w:gridSpan w:val="3"/>
          </w:tcPr>
          <w:p>
            <w:pPr>
              <w:jc w:val="center"/>
              <w:ind w:left="255"/>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275"/>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gridSpan w:val="3"/>
          </w:tcPr>
          <w:p>
            <w:pPr>
              <w:jc w:val="center"/>
              <w:ind w:left="574"/>
              <w:spacing w:after="0"/>
              <w:rPr>
                <w:sz w:val="20"/>
                <w:szCs w:val="20"/>
                <w:color w:val="auto"/>
              </w:rPr>
            </w:pPr>
            <w:r>
              <w:rPr>
                <w:rFonts w:ascii="Arial" w:cs="Arial" w:eastAsia="Arial" w:hAnsi="Arial"/>
                <w:sz w:val="14"/>
                <w:szCs w:val="14"/>
                <w:b w:val="1"/>
                <w:bCs w:val="1"/>
                <w:i w:val="1"/>
                <w:iCs w:val="1"/>
                <w:color w:val="auto"/>
                <w:w w:val="89"/>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policy acquisition costs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21,629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23,150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center"/>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45,746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41,771</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Other underwriting expenses of the operating segments</w:t>
            </w:r>
          </w:p>
        </w:tc>
        <w:tc>
          <w:tcPr>
            <w:tcW w:w="32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14,296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14,260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33,521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33,485</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7,472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7,433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15,751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15,339</w:t>
            </w:r>
          </w:p>
        </w:tc>
        <w:tc>
          <w:tcPr>
            <w:tcW w:w="0" w:type="dxa"/>
            <w:vAlign w:val="bottom"/>
          </w:tcPr>
          <w:p>
            <w:pPr>
              <w:spacing w:after="0"/>
              <w:rPr>
                <w:sz w:val="1"/>
                <w:szCs w:val="1"/>
                <w:color w:val="auto"/>
              </w:rPr>
            </w:pPr>
          </w:p>
        </w:tc>
      </w:tr>
      <w:tr>
        <w:trPr>
          <w:trHeight w:val="263"/>
        </w:trPr>
        <w:tc>
          <w:tcPr>
            <w:tcW w:w="540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43,397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44,843</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center"/>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95,018</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90,595</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 xml:space="preserve">Other expenses of $1.7 million for the three and six </w:t>
      </w:r>
      <w:r>
        <w:rPr>
          <w:rFonts w:ascii="Arial" w:cs="Arial" w:eastAsia="Arial" w:hAnsi="Arial"/>
          <w:sz w:val="18"/>
          <w:szCs w:val="18"/>
          <w:color w:val="231F20"/>
        </w:rPr>
        <w:t>months ended June 30, 2020 ($683,000</w:t>
      </w:r>
      <w:r>
        <w:rPr>
          <w:rFonts w:ascii="Arial" w:cs="Arial" w:eastAsia="Arial" w:hAnsi="Arial"/>
          <w:sz w:val="18"/>
          <w:szCs w:val="18"/>
          <w:color w:val="auto"/>
        </w:rPr>
        <w:t xml:space="preserve"> for the three and six </w:t>
      </w:r>
      <w:r>
        <w:rPr>
          <w:rFonts w:ascii="Arial" w:cs="Arial" w:eastAsia="Arial" w:hAnsi="Arial"/>
          <w:sz w:val="18"/>
          <w:szCs w:val="18"/>
          <w:color w:val="231F20"/>
        </w:rPr>
        <w:t>months ended June 30, 2019</w:t>
      </w:r>
      <w:r>
        <w:rPr>
          <w:rFonts w:ascii="Arial" w:cs="Arial" w:eastAsia="Arial" w:hAnsi="Arial"/>
          <w:sz w:val="18"/>
          <w:szCs w:val="18"/>
          <w:color w:val="auto"/>
        </w:rPr>
        <w:t>)</w:t>
      </w:r>
      <w:r>
        <w:rPr>
          <w:rFonts w:ascii="Arial" w:cs="Arial" w:eastAsia="Arial" w:hAnsi="Arial"/>
          <w:sz w:val="18"/>
          <w:szCs w:val="18"/>
          <w:color w:val="231F20"/>
        </w:rPr>
        <w:t>,</w:t>
      </w:r>
      <w:r>
        <w:rPr>
          <w:rFonts w:ascii="Arial" w:cs="Arial" w:eastAsia="Arial" w:hAnsi="Arial"/>
          <w:sz w:val="18"/>
          <w:szCs w:val="18"/>
          <w:color w:val="auto"/>
        </w:rPr>
        <w:t xml:space="preserve"> consist of employee severance costs.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Three levels of inputs are used to measure fair value of financial instruments: (1) Level 1: quoted price (unadjusted) in active markets for identical assets, (2) 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in the principal or most advantageous market in an orderly transaction between market participants on the measurement date.</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To measure fair value, the Company obtains quoted market prices for its investment securities from its outside investment managers, who utilize independent pricing services. If a quoted market price is not available, the Company uses prices of similar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and bank loan participations generally incorporate significant Level 2 inputs, and in some cases, Level 3 inputs, using the market approach and income approach valuation techniques. There have been no changes in the Company’s use of valuation techniques since December 31, 2018.</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reviews fair value prices provided by its outside investment managers for reasonableness by comparing the fair values provided by the managers to those provided by its investment custodian or other alternative sources.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managers that obtain fair values from independent pricing services.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Assets measured at fair value on a recurring basis as of June 30, 2020 are summarized below:</w:t>
      </w:r>
    </w:p>
    <w:p>
      <w:pPr>
        <w:spacing w:after="0" w:line="149"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Fair Value Measurements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23495</wp:posOffset>
            </wp:positionV>
            <wp:extent cx="35572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3" w:lineRule="exact"/>
        <w:rPr>
          <w:sz w:val="20"/>
          <w:szCs w:val="20"/>
          <w:color w:val="auto"/>
        </w:rPr>
      </w:pPr>
    </w:p>
    <w:tbl>
      <w:tblPr>
        <w:tblLayout w:type="fixed"/>
        <w:tblInd w:w="5820" w:type="dxa"/>
        <w:tblCellMar>
          <w:top w:w="0" w:type="dxa"/>
          <w:left w:w="0" w:type="dxa"/>
          <w:bottom w:w="0" w:type="dxa"/>
          <w:right w:w="0" w:type="dxa"/>
        </w:tblCellMar>
      </w:tblPr>
      <w:tr>
        <w:trPr>
          <w:trHeight w:val="161"/>
        </w:trPr>
        <w:tc>
          <w:tcPr>
            <w:tcW w:w="1200" w:type="dxa"/>
            <w:vAlign w:val="bottom"/>
          </w:tcPr>
          <w:p>
            <w:pPr>
              <w:jc w:val="center"/>
              <w:ind w:right="248"/>
              <w:spacing w:after="0"/>
              <w:rPr>
                <w:sz w:val="20"/>
                <w:szCs w:val="20"/>
                <w:color w:val="auto"/>
              </w:rPr>
            </w:pPr>
            <w:r>
              <w:rPr>
                <w:rFonts w:ascii="Arial" w:cs="Arial" w:eastAsia="Arial" w:hAnsi="Arial"/>
                <w:sz w:val="14"/>
                <w:szCs w:val="14"/>
                <w:b w:val="1"/>
                <w:bCs w:val="1"/>
                <w:color w:val="auto"/>
                <w:w w:val="92"/>
              </w:rPr>
              <w:t>Quoted Prices</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0" w:type="dxa"/>
            <w:vAlign w:val="bottom"/>
          </w:tcPr>
          <w:p>
            <w:pPr>
              <w:jc w:val="center"/>
              <w:ind w:right="268"/>
              <w:spacing w:after="0" w:line="149" w:lineRule="exact"/>
              <w:rPr>
                <w:sz w:val="20"/>
                <w:szCs w:val="20"/>
                <w:color w:val="auto"/>
              </w:rPr>
            </w:pPr>
            <w:r>
              <w:rPr>
                <w:rFonts w:ascii="Arial" w:cs="Arial" w:eastAsia="Arial" w:hAnsi="Arial"/>
                <w:sz w:val="14"/>
                <w:szCs w:val="14"/>
                <w:b w:val="1"/>
                <w:bCs w:val="1"/>
                <w:color w:val="auto"/>
                <w:w w:val="92"/>
              </w:rPr>
              <w:t>in Active</w:t>
            </w:r>
          </w:p>
        </w:tc>
        <w:tc>
          <w:tcPr>
            <w:tcW w:w="1340" w:type="dxa"/>
            <w:vAlign w:val="bottom"/>
            <w:vMerge w:val="continue"/>
          </w:tcPr>
          <w:p>
            <w:pPr>
              <w:spacing w:after="0"/>
              <w:rPr>
                <w:sz w:val="12"/>
                <w:szCs w:val="12"/>
                <w:color w:val="auto"/>
              </w:rPr>
            </w:pPr>
          </w:p>
        </w:tc>
        <w:tc>
          <w:tcPr>
            <w:tcW w:w="16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2"/>
              </w:rPr>
              <w:t>Significant</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jc w:val="center"/>
              <w:ind w:right="268"/>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8"/>
              </w:rPr>
              <w:t>Identical</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87"/>
              </w:rPr>
              <w:t>Assets</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5"/>
              </w:rPr>
              <w:t>Inputs</w:t>
            </w:r>
          </w:p>
        </w:tc>
        <w:tc>
          <w:tcPr>
            <w:tcW w:w="740" w:type="dxa"/>
            <w:vAlign w:val="bottom"/>
            <w:vMerge w:val="restart"/>
          </w:tcPr>
          <w:p>
            <w:pPr>
              <w:ind w:left="4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6"/>
        </w:trPr>
        <w:tc>
          <w:tcPr>
            <w:tcW w:w="1200" w:type="dxa"/>
            <w:vAlign w:val="bottom"/>
          </w:tcPr>
          <w:p>
            <w:pPr>
              <w:jc w:val="center"/>
              <w:ind w:right="248"/>
              <w:spacing w:after="0"/>
              <w:rPr>
                <w:sz w:val="20"/>
                <w:szCs w:val="20"/>
                <w:color w:val="auto"/>
              </w:rPr>
            </w:pPr>
            <w:r>
              <w:rPr>
                <w:rFonts w:ascii="Arial" w:cs="Arial" w:eastAsia="Arial" w:hAnsi="Arial"/>
                <w:sz w:val="14"/>
                <w:szCs w:val="14"/>
                <w:b w:val="1"/>
                <w:bCs w:val="1"/>
                <w:color w:val="auto"/>
                <w:w w:val="92"/>
              </w:rPr>
              <w:t>Level 1</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Level 2</w:t>
            </w:r>
          </w:p>
        </w:tc>
        <w:tc>
          <w:tcPr>
            <w:tcW w:w="160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Level 3</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7620</wp:posOffset>
            </wp:positionV>
            <wp:extent cx="35572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4" w:lineRule="exact"/>
        <w:rPr>
          <w:sz w:val="20"/>
          <w:szCs w:val="20"/>
          <w:color w:val="auto"/>
        </w:rPr>
      </w:pPr>
    </w:p>
    <w:p>
      <w:pPr>
        <w:ind w:left="7960"/>
        <w:spacing w:after="0"/>
        <w:rPr>
          <w:sz w:val="20"/>
          <w:szCs w:val="20"/>
          <w:color w:val="auto"/>
        </w:rPr>
      </w:pPr>
      <w:r>
        <w:rPr>
          <w:rFonts w:ascii="Arial" w:cs="Arial" w:eastAsia="Arial" w:hAnsi="Arial"/>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0628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Fixed maturity securities, available-for-sale: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State and municipal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269,922</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269,922</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Residential mortgage-backed</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291,188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291,188</w:t>
            </w:r>
          </w:p>
        </w:tc>
        <w:tc>
          <w:tcPr>
            <w:tcW w:w="0" w:type="dxa"/>
            <w:vAlign w:val="bottom"/>
          </w:tcPr>
          <w:p>
            <w:pPr>
              <w:spacing w:after="0"/>
              <w:rPr>
                <w:sz w:val="1"/>
                <w:szCs w:val="1"/>
                <w:color w:val="auto"/>
              </w:rPr>
            </w:pPr>
          </w:p>
        </w:tc>
      </w:tr>
      <w:tr>
        <w:trPr>
          <w:trHeight w:val="243"/>
        </w:trPr>
        <w:tc>
          <w:tcPr>
            <w:tcW w:w="560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754,442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754,442</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Commercial mortgage and asset-backed</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311,181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311,181</w:t>
            </w:r>
          </w:p>
        </w:tc>
        <w:tc>
          <w:tcPr>
            <w:tcW w:w="0" w:type="dxa"/>
            <w:vAlign w:val="bottom"/>
          </w:tcPr>
          <w:p>
            <w:pPr>
              <w:spacing w:after="0"/>
              <w:rPr>
                <w:sz w:val="1"/>
                <w:szCs w:val="1"/>
                <w:color w:val="auto"/>
              </w:rPr>
            </w:pPr>
          </w:p>
        </w:tc>
      </w:tr>
      <w:tr>
        <w:trPr>
          <w:trHeight w:val="175"/>
        </w:trPr>
        <w:tc>
          <w:tcPr>
            <w:tcW w:w="5600" w:type="dxa"/>
            <w:vAlign w:val="bottom"/>
          </w:tcPr>
          <w:p>
            <w:pPr>
              <w:ind w:left="260"/>
              <w:spacing w:after="0" w:line="176" w:lineRule="exact"/>
              <w:rPr>
                <w:sz w:val="20"/>
                <w:szCs w:val="20"/>
                <w:color w:val="auto"/>
              </w:rPr>
            </w:pPr>
            <w:r>
              <w:rPr>
                <w:rFonts w:ascii="Arial" w:cs="Arial" w:eastAsia="Arial" w:hAnsi="Arial"/>
                <w:sz w:val="18"/>
                <w:szCs w:val="18"/>
                <w:color w:val="auto"/>
              </w:rPr>
              <w:t>U.S. Treasury securities and obligations guaranteed by the U.S.</w:t>
            </w:r>
          </w:p>
        </w:tc>
        <w:tc>
          <w:tcPr>
            <w:tcW w:w="340" w:type="dxa"/>
            <w:vAlign w:val="bottom"/>
          </w:tcPr>
          <w:p>
            <w:pPr>
              <w:spacing w:after="0"/>
              <w:rPr>
                <w:sz w:val="15"/>
                <w:szCs w:val="15"/>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color w:val="auto"/>
              </w:rPr>
              <w:t>118,235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ind w:right="7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40" w:type="dxa"/>
            <w:vAlign w:val="bottom"/>
            <w:vMerge w:val="restart"/>
          </w:tcPr>
          <w:p>
            <w:pPr>
              <w:jc w:val="right"/>
              <w:ind w:right="70"/>
              <w:spacing w:after="0"/>
              <w:rPr>
                <w:sz w:val="20"/>
                <w:szCs w:val="20"/>
                <w:color w:val="auto"/>
              </w:rPr>
            </w:pPr>
            <w:r>
              <w:rPr>
                <w:rFonts w:ascii="Arial" w:cs="Arial" w:eastAsia="Arial" w:hAnsi="Arial"/>
                <w:sz w:val="18"/>
                <w:szCs w:val="18"/>
                <w:color w:val="auto"/>
              </w:rPr>
              <w:t>118,680</w:t>
            </w:r>
          </w:p>
        </w:tc>
        <w:tc>
          <w:tcPr>
            <w:tcW w:w="0" w:type="dxa"/>
            <w:vAlign w:val="bottom"/>
          </w:tcPr>
          <w:p>
            <w:pPr>
              <w:spacing w:after="0"/>
              <w:rPr>
                <w:sz w:val="1"/>
                <w:szCs w:val="1"/>
                <w:color w:val="auto"/>
              </w:rPr>
            </w:pPr>
          </w:p>
        </w:tc>
      </w:tr>
      <w:tr>
        <w:trPr>
          <w:trHeight w:val="230"/>
        </w:trPr>
        <w:tc>
          <w:tcPr>
            <w:tcW w:w="5600" w:type="dxa"/>
            <w:vAlign w:val="bottom"/>
          </w:tcPr>
          <w:p>
            <w:pPr>
              <w:ind w:left="440"/>
              <w:spacing w:after="0"/>
              <w:rPr>
                <w:sz w:val="20"/>
                <w:szCs w:val="20"/>
                <w:color w:val="auto"/>
              </w:rPr>
            </w:pPr>
            <w:r>
              <w:rPr>
                <w:rFonts w:ascii="Arial" w:cs="Arial" w:eastAsia="Arial" w:hAnsi="Arial"/>
                <w:sz w:val="18"/>
                <w:szCs w:val="18"/>
                <w:color w:val="auto"/>
              </w:rPr>
              <w:t>government</w:t>
            </w:r>
          </w:p>
        </w:tc>
        <w:tc>
          <w:tcPr>
            <w:tcW w:w="3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Redeemable preferred stock</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64"/>
        </w:trPr>
        <w:tc>
          <w:tcPr>
            <w:tcW w:w="560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118,235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1,629,169</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1,747,404</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60"/>
              <w:spacing w:after="0"/>
              <w:rPr>
                <w:sz w:val="20"/>
                <w:szCs w:val="20"/>
                <w:color w:val="auto"/>
              </w:rPr>
            </w:pPr>
            <w:r>
              <w:rPr>
                <w:rFonts w:ascii="Arial" w:cs="Arial" w:eastAsia="Arial" w:hAnsi="Arial"/>
                <w:sz w:val="18"/>
                <w:szCs w:val="18"/>
                <w:color w:val="auto"/>
              </w:rPr>
              <w:t>Preferred stock</w:t>
            </w:r>
          </w:p>
        </w:tc>
        <w:tc>
          <w:tcPr>
            <w:tcW w:w="34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62,880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62,880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Common stock</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5,621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15,165</w:t>
            </w:r>
          </w:p>
        </w:tc>
        <w:tc>
          <w:tcPr>
            <w:tcW w:w="0" w:type="dxa"/>
            <w:vAlign w:val="bottom"/>
          </w:tcPr>
          <w:p>
            <w:pPr>
              <w:spacing w:after="0"/>
              <w:rPr>
                <w:sz w:val="1"/>
                <w:szCs w:val="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Total equity securities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9,536</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68,501</w:t>
            </w: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78,045</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Bank loan participations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127,394</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127,698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96,265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96,265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Assets measured at fair value on a recurring basis as of December 31, 2019 are summarized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3"/>
              </w:rPr>
              <w:t>Fair Value Measurements Using</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04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1</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3</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6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167,101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167,101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Residential mortgage-backed</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264,146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264,146</w:t>
            </w:r>
          </w:p>
        </w:tc>
        <w:tc>
          <w:tcPr>
            <w:tcW w:w="0" w:type="dxa"/>
            <w:vAlign w:val="bottom"/>
          </w:tcPr>
          <w:p>
            <w:pPr>
              <w:spacing w:after="0"/>
              <w:rPr>
                <w:sz w:val="1"/>
                <w:szCs w:val="1"/>
                <w:color w:val="auto"/>
              </w:rPr>
            </w:pPr>
          </w:p>
        </w:tc>
      </w:tr>
      <w:tr>
        <w:trPr>
          <w:trHeight w:val="243"/>
        </w:trPr>
        <w:tc>
          <w:tcPr>
            <w:tcW w:w="558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632,221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632,221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Commercial mortgage and asset-backed</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252,457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252,457</w:t>
            </w:r>
          </w:p>
        </w:tc>
        <w:tc>
          <w:tcPr>
            <w:tcW w:w="0" w:type="dxa"/>
            <w:vAlign w:val="bottom"/>
          </w:tcPr>
          <w:p>
            <w:pPr>
              <w:spacing w:after="0"/>
              <w:rPr>
                <w:sz w:val="1"/>
                <w:szCs w:val="1"/>
                <w:color w:val="auto"/>
              </w:rPr>
            </w:pPr>
          </w:p>
        </w:tc>
      </w:tr>
      <w:tr>
        <w:trPr>
          <w:trHeight w:val="176"/>
        </w:trPr>
        <w:tc>
          <w:tcPr>
            <w:tcW w:w="5580" w:type="dxa"/>
            <w:vAlign w:val="bottom"/>
          </w:tcPr>
          <w:p>
            <w:pPr>
              <w:ind w:left="260"/>
              <w:spacing w:after="0" w:line="176" w:lineRule="exact"/>
              <w:rPr>
                <w:sz w:val="20"/>
                <w:szCs w:val="20"/>
                <w:color w:val="auto"/>
              </w:rPr>
            </w:pPr>
            <w:r>
              <w:rPr>
                <w:rFonts w:ascii="Arial" w:cs="Arial" w:eastAsia="Arial" w:hAnsi="Arial"/>
                <w:sz w:val="18"/>
                <w:szCs w:val="18"/>
                <w:color w:val="auto"/>
              </w:rPr>
              <w:t>U.S. Treasury securities and obligations guaranteed by the U.S.</w:t>
            </w:r>
          </w:p>
        </w:tc>
        <w:tc>
          <w:tcPr>
            <w:tcW w:w="180" w:type="dxa"/>
            <w:vAlign w:val="bottom"/>
          </w:tcPr>
          <w:p>
            <w:pPr>
              <w:spacing w:after="0"/>
              <w:rPr>
                <w:sz w:val="15"/>
                <w:szCs w:val="15"/>
                <w:color w:val="auto"/>
              </w:rPr>
            </w:pPr>
          </w:p>
        </w:tc>
        <w:tc>
          <w:tcPr>
            <w:tcW w:w="1140" w:type="dxa"/>
            <w:vAlign w:val="bottom"/>
            <w:vMerge w:val="restart"/>
          </w:tcPr>
          <w:p>
            <w:pPr>
              <w:jc w:val="right"/>
              <w:ind w:right="56"/>
              <w:spacing w:after="0"/>
              <w:rPr>
                <w:sz w:val="20"/>
                <w:szCs w:val="20"/>
                <w:color w:val="auto"/>
              </w:rPr>
            </w:pPr>
            <w:r>
              <w:rPr>
                <w:rFonts w:ascii="Arial" w:cs="Arial" w:eastAsia="Arial" w:hAnsi="Arial"/>
                <w:sz w:val="18"/>
                <w:szCs w:val="18"/>
                <w:color w:val="auto"/>
              </w:rPr>
              <w:t>115,173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vMerge w:val="restart"/>
          </w:tcPr>
          <w:p>
            <w:pPr>
              <w:jc w:val="right"/>
              <w:ind w:right="77"/>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restart"/>
          </w:tcPr>
          <w:p>
            <w:pPr>
              <w:ind w:left="8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40" w:type="dxa"/>
            <w:vAlign w:val="bottom"/>
            <w:vMerge w:val="restart"/>
          </w:tcPr>
          <w:p>
            <w:pPr>
              <w:jc w:val="right"/>
              <w:ind w:right="72"/>
              <w:spacing w:after="0"/>
              <w:rPr>
                <w:sz w:val="20"/>
                <w:szCs w:val="20"/>
                <w:color w:val="auto"/>
              </w:rPr>
            </w:pPr>
            <w:r>
              <w:rPr>
                <w:rFonts w:ascii="Arial" w:cs="Arial" w:eastAsia="Arial" w:hAnsi="Arial"/>
                <w:sz w:val="18"/>
                <w:szCs w:val="18"/>
                <w:color w:val="auto"/>
              </w:rPr>
              <w:t>115,667</w:t>
            </w:r>
          </w:p>
        </w:tc>
        <w:tc>
          <w:tcPr>
            <w:tcW w:w="0" w:type="dxa"/>
            <w:vAlign w:val="bottom"/>
          </w:tcPr>
          <w:p>
            <w:pPr>
              <w:spacing w:after="0"/>
              <w:rPr>
                <w:sz w:val="1"/>
                <w:szCs w:val="1"/>
                <w:color w:val="auto"/>
              </w:rPr>
            </w:pPr>
          </w:p>
        </w:tc>
      </w:tr>
      <w:tr>
        <w:trPr>
          <w:trHeight w:val="229"/>
        </w:trPr>
        <w:tc>
          <w:tcPr>
            <w:tcW w:w="5580" w:type="dxa"/>
            <w:vAlign w:val="bottom"/>
          </w:tcPr>
          <w:p>
            <w:pPr>
              <w:ind w:left="440"/>
              <w:spacing w:after="0"/>
              <w:rPr>
                <w:sz w:val="20"/>
                <w:szCs w:val="20"/>
                <w:color w:val="auto"/>
              </w:rPr>
            </w:pPr>
            <w:r>
              <w:rPr>
                <w:rFonts w:ascii="Arial" w:cs="Arial" w:eastAsia="Arial" w:hAnsi="Arial"/>
                <w:sz w:val="18"/>
                <w:szCs w:val="18"/>
                <w:color w:val="auto"/>
              </w:rPr>
              <w:t>government</w:t>
            </w: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Redeemable preferred stock</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2,034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63"/>
        </w:trPr>
        <w:tc>
          <w:tcPr>
            <w:tcW w:w="558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115,173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color w:val="auto"/>
              </w:rPr>
              <w:t>1,318,453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1,433,626</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60"/>
              <w:spacing w:after="0"/>
              <w:rPr>
                <w:sz w:val="20"/>
                <w:szCs w:val="20"/>
                <w:color w:val="auto"/>
              </w:rPr>
            </w:pPr>
            <w:r>
              <w:rPr>
                <w:rFonts w:ascii="Arial" w:cs="Arial" w:eastAsia="Arial" w:hAnsi="Arial"/>
                <w:sz w:val="18"/>
                <w:szCs w:val="18"/>
                <w:color w:val="auto"/>
              </w:rPr>
              <w:t>Preferred stock</w:t>
            </w:r>
          </w:p>
        </w:tc>
        <w:tc>
          <w:tcPr>
            <w:tcW w:w="1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62,747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62,747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Common stock</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14,669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3,276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17,988</w:t>
            </w:r>
          </w:p>
        </w:tc>
        <w:tc>
          <w:tcPr>
            <w:tcW w:w="0" w:type="dxa"/>
            <w:vAlign w:val="bottom"/>
          </w:tcPr>
          <w:p>
            <w:pPr>
              <w:spacing w:after="0"/>
              <w:rPr>
                <w:sz w:val="1"/>
                <w:szCs w:val="1"/>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8"/>
                <w:szCs w:val="18"/>
                <w:color w:val="auto"/>
              </w:rPr>
              <w:t>Total equity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14,669</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color w:val="auto"/>
              </w:rPr>
              <w:t>66,023</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80,735</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156,925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156,925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reconciliation of the beginning and ending balances of available-for-sale fixed maturity securities, equity securities, and bank loan participations measured at fair value on a recurring basis (as a result of the fair value option effective January 1, 2020) using significant unobservable inputs (Level 3) is shown below:</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5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June 30, 2019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June 30, 2019</w:t>
            </w:r>
          </w:p>
        </w:tc>
      </w:tr>
      <w:tr>
        <w:trPr>
          <w:trHeight w:val="196"/>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gridSpan w:val="5"/>
          </w:tcPr>
          <w:p>
            <w:pPr>
              <w:jc w:val="center"/>
              <w:ind w:right="280"/>
              <w:spacing w:after="0"/>
              <w:rPr>
                <w:sz w:val="20"/>
                <w:szCs w:val="20"/>
                <w:color w:val="auto"/>
              </w:rPr>
            </w:pPr>
            <w:r>
              <w:rPr>
                <w:rFonts w:ascii="Arial" w:cs="Arial" w:eastAsia="Arial" w:hAnsi="Arial"/>
                <w:sz w:val="14"/>
                <w:szCs w:val="14"/>
                <w:b w:val="1"/>
                <w:bCs w:val="1"/>
                <w:i w:val="1"/>
                <w:iCs w:val="1"/>
                <w:color w:val="auto"/>
                <w:w w:val="89"/>
              </w:rPr>
              <w:t>(in thousands)</w:t>
            </w:r>
          </w:p>
        </w:tc>
        <w:tc>
          <w:tcPr>
            <w:tcW w:w="160" w:type="dxa"/>
            <w:vAlign w:val="bottom"/>
          </w:tcPr>
          <w:p>
            <w:pPr>
              <w:spacing w:after="0"/>
              <w:rPr>
                <w:sz w:val="17"/>
                <w:szCs w:val="17"/>
                <w:color w:val="auto"/>
              </w:rPr>
            </w:pPr>
          </w:p>
        </w:tc>
        <w:tc>
          <w:tcPr>
            <w:tcW w:w="2580" w:type="dxa"/>
            <w:vAlign w:val="bottom"/>
            <w:gridSpan w:val="4"/>
          </w:tcPr>
          <w:p>
            <w:pPr>
              <w:jc w:val="right"/>
              <w:ind w:right="852"/>
              <w:spacing w:after="0"/>
              <w:rPr>
                <w:sz w:val="20"/>
                <w:szCs w:val="20"/>
                <w:color w:val="auto"/>
              </w:rPr>
            </w:pPr>
            <w:r>
              <w:rPr>
                <w:rFonts w:ascii="Arial" w:cs="Arial" w:eastAsia="Arial" w:hAnsi="Arial"/>
                <w:sz w:val="14"/>
                <w:szCs w:val="14"/>
                <w:b w:val="1"/>
                <w:bCs w:val="1"/>
                <w:i w:val="1"/>
                <w:iCs w:val="1"/>
                <w:color w:val="auto"/>
              </w:rPr>
              <w:t>(in thousands)</w:t>
            </w:r>
          </w:p>
        </w:tc>
      </w:tr>
      <w:tr>
        <w:trPr>
          <w:trHeight w:val="256"/>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4,442</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Transfers out of Level 3</w:t>
            </w:r>
          </w:p>
        </w:tc>
        <w:tc>
          <w:tcPr>
            <w:tcW w:w="1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(4,228)</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Transfers in to Level 3</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3,010</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Purchases</w:t>
            </w:r>
          </w:p>
        </w:tc>
        <w:tc>
          <w:tcPr>
            <w:tcW w:w="1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Maturities, calls and paydowns</w:t>
            </w:r>
          </w:p>
        </w:tc>
        <w:tc>
          <w:tcPr>
            <w:tcW w:w="1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discount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Total gains or losses (realized/unrealized):</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Included in earnings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r>
      <w:tr>
        <w:trPr>
          <w:trHeight w:val="243"/>
        </w:trPr>
        <w:tc>
          <w:tcPr>
            <w:tcW w:w="5580" w:type="dxa"/>
            <w:vAlign w:val="bottom"/>
          </w:tcPr>
          <w:p>
            <w:pPr>
              <w:ind w:left="100"/>
              <w:spacing w:after="0"/>
              <w:rPr>
                <w:sz w:val="20"/>
                <w:szCs w:val="20"/>
                <w:color w:val="auto"/>
              </w:rPr>
            </w:pPr>
            <w:r>
              <w:rPr>
                <w:rFonts w:ascii="Arial" w:cs="Arial" w:eastAsia="Arial" w:hAnsi="Arial"/>
                <w:sz w:val="18"/>
                <w:szCs w:val="18"/>
                <w:color w:val="auto"/>
              </w:rPr>
              <w:t>Included in other comprehensive income</w:t>
            </w:r>
          </w:p>
        </w:tc>
        <w:tc>
          <w:tcPr>
            <w:tcW w:w="1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3,099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3,099</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The Company held one available-for-sale fixed maturity security at December 31, 2018 for which the fair value was determined using significant unobservable inputs (Level 3). A market approach using prices in trades of comparable securities was utilized to determine a fair value of $4.2 million for the security at December 31, 2018. The Company was able to obtain a quoted price from a pricing vendor for the available-for-sale fixed maturity security at March 31, 2019 and it was transferred to Level 2. At June 30, 2019, the Company held two equity securities for which the fair value was determined using significant unobservable inputs (Level 3). In the three months ended June 30, 2019, one equity security was transferred from Level 1 to Level 3 as the security was no longer actively traded. A market approach using prices in trades of comparable securities was utilized to determine a fair value for the equity securities of $3.1 million at June 30, 2019.</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At June 30, 2020, the Company held one bank loan participation and two equity securities for which the fair value was determined using significant unobservable inputs (Level 3). The Company was able to obtain a quoted price from a pricing vendor for two bank loan participations at June 30, 2020 and transferred them to Level 2. At December 31, 2019, the Company held one equity security for which the fair value was determined using significant unobservable inputs (Level 3). A market approach using prices in trades of comparable securities was utilized to determine a fair value for the securities of $312,000 at June 30, 2020 and $43,000 at December 31, 2019.</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transfers between Level 1 and Level 2 during the three months or six months ended June 30, 2020 or 2019. The Company recognizes transfers between levels at the beginning of the reporting period.</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231F20"/>
        </w:rPr>
        <w:t>In connection with the adoption of ASU 2016-13, the Company elected the fair value option in accounting for bank loan participations effective January 1, 2020. Prior to the election, bank loan participations were classified as held-for-investment and carried at amortized cost net of any allowance for credit losses. Prior to January 1, 2020, t</w:t>
      </w:r>
      <w:r>
        <w:rPr>
          <w:rFonts w:ascii="Arial" w:cs="Arial" w:eastAsia="Arial" w:hAnsi="Arial"/>
          <w:sz w:val="17"/>
          <w:szCs w:val="17"/>
          <w:color w:val="000000"/>
        </w:rPr>
        <w:t>he Company measured certain bank loan participations at fair value on a non-recurring basis as part of the</w:t>
      </w:r>
      <w:r>
        <w:rPr>
          <w:rFonts w:ascii="Arial" w:cs="Arial" w:eastAsia="Arial" w:hAnsi="Arial"/>
          <w:sz w:val="17"/>
          <w:szCs w:val="17"/>
          <w:color w:val="231F20"/>
        </w:rPr>
        <w:t xml:space="preserve"> </w:t>
      </w:r>
      <w:r>
        <w:rPr>
          <w:rFonts w:ascii="Arial" w:cs="Arial" w:eastAsia="Arial" w:hAnsi="Arial"/>
          <w:sz w:val="17"/>
          <w:szCs w:val="17"/>
          <w:color w:val="000000"/>
        </w:rPr>
        <w:t xml:space="preserve">Company’s impairment evaluation when loans were determined by management to be impaired. Bank loan participations held-for-investment that were determined to be impaired were written down to their fair value </w:t>
      </w:r>
      <w:r>
        <w:rPr>
          <w:rFonts w:ascii="Arial" w:cs="Arial" w:eastAsia="Arial" w:hAnsi="Arial"/>
          <w:sz w:val="17"/>
          <w:szCs w:val="17"/>
          <w:color w:val="231F20"/>
        </w:rPr>
        <w:t>a</w:t>
      </w:r>
      <w:r>
        <w:rPr>
          <w:rFonts w:ascii="Arial" w:cs="Arial" w:eastAsia="Arial" w:hAnsi="Arial"/>
          <w:sz w:val="17"/>
          <w:szCs w:val="17"/>
          <w:color w:val="000000"/>
        </w:rPr>
        <w:t>t December 31, 2019 as shown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2"/>
              </w:rPr>
              <w:t>Fair Value Measurements Using</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Quoted Prices</w:t>
            </w:r>
          </w:p>
        </w:tc>
        <w:tc>
          <w:tcPr>
            <w:tcW w:w="22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3"/>
                <w:szCs w:val="13"/>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 Active</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300" w:type="dxa"/>
            <w:vAlign w:val="bottom"/>
          </w:tcPr>
          <w:p>
            <w:pPr>
              <w:spacing w:after="0"/>
              <w:rPr>
                <w:sz w:val="12"/>
                <w:szCs w:val="12"/>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Level 1</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3</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0"/>
              <w:spacing w:after="0"/>
              <w:rPr>
                <w:sz w:val="20"/>
                <w:szCs w:val="20"/>
                <w:color w:val="auto"/>
              </w:rPr>
            </w:pPr>
            <w:r>
              <w:rPr>
                <w:rFonts w:ascii="Arial" w:cs="Arial" w:eastAsia="Arial" w:hAnsi="Arial"/>
                <w:sz w:val="18"/>
                <w:szCs w:val="18"/>
                <w:color w:val="auto"/>
              </w:rPr>
              <w:t>Bank loan participations held-for-investment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64"/>
              <w:spacing w:after="0"/>
              <w:rPr>
                <w:sz w:val="20"/>
                <w:szCs w:val="20"/>
                <w:color w:val="auto"/>
              </w:rPr>
            </w:pPr>
            <w:r>
              <w:rPr>
                <w:rFonts w:ascii="Arial" w:cs="Arial" w:eastAsia="Arial" w:hAnsi="Arial"/>
                <w:sz w:val="18"/>
                <w:szCs w:val="18"/>
                <w:color w:val="auto"/>
              </w:rPr>
              <w:t>6,949</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9"/>
              <w:spacing w:after="0"/>
              <w:rPr>
                <w:sz w:val="20"/>
                <w:szCs w:val="20"/>
                <w:color w:val="auto"/>
              </w:rPr>
            </w:pPr>
            <w:r>
              <w:rPr>
                <w:rFonts w:ascii="Arial" w:cs="Arial" w:eastAsia="Arial" w:hAnsi="Arial"/>
                <w:sz w:val="18"/>
                <w:szCs w:val="18"/>
                <w:color w:val="auto"/>
              </w:rPr>
              <w:t>6,949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determination of the fair value for bank loan participations,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spacing w:after="0" w:line="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June 30, 2020 and December 31, 2019, there were no investments for which external sources were unavailable to determine fair value.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and fair values of financial instruments are summarized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853"/>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69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5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3"/>
                <w:szCs w:val="13"/>
                <w:color w:val="auto"/>
              </w:rPr>
            </w:pPr>
          </w:p>
        </w:tc>
        <w:tc>
          <w:tcPr>
            <w:tcW w:w="106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1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00" w:type="dxa"/>
            <w:vAlign w:val="bottom"/>
            <w:gridSpan w:val="4"/>
          </w:tcPr>
          <w:p>
            <w:pPr>
              <w:jc w:val="right"/>
              <w:ind w:right="835"/>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1,747,404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1,747,404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1,433,626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1,433,626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78,045</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78,045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80,735</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80,735</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Bank loan participations</w:t>
            </w:r>
          </w:p>
        </w:tc>
        <w:tc>
          <w:tcPr>
            <w:tcW w:w="24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127,698</w:t>
            </w: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127,698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260,864</w:t>
            </w: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252,423</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204,309</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204,309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206,912</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206,912</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Restricted cash equivalents</w:t>
            </w:r>
          </w:p>
        </w:tc>
        <w:tc>
          <w:tcPr>
            <w:tcW w:w="24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1,020,856</w:t>
            </w: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1,020,856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1,199,164</w:t>
            </w: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1,199,164</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96,265</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96,265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156,925</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156,925</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Other invested assets – notes receivable</w:t>
            </w:r>
          </w:p>
        </w:tc>
        <w:tc>
          <w:tcPr>
            <w:tcW w:w="24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7,180</w:t>
            </w: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11,616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13,250</w:t>
            </w: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18,756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Senior debt</w:t>
            </w:r>
          </w:p>
        </w:tc>
        <w:tc>
          <w:tcPr>
            <w:tcW w:w="24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217,300</w:t>
            </w: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204,145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158,300</w:t>
            </w: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158,043</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Junior subordinated debt</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104,055</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105,166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104,055</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122,193</w:t>
            </w:r>
          </w:p>
        </w:tc>
        <w:tc>
          <w:tcPr>
            <w:tcW w:w="0" w:type="dxa"/>
            <w:vAlign w:val="bottom"/>
          </w:tcPr>
          <w:p>
            <w:pPr>
              <w:spacing w:after="0"/>
              <w:rPr>
                <w:sz w:val="1"/>
                <w:szCs w:val="1"/>
                <w:color w:val="auto"/>
              </w:rPr>
            </w:pPr>
          </w:p>
        </w:tc>
      </w:tr>
      <w:tr>
        <w:trPr>
          <w:trHeight w:val="27"/>
        </w:trPr>
        <w:tc>
          <w:tcPr>
            <w:tcW w:w="55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The fair values of fixed maturity securities, equity securities, and bank loan participations have been determined by independent pricing services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spacing w:after="0" w:line="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values of other invested assets-notes receivable, senior debt, and junior subordinated debt at June 30, 2020 and December 31, 2019 were determined by calculating the present value of expected future cash flows under the terms of the note agreements or debt agreements, as applicable, discounted at an estimated market rate of interest at June 30, 2020 and December 31, 2019, respectively.</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values of senior debt and junior subordinated debt at June 30, 2020 and December 31, 2019 were determined using inputs to the valuation methodology that are unobservable (Level 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Senior Debt</w:t>
      </w:r>
    </w:p>
    <w:p>
      <w:pPr>
        <w:spacing w:after="0" w:line="1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the three months ended March 31, 2020, the Company drew $60.0 million on the $212.5 million unsecured revolving facility in its $315.0 million senior revolving credit facility (as amended or amended and restated, the "2013 Facility”). The borrowing was a precautionary measure to increase the Company's cash position and preserve financial flexibility in light of uncertainty in the global markets resulting from the coronavirus (COVID-19) outbreak. The Company repaid $30.0 million in the three months ended June 30, 2020. At June 30, 2020, the Company had a drawn balance of $163.3 million outstanding on the unsecured revolver. The 2013 Facility contains certain financial and other covenants (including minimum net worth, maximum ratio of total adjusted debt outstanding to total capitalization, and financial strength ratings) with which the Company was in compliance at June 30, 2020.</w:t>
      </w:r>
    </w:p>
    <w:p>
      <w:pPr>
        <w:spacing w:after="0" w:line="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Also in the three months ended March 31, 2020, the Company drew $59.0 million of unsecured capacity on a credit agreement (the "2017 Facility") that provides the Company with a revolving line of credit of up to $100 million, which may be used for loans and letters of credit made or issued, at the borrowers' option, on a secured or unsecured basis. The borrowing was a precautionary measure to increase the Company's cash position and preserve financial flexibility in light of uncertainty in the global markets resulting from the coronavirus (COVID-19) outbreak. The Company repaid $30.0 million in the three months ended June 30, 2020. At June 30, 2020, unsecured loans of $39.0 million and secured letters of credit totaling $17.8 million were outstanding under the facility. The 2017 Facility contains certain financial and other covenants which we are in compliance with at June 30, 2020.</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Capital Stock and Equity Awards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issued 128,787 common shares in the six months ended June 30, 2020. 29,141 of the new shares were related stock option exercises and 99,646 were related vesting of restricted share units (“RSUs”). The total common shares outstanding increased from 30,424,391 at December 31, 2019 to 30,553,178 at June 30,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declared the following dividends during the first six months of 2020 and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rPr>
              <w:t>Dividend per</w:t>
            </w:r>
          </w:p>
        </w:tc>
        <w:tc>
          <w:tcPr>
            <w:tcW w:w="24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Payable to Shareholders of</w:t>
            </w: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 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ind w:left="280"/>
              <w:spacing w:after="0"/>
              <w:rPr>
                <w:sz w:val="20"/>
                <w:szCs w:val="20"/>
                <w:color w:val="auto"/>
              </w:rPr>
            </w:pPr>
            <w:r>
              <w:rPr>
                <w:rFonts w:ascii="Arial" w:cs="Arial" w:eastAsia="Arial" w:hAnsi="Arial"/>
                <w:sz w:val="16"/>
                <w:szCs w:val="16"/>
                <w:b w:val="1"/>
                <w:bCs w:val="1"/>
                <w:color w:val="auto"/>
              </w:rPr>
              <w:t>Date of Declaration</w:t>
            </w:r>
          </w:p>
        </w:tc>
        <w:tc>
          <w:tcPr>
            <w:tcW w:w="160" w:type="dxa"/>
            <w:vAlign w:val="bottom"/>
          </w:tcPr>
          <w:p>
            <w:pPr>
              <w:spacing w:after="0"/>
              <w:rPr>
                <w:sz w:val="18"/>
                <w:szCs w:val="18"/>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Common Share</w:t>
            </w:r>
          </w:p>
        </w:tc>
        <w:tc>
          <w:tcPr>
            <w:tcW w:w="240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Record on</w:t>
            </w:r>
          </w:p>
        </w:tc>
        <w:tc>
          <w:tcPr>
            <w:tcW w:w="2000" w:type="dxa"/>
            <w:vAlign w:val="bottom"/>
          </w:tcPr>
          <w:p>
            <w:pPr>
              <w:jc w:val="center"/>
              <w:ind w:right="199"/>
              <w:spacing w:after="0"/>
              <w:rPr>
                <w:sz w:val="20"/>
                <w:szCs w:val="20"/>
                <w:color w:val="auto"/>
              </w:rPr>
            </w:pPr>
            <w:r>
              <w:rPr>
                <w:rFonts w:ascii="Arial" w:cs="Arial" w:eastAsia="Arial" w:hAnsi="Arial"/>
                <w:sz w:val="16"/>
                <w:szCs w:val="16"/>
                <w:b w:val="1"/>
                <w:bCs w:val="1"/>
                <w:color w:val="auto"/>
                <w:w w:val="90"/>
              </w:rPr>
              <w:t>Payment Date</w:t>
            </w:r>
          </w:p>
        </w:tc>
        <w:tc>
          <w:tcPr>
            <w:tcW w:w="200" w:type="dxa"/>
            <w:vAlign w:val="bottom"/>
          </w:tcPr>
          <w:p>
            <w:pPr>
              <w:spacing w:after="0"/>
              <w:rPr>
                <w:sz w:val="18"/>
                <w:szCs w:val="18"/>
                <w:color w:val="auto"/>
              </w:rPr>
            </w:pPr>
          </w:p>
        </w:tc>
        <w:tc>
          <w:tcPr>
            <w:tcW w:w="1340" w:type="dxa"/>
            <w:vAlign w:val="bottom"/>
          </w:tcPr>
          <w:p>
            <w:pPr>
              <w:jc w:val="right"/>
              <w:ind w:right="279"/>
              <w:spacing w:after="0"/>
              <w:rPr>
                <w:sz w:val="20"/>
                <w:szCs w:val="20"/>
                <w:color w:val="auto"/>
              </w:rPr>
            </w:pPr>
            <w:r>
              <w:rPr>
                <w:rFonts w:ascii="Arial" w:cs="Arial" w:eastAsia="Arial" w:hAnsi="Arial"/>
                <w:sz w:val="16"/>
                <w:szCs w:val="16"/>
                <w:b w:val="1"/>
                <w:bCs w:val="1"/>
                <w:color w:val="auto"/>
              </w:rPr>
              <w:t>(thousands)</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740" w:type="dxa"/>
            <w:vAlign w:val="bottom"/>
            <w:gridSpan w:val="3"/>
          </w:tcPr>
          <w:p>
            <w:pPr>
              <w:ind w:left="20"/>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4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February 19,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0.30</w:t>
            </w:r>
          </w:p>
        </w:tc>
        <w:tc>
          <w:tcPr>
            <w:tcW w:w="240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93"/>
              </w:rPr>
              <w:t>March 16, 2020</w:t>
            </w:r>
          </w:p>
        </w:tc>
        <w:tc>
          <w:tcPr>
            <w:tcW w:w="2000" w:type="dxa"/>
            <w:vAlign w:val="bottom"/>
            <w:tcBorders>
              <w:bottom w:val="single" w:sz="8" w:color="CCEEFF"/>
            </w:tcBorders>
            <w:shd w:val="clear" w:color="auto" w:fill="CCEEFF"/>
          </w:tcPr>
          <w:p>
            <w:pPr>
              <w:jc w:val="center"/>
              <w:ind w:right="199"/>
              <w:spacing w:after="0"/>
              <w:rPr>
                <w:sz w:val="20"/>
                <w:szCs w:val="20"/>
                <w:color w:val="auto"/>
              </w:rPr>
            </w:pPr>
            <w:r>
              <w:rPr>
                <w:rFonts w:ascii="Arial" w:cs="Arial" w:eastAsia="Arial" w:hAnsi="Arial"/>
                <w:sz w:val="16"/>
                <w:szCs w:val="16"/>
                <w:color w:val="auto"/>
                <w:w w:val="93"/>
              </w:rPr>
              <w:t>March 31, 2020</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9,269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6"/>
                <w:szCs w:val="16"/>
                <w:color w:val="auto"/>
              </w:rPr>
              <w:t>April 28, 2020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0.30</w:t>
            </w:r>
          </w:p>
        </w:tc>
        <w:tc>
          <w:tcPr>
            <w:tcW w:w="2400" w:type="dxa"/>
            <w:vAlign w:val="bottom"/>
          </w:tcPr>
          <w:p>
            <w:pPr>
              <w:jc w:val="center"/>
              <w:ind w:right="39"/>
              <w:spacing w:after="0"/>
              <w:rPr>
                <w:sz w:val="20"/>
                <w:szCs w:val="20"/>
                <w:color w:val="auto"/>
              </w:rPr>
            </w:pPr>
            <w:r>
              <w:rPr>
                <w:rFonts w:ascii="Arial" w:cs="Arial" w:eastAsia="Arial" w:hAnsi="Arial"/>
                <w:sz w:val="16"/>
                <w:szCs w:val="16"/>
                <w:color w:val="auto"/>
                <w:w w:val="90"/>
              </w:rPr>
              <w:t>June 15, 2020</w:t>
            </w:r>
          </w:p>
        </w:tc>
        <w:tc>
          <w:tcPr>
            <w:tcW w:w="2000" w:type="dxa"/>
            <w:vAlign w:val="bottom"/>
          </w:tcPr>
          <w:p>
            <w:pPr>
              <w:jc w:val="center"/>
              <w:ind w:right="199"/>
              <w:spacing w:after="0"/>
              <w:rPr>
                <w:sz w:val="20"/>
                <w:szCs w:val="20"/>
                <w:color w:val="auto"/>
              </w:rPr>
            </w:pPr>
            <w:r>
              <w:rPr>
                <w:rFonts w:ascii="Arial" w:cs="Arial" w:eastAsia="Arial" w:hAnsi="Arial"/>
                <w:sz w:val="16"/>
                <w:szCs w:val="16"/>
                <w:color w:val="auto"/>
                <w:w w:val="90"/>
              </w:rPr>
              <w:t>June 30, 2020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9,271</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0.60</w:t>
            </w:r>
          </w:p>
        </w:tc>
        <w:tc>
          <w:tcPr>
            <w:tcW w:w="24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18,540</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gridSpan w:val="3"/>
            <w:vMerge w:val="restart"/>
          </w:tcPr>
          <w:p>
            <w:pPr>
              <w:ind w:left="20"/>
              <w:spacing w:after="0" w:line="179" w:lineRule="exact"/>
              <w:rPr>
                <w:sz w:val="20"/>
                <w:szCs w:val="20"/>
                <w:color w:val="auto"/>
              </w:rPr>
            </w:pPr>
            <w:r>
              <w:rPr>
                <w:rFonts w:ascii="Arial" w:cs="Arial" w:eastAsia="Arial" w:hAnsi="Arial"/>
                <w:sz w:val="16"/>
                <w:szCs w:val="16"/>
                <w:b w:val="1"/>
                <w:bCs w:val="1"/>
                <w:color w:val="auto"/>
              </w:rPr>
              <w:t>2019</w:t>
            </w: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7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4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February 20,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0.30</w:t>
            </w:r>
          </w:p>
        </w:tc>
        <w:tc>
          <w:tcPr>
            <w:tcW w:w="240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93"/>
              </w:rPr>
              <w:t>March 11, 2019</w:t>
            </w:r>
          </w:p>
        </w:tc>
        <w:tc>
          <w:tcPr>
            <w:tcW w:w="2000" w:type="dxa"/>
            <w:vAlign w:val="bottom"/>
            <w:tcBorders>
              <w:bottom w:val="single" w:sz="8" w:color="CCEEFF"/>
            </w:tcBorders>
            <w:shd w:val="clear" w:color="auto" w:fill="CCEEFF"/>
          </w:tcPr>
          <w:p>
            <w:pPr>
              <w:jc w:val="center"/>
              <w:ind w:right="199"/>
              <w:spacing w:after="0"/>
              <w:rPr>
                <w:sz w:val="20"/>
                <w:szCs w:val="20"/>
                <w:color w:val="auto"/>
              </w:rPr>
            </w:pPr>
            <w:r>
              <w:rPr>
                <w:rFonts w:ascii="Arial" w:cs="Arial" w:eastAsia="Arial" w:hAnsi="Arial"/>
                <w:sz w:val="16"/>
                <w:szCs w:val="16"/>
                <w:color w:val="auto"/>
                <w:w w:val="93"/>
              </w:rPr>
              <w:t>March 29, 2019</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9,146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6"/>
                <w:szCs w:val="16"/>
                <w:color w:val="auto"/>
              </w:rPr>
              <w:t>April 30, 2019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0.30</w:t>
            </w:r>
          </w:p>
        </w:tc>
        <w:tc>
          <w:tcPr>
            <w:tcW w:w="2400" w:type="dxa"/>
            <w:vAlign w:val="bottom"/>
          </w:tcPr>
          <w:p>
            <w:pPr>
              <w:jc w:val="center"/>
              <w:ind w:right="39"/>
              <w:spacing w:after="0"/>
              <w:rPr>
                <w:sz w:val="20"/>
                <w:szCs w:val="20"/>
                <w:color w:val="auto"/>
              </w:rPr>
            </w:pPr>
            <w:r>
              <w:rPr>
                <w:rFonts w:ascii="Arial" w:cs="Arial" w:eastAsia="Arial" w:hAnsi="Arial"/>
                <w:sz w:val="16"/>
                <w:szCs w:val="16"/>
                <w:color w:val="auto"/>
                <w:w w:val="90"/>
              </w:rPr>
              <w:t>June 10, 2019</w:t>
            </w:r>
          </w:p>
        </w:tc>
        <w:tc>
          <w:tcPr>
            <w:tcW w:w="2000" w:type="dxa"/>
            <w:vAlign w:val="bottom"/>
          </w:tcPr>
          <w:p>
            <w:pPr>
              <w:jc w:val="center"/>
              <w:ind w:right="199"/>
              <w:spacing w:after="0"/>
              <w:rPr>
                <w:sz w:val="20"/>
                <w:szCs w:val="20"/>
                <w:color w:val="auto"/>
              </w:rPr>
            </w:pPr>
            <w:r>
              <w:rPr>
                <w:rFonts w:ascii="Arial" w:cs="Arial" w:eastAsia="Arial" w:hAnsi="Arial"/>
                <w:sz w:val="16"/>
                <w:szCs w:val="16"/>
                <w:color w:val="auto"/>
                <w:w w:val="90"/>
              </w:rPr>
              <w:t>June 28, 2019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9,205</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0.60</w:t>
            </w:r>
          </w:p>
        </w:tc>
        <w:tc>
          <w:tcPr>
            <w:tcW w:w="24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18,351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64"/>
        <w:spacing w:after="0" w:line="342" w:lineRule="auto"/>
        <w:rPr>
          <w:sz w:val="20"/>
          <w:szCs w:val="20"/>
          <w:color w:val="auto"/>
        </w:rPr>
      </w:pPr>
      <w:r>
        <w:rPr>
          <w:rFonts w:ascii="Arial" w:cs="Arial" w:eastAsia="Arial" w:hAnsi="Arial"/>
          <w:sz w:val="16"/>
          <w:szCs w:val="16"/>
          <w:color w:val="auto"/>
        </w:rPr>
        <w:t>Included in the total dividends for the six months ended June 30, 2020 and 2019 are $219,000 and $216,000, respectively, of dividend equivalents on unvested RSUs. The balance of dividends payable on unvested RSUs was $501,000 at June 30, 2020 and $623,000 at December 31, 2019.</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shareholders have approved various equity incentive plans, including the Amended and Restated 2009 Equity Incentive Plan (the “Legacy Plan”), the 2014 Long Term Incentive Plan (“2014 LTIP”), and the 2014 Non-Employee Director Incentive Plan (“2014 Director Plan”) (collectively, the “Plans”). All awards issued under the Plans are issued at the discretion of the Board of Directors. Under the Legacy Plan, employees received non-qualified stock options. Options are outstanding under the Legacy Plan; however, no additional awards may be granted.</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Employees are eligible to receive non-qualified stock options, incentive stock options, share appreciation rights, performance shares, restricted shares, RSUs, and other awards under the 2014 LTIP. The maximum number of shares available for issuance under the 2014 LTIP is 4,171,150, and at June 30, 2020, 1,420,037 shares are available for grant.</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Non-employee directors of the Company are eligible to receive non-qualified stock options, share appreciation rights, performance shares, restricted shares, RSUs, and other awards under the 2014 Director Plan. At the 2019 Annual General Meeting of Shareholders of the Company held on April 30, 2019, the Company's shareholders approved an amendment to the 2014 Director Plan. The Board of Directors of the Company had previously approved the amendment. The amendment increased the number of the Company's common shares authorized for issuance under the 2014 Director Plan by 100,000 shares. The maximum number of shares available for issuance under the 2014 Director Plan is 150,000, and at June 30, 2020, 101,746 shares are available for grant.</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option activity: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2020</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2019</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Weighted-</w:t>
            </w: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2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2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49"/>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1220" w:type="dxa"/>
            <w:vAlign w:val="bottom"/>
          </w:tcPr>
          <w:p>
            <w:pPr>
              <w:jc w:val="right"/>
              <w:spacing w:after="0"/>
              <w:rPr>
                <w:sz w:val="20"/>
                <w:szCs w:val="20"/>
                <w:color w:val="auto"/>
              </w:rPr>
            </w:pPr>
            <w:r>
              <w:rPr>
                <w:rFonts w:ascii="Arial" w:cs="Arial" w:eastAsia="Arial" w:hAnsi="Arial"/>
                <w:sz w:val="18"/>
                <w:szCs w:val="18"/>
                <w:color w:val="auto"/>
              </w:rPr>
              <w:t>643,851</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8"/>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1,115,324</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220" w:type="dxa"/>
            <w:vAlign w:val="bottom"/>
          </w:tcPr>
          <w:p>
            <w:pPr>
              <w:jc w:val="right"/>
              <w:spacing w:after="0"/>
              <w:rPr>
                <w:sz w:val="20"/>
                <w:szCs w:val="20"/>
                <w:color w:val="auto"/>
              </w:rPr>
            </w:pPr>
            <w:r>
              <w:rPr>
                <w:rFonts w:ascii="Arial" w:cs="Arial" w:eastAsia="Arial" w:hAnsi="Arial"/>
                <w:sz w:val="18"/>
                <w:szCs w:val="18"/>
                <w:color w:val="auto"/>
              </w:rPr>
              <w:t>(29,141)</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8"/>
              <w:spacing w:after="0"/>
              <w:rPr>
                <w:sz w:val="20"/>
                <w:szCs w:val="20"/>
                <w:color w:val="auto"/>
              </w:rPr>
            </w:pPr>
            <w:r>
              <w:rPr>
                <w:rFonts w:ascii="Arial" w:cs="Arial" w:eastAsia="Arial" w:hAnsi="Arial"/>
                <w:sz w:val="18"/>
                <w:szCs w:val="18"/>
                <w:color w:val="auto"/>
              </w:rPr>
              <w:t>28.78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(336,350)</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(5,395)</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63"/>
        </w:trPr>
        <w:tc>
          <w:tcPr>
            <w:tcW w:w="562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614,710</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8"/>
              <w:spacing w:after="0"/>
              <w:rPr>
                <w:sz w:val="20"/>
                <w:szCs w:val="20"/>
                <w:color w:val="auto"/>
              </w:rPr>
            </w:pPr>
            <w:r>
              <w:rPr>
                <w:rFonts w:ascii="Arial" w:cs="Arial" w:eastAsia="Arial" w:hAnsi="Arial"/>
                <w:sz w:val="18"/>
                <w:szCs w:val="18"/>
                <w:color w:val="auto"/>
              </w:rPr>
              <w:t>30.49</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773,579</w:t>
            </w:r>
          </w:p>
        </w:tc>
        <w:tc>
          <w:tcPr>
            <w:tcW w:w="80" w:type="dxa"/>
            <w:vAlign w:val="bottom"/>
            <w:tcBorders>
              <w:top w:val="single" w:sz="8" w:color="auto"/>
              <w:bottom w:val="single" w:sz="8" w:color="auto"/>
            </w:tcBorders>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end of period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614,710</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30.49</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717,610</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All of the outstanding options vest over three to four years and have a contractual life of seven years from the original date of grant. All of the outstanding options have an exercise price equal to the fair value of the underlying shares at the date of grant. The weighted-average remaining contractual life of the options outstanding and exercisable at June 30, 2020 was 2.4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activity: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2020</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2019</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Weighted-</w:t>
            </w: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18"/>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2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70"/>
        </w:trPr>
        <w:tc>
          <w:tcPr>
            <w:tcW w:w="5620" w:type="dxa"/>
            <w:vAlign w:val="bottom"/>
            <w:tcBorders>
              <w:top w:val="single" w:sz="8" w:color="CCEEFF"/>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Unvested, beginning of period</w:t>
            </w:r>
          </w:p>
        </w:tc>
        <w:tc>
          <w:tcPr>
            <w:tcW w:w="1220" w:type="dxa"/>
            <w:vAlign w:val="bottom"/>
          </w:tcPr>
          <w:p>
            <w:pPr>
              <w:jc w:val="right"/>
              <w:spacing w:after="0"/>
              <w:rPr>
                <w:sz w:val="20"/>
                <w:szCs w:val="20"/>
                <w:color w:val="auto"/>
              </w:rPr>
            </w:pPr>
            <w:r>
              <w:rPr>
                <w:rFonts w:ascii="Arial" w:cs="Arial" w:eastAsia="Arial" w:hAnsi="Arial"/>
                <w:sz w:val="18"/>
                <w:szCs w:val="18"/>
                <w:color w:val="auto"/>
              </w:rPr>
              <w:t>340,368</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9"/>
              <w:spacing w:after="0"/>
              <w:rPr>
                <w:sz w:val="20"/>
                <w:szCs w:val="20"/>
                <w:color w:val="auto"/>
              </w:rPr>
            </w:pPr>
            <w:r>
              <w:rPr>
                <w:rFonts w:ascii="Arial" w:cs="Arial" w:eastAsia="Arial" w:hAnsi="Arial"/>
                <w:sz w:val="18"/>
                <w:szCs w:val="18"/>
                <w:color w:val="auto"/>
              </w:rPr>
              <w:t>41.50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300,142</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179,016</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43.55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178,556</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Vested</w:t>
            </w:r>
          </w:p>
        </w:tc>
        <w:tc>
          <w:tcPr>
            <w:tcW w:w="1220" w:type="dxa"/>
            <w:vAlign w:val="bottom"/>
          </w:tcPr>
          <w:p>
            <w:pPr>
              <w:jc w:val="right"/>
              <w:spacing w:after="0"/>
              <w:rPr>
                <w:sz w:val="20"/>
                <w:szCs w:val="20"/>
                <w:color w:val="auto"/>
              </w:rPr>
            </w:pPr>
            <w:r>
              <w:rPr>
                <w:rFonts w:ascii="Arial" w:cs="Arial" w:eastAsia="Arial" w:hAnsi="Arial"/>
                <w:sz w:val="18"/>
                <w:szCs w:val="18"/>
                <w:color w:val="auto"/>
              </w:rPr>
              <w:t>(147,260)</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9"/>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(111,212)</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(16,846)</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42.17</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(9,555)</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40.84</w:t>
            </w:r>
          </w:p>
        </w:tc>
        <w:tc>
          <w:tcPr>
            <w:tcW w:w="0" w:type="dxa"/>
            <w:vAlign w:val="bottom"/>
          </w:tcPr>
          <w:p>
            <w:pPr>
              <w:spacing w:after="0"/>
              <w:rPr>
                <w:sz w:val="1"/>
                <w:szCs w:val="1"/>
                <w:color w:val="auto"/>
              </w:rPr>
            </w:pPr>
          </w:p>
        </w:tc>
      </w:tr>
      <w:tr>
        <w:trPr>
          <w:trHeight w:val="263"/>
        </w:trPr>
        <w:tc>
          <w:tcPr>
            <w:tcW w:w="5620" w:type="dxa"/>
            <w:vAlign w:val="bottom"/>
          </w:tcPr>
          <w:p>
            <w:pPr>
              <w:ind w:left="20"/>
              <w:spacing w:after="0"/>
              <w:rPr>
                <w:sz w:val="20"/>
                <w:szCs w:val="20"/>
                <w:color w:val="auto"/>
              </w:rPr>
            </w:pPr>
            <w:r>
              <w:rPr>
                <w:rFonts w:ascii="Arial" w:cs="Arial" w:eastAsia="Arial" w:hAnsi="Arial"/>
                <w:sz w:val="18"/>
                <w:szCs w:val="18"/>
                <w:color w:val="auto"/>
              </w:rPr>
              <w:t>Unvested, end of period</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355,278</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9"/>
              <w:spacing w:after="0"/>
              <w:rPr>
                <w:sz w:val="20"/>
                <w:szCs w:val="20"/>
                <w:color w:val="auto"/>
              </w:rPr>
            </w:pPr>
            <w:r>
              <w:rPr>
                <w:rFonts w:ascii="Arial" w:cs="Arial" w:eastAsia="Arial" w:hAnsi="Arial"/>
                <w:sz w:val="18"/>
                <w:szCs w:val="18"/>
                <w:color w:val="auto"/>
              </w:rPr>
              <w:t>42.65</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357,931</w:t>
            </w:r>
          </w:p>
        </w:tc>
        <w:tc>
          <w:tcPr>
            <w:tcW w:w="80" w:type="dxa"/>
            <w:vAlign w:val="bottom"/>
            <w:tcBorders>
              <w:top w:val="single" w:sz="8" w:color="auto"/>
              <w:bottom w:val="single" w:sz="8" w:color="auto"/>
            </w:tcBorders>
          </w:tcPr>
          <w:p>
            <w:pPr>
              <w:spacing w:after="0"/>
              <w:rPr>
                <w:sz w:val="22"/>
                <w:szCs w:val="2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vesting period of RSUs granted to employees range from one to three years and vest ratably over the respective vesting period, and the majority vest in three years. All RSUs granted to date to non-employee directors had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based on the market price of the underlying shares at the date of grant.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Share based compensation expense is recognized on a straight line basis over the vesting period. The amount of expense and related tax benefit is summarized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3"/>
          </w:tcPr>
          <w:p>
            <w:pPr>
              <w:jc w:val="center"/>
              <w:ind w:right="199"/>
              <w:spacing w:after="0"/>
              <w:rPr>
                <w:sz w:val="20"/>
                <w:szCs w:val="20"/>
                <w:color w:val="auto"/>
              </w:rPr>
            </w:pPr>
            <w:r>
              <w:rPr>
                <w:rFonts w:ascii="Arial" w:cs="Arial" w:eastAsia="Arial" w:hAnsi="Arial"/>
                <w:sz w:val="14"/>
                <w:szCs w:val="14"/>
                <w:b w:val="1"/>
                <w:bCs w:val="1"/>
                <w:color w:val="auto"/>
                <w:w w:val="93"/>
              </w:rPr>
              <w:t>Three Months Ended</w:t>
            </w:r>
          </w:p>
        </w:tc>
        <w:tc>
          <w:tcPr>
            <w:tcW w:w="660" w:type="dxa"/>
            <w:vAlign w:val="bottom"/>
          </w:tcPr>
          <w:p>
            <w:pPr>
              <w:spacing w:after="0"/>
              <w:rPr>
                <w:sz w:val="14"/>
                <w:szCs w:val="14"/>
                <w:color w:val="auto"/>
              </w:rPr>
            </w:pPr>
          </w:p>
        </w:tc>
        <w:tc>
          <w:tcPr>
            <w:tcW w:w="1560" w:type="dxa"/>
            <w:vAlign w:val="bottom"/>
            <w:gridSpan w:val="2"/>
          </w:tcPr>
          <w:p>
            <w:pPr>
              <w:jc w:val="center"/>
              <w:ind w:left="261"/>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r>
      <w:tr>
        <w:trPr>
          <w:trHeight w:val="192"/>
        </w:trPr>
        <w:tc>
          <w:tcPr>
            <w:tcW w:w="5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left="561"/>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left="281"/>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r>
      <w:tr>
        <w:trPr>
          <w:trHeight w:val="196"/>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w w:val="96"/>
              </w:rPr>
              <w:t>2020</w:t>
            </w:r>
          </w:p>
        </w:tc>
        <w:tc>
          <w:tcPr>
            <w:tcW w:w="6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89"/>
              </w:rPr>
              <w:t>2019</w:t>
            </w:r>
          </w:p>
        </w:tc>
      </w:tr>
      <w:tr>
        <w:trPr>
          <w:trHeight w:val="196"/>
        </w:trPr>
        <w:tc>
          <w:tcPr>
            <w:tcW w:w="5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0" w:type="dxa"/>
            <w:vAlign w:val="bottom"/>
            <w:gridSpan w:val="2"/>
          </w:tcPr>
          <w:p>
            <w:pPr>
              <w:jc w:val="center"/>
              <w:ind w:left="579"/>
              <w:spacing w:after="0"/>
              <w:rPr>
                <w:sz w:val="20"/>
                <w:szCs w:val="20"/>
                <w:color w:val="auto"/>
              </w:rPr>
            </w:pPr>
            <w:r>
              <w:rPr>
                <w:rFonts w:ascii="Arial" w:cs="Arial" w:eastAsia="Arial" w:hAnsi="Arial"/>
                <w:sz w:val="14"/>
                <w:szCs w:val="14"/>
                <w:b w:val="1"/>
                <w:bCs w:val="1"/>
                <w:i w:val="1"/>
                <w:iCs w:val="1"/>
                <w:color w:val="auto"/>
                <w:w w:val="89"/>
              </w:rPr>
              <w:t>(in thousands)</w:t>
            </w: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 based compensation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1,910</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1,810</w:t>
            </w:r>
          </w:p>
        </w:tc>
        <w:tc>
          <w:tcPr>
            <w:tcW w:w="6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3,777</w:t>
            </w:r>
          </w:p>
        </w:tc>
        <w:tc>
          <w:tcPr>
            <w:tcW w:w="6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3,484</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U.S. tax benefit on share based compensation expense</w:t>
            </w:r>
          </w:p>
        </w:tc>
        <w:tc>
          <w:tcPr>
            <w:tcW w:w="320" w:type="dxa"/>
            <w:vAlign w:val="bottom"/>
          </w:tcPr>
          <w:p>
            <w:pPr>
              <w:spacing w:after="0"/>
              <w:rPr>
                <w:sz w:val="21"/>
                <w:szCs w:val="21"/>
                <w:color w:val="auto"/>
              </w:rPr>
            </w:pPr>
          </w:p>
        </w:tc>
        <w:tc>
          <w:tcPr>
            <w:tcW w:w="1000" w:type="dxa"/>
            <w:vAlign w:val="bottom"/>
          </w:tcPr>
          <w:p>
            <w:pPr>
              <w:jc w:val="right"/>
              <w:ind w:right="61"/>
              <w:spacing w:after="0"/>
              <w:rPr>
                <w:sz w:val="20"/>
                <w:szCs w:val="20"/>
                <w:color w:val="auto"/>
              </w:rPr>
            </w:pPr>
            <w:r>
              <w:rPr>
                <w:rFonts w:ascii="Arial" w:cs="Arial" w:eastAsia="Arial" w:hAnsi="Arial"/>
                <w:sz w:val="18"/>
                <w:szCs w:val="18"/>
                <w:color w:val="auto"/>
              </w:rPr>
              <w:t>249</w:t>
            </w:r>
          </w:p>
        </w:tc>
        <w:tc>
          <w:tcPr>
            <w:tcW w:w="480" w:type="dxa"/>
            <w:vAlign w:val="bottom"/>
          </w:tcPr>
          <w:p>
            <w:pPr>
              <w:spacing w:after="0"/>
              <w:rPr>
                <w:sz w:val="21"/>
                <w:szCs w:val="21"/>
                <w:color w:val="auto"/>
              </w:rPr>
            </w:pPr>
          </w:p>
        </w:tc>
        <w:tc>
          <w:tcPr>
            <w:tcW w:w="940" w:type="dxa"/>
            <w:vAlign w:val="bottom"/>
          </w:tcPr>
          <w:p>
            <w:pPr>
              <w:jc w:val="right"/>
              <w:ind w:right="59"/>
              <w:spacing w:after="0"/>
              <w:rPr>
                <w:sz w:val="20"/>
                <w:szCs w:val="20"/>
                <w:color w:val="auto"/>
              </w:rPr>
            </w:pPr>
            <w:r>
              <w:rPr>
                <w:rFonts w:ascii="Arial" w:cs="Arial" w:eastAsia="Arial" w:hAnsi="Arial"/>
                <w:sz w:val="18"/>
                <w:szCs w:val="18"/>
                <w:color w:val="auto"/>
              </w:rPr>
              <w:t>220</w:t>
            </w:r>
          </w:p>
        </w:tc>
        <w:tc>
          <w:tcPr>
            <w:tcW w:w="660" w:type="dxa"/>
            <w:vAlign w:val="bottom"/>
          </w:tcPr>
          <w:p>
            <w:pPr>
              <w:spacing w:after="0"/>
              <w:rPr>
                <w:sz w:val="21"/>
                <w:szCs w:val="21"/>
                <w:color w:val="auto"/>
              </w:rPr>
            </w:pPr>
          </w:p>
        </w:tc>
        <w:tc>
          <w:tcPr>
            <w:tcW w:w="880" w:type="dxa"/>
            <w:vAlign w:val="bottom"/>
          </w:tcPr>
          <w:p>
            <w:pPr>
              <w:jc w:val="right"/>
              <w:ind w:right="61"/>
              <w:spacing w:after="0"/>
              <w:rPr>
                <w:sz w:val="20"/>
                <w:szCs w:val="20"/>
                <w:color w:val="auto"/>
              </w:rPr>
            </w:pPr>
            <w:r>
              <w:rPr>
                <w:rFonts w:ascii="Arial" w:cs="Arial" w:eastAsia="Arial" w:hAnsi="Arial"/>
                <w:sz w:val="18"/>
                <w:szCs w:val="18"/>
                <w:color w:val="auto"/>
              </w:rPr>
              <w:t>499</w:t>
            </w:r>
          </w:p>
        </w:tc>
        <w:tc>
          <w:tcPr>
            <w:tcW w:w="680" w:type="dxa"/>
            <w:vAlign w:val="bottom"/>
          </w:tcPr>
          <w:p>
            <w:pPr>
              <w:spacing w:after="0"/>
              <w:rPr>
                <w:sz w:val="21"/>
                <w:szCs w:val="21"/>
                <w:color w:val="auto"/>
              </w:rPr>
            </w:pP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420</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June 30, 2020, the Company had $11.9 million of unrecognized share based compensation expense expected to be charged to earnings over a weighted-average period of 2.0 years.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July 28, 2020, the Board of Directors declared a cash dividend of $0.30 per common share. The dividend is payable on September 30, 2020 to shareholders of record on September 14, 2020.</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The following discussion and analysis contains forward-looking statements that involve risks and uncertainties. Our actual results could differ materially from those anticipated in these forward-looking statements as a result of many factors. Factors that could cause such differences are discussed in the sections entitled “Special Note Regarding Forward-Looking Statements” and Part II, Item 1A “Risk Factors” in this Quarterly Report on Form 10-Q, or “Quarterly Report”, and Part I, Item 1A “Risk Factors” in our Annual Report on Form 10-K for the year ended December 31, 2019. The results of operations for the three and six months ended June 30, 2020 are not necessarily indicative of the results that may be expected for the full year ending December 31, 2020, or for any other future period. The following discussion should be read in conjunction with the unaudited condensed consolidated financial statements and the notes thereto included in Part I, Item 1 of this Quarterly Report, and in conjunction with our Annual Report on Form 10-K for the year ended December 31, 2019.</w:t>
      </w:r>
    </w:p>
    <w:p>
      <w:pPr>
        <w:spacing w:after="0" w:line="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accompanying condensed consolidated financial statements and related notes have been prepared in accordance with United States (“U.S.”) generally accepted accounting principles (“GAAP”) and include the accounts of James River Group Holdings, Ltd. and its subsidiaries. Unless the context indicates or suggests otherwise, references to “the Company”, “we”, “us” and “our” refer to James River Group Holdings, Ltd. and its subsidiaries.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James River Group Holdings, Ltd. is a Bermuda-based holding company. We own and operate a group of specialty insurance and reinsurance companies with the objective of generating compelling returns on tangible equity while limiting underwriting and investment volatility. We seek to accomplish this by consistently earning profits from insurance and reinsurance underwriting and generating meaningful risk-adjusted investment returns while managing our capital opportunistically.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organized into four reportable segments, which are separately managed business units:</w:t>
      </w:r>
    </w:p>
    <w:p>
      <w:pPr>
        <w:spacing w:after="0" w:line="117" w:lineRule="exact"/>
        <w:rPr>
          <w:sz w:val="20"/>
          <w:szCs w:val="20"/>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Excess and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spacing w:after="0" w:line="75"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Specialty Admitted Insurance segment focuses on niche classes within the standard insurance markets, such as workers’ compensation coverage for residential contractors, light manufacturing operations, transportation workers and healthcare workers and fronting business, where we retain a small percentage of the risk and seek to earn fee income by allowing other carriers and producers to use our licensure, ratings, expertise and infrastructure. This segment has admitted licenses and the authority to write excess and surplus lines insurance in 50 states and the District of Columbia;</w:t>
      </w:r>
    </w:p>
    <w:p>
      <w:pPr>
        <w:spacing w:after="0" w:line="79"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Casualty Reinsurance segment primarily provides proportional and working layer casualty reinsurance to third parties (primarily through reinsurance intermediaries) and stop loss reinsurance to Carolina Re Ltd (“Carolina Re”), through JRG Reinsurance Company Ltd. (“JRG Re”), both Bermuda-based reinsurance companies. JRG Re has also in the past provided reinsurance to the Company's U.S. based insurance subsidiaries through a quota-share reinsurance agreement; Carolina Re was formed in 2018 to do this as well; and</w:t>
      </w:r>
    </w:p>
    <w:p>
      <w:pPr>
        <w:spacing w:after="0" w:line="63" w:lineRule="exact"/>
        <w:rPr>
          <w:rFonts w:ascii="Arial" w:cs="Arial" w:eastAsia="Arial" w:hAnsi="Arial"/>
          <w:sz w:val="17"/>
          <w:szCs w:val="17"/>
          <w:color w:val="auto"/>
        </w:rPr>
      </w:pPr>
    </w:p>
    <w:p>
      <w:pPr>
        <w:ind w:left="660" w:hanging="328"/>
        <w:spacing w:after="0" w:line="342"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Corporate and Other segment consists of the management and treasury activities of our holding companies, interest expense associated with our debt, and expenses of our holding companies, including public company expenses, that are not reimbursed by our insurance segments.</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our insurance and reinsurance subsidiaries have financial strength ratings of “A” (Excellent) from A.M. Best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preparing the unaudited condensed consolidated financial statements, we are required to make estimates and assumptions that affect the reported amounts of assets and liabilities and the disclosures of contingent assets and liabilities as of the date of the condensed consolidated financial statements and the reported amounts of revenues and expenses for the reporting period. Actual results could differ significantly from those estimates.</w:t>
      </w:r>
    </w:p>
    <w:p>
      <w:pPr>
        <w:spacing w:after="0" w:line="4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most critical accounting policies involve significant estimates and include those used in determining the reserve for losses and loss adjustment expenses, investment valuation and impairment, and assumed reinsurance premiums. For a detailed discussion of each of these policies, refer to our Annual Report on Form 10-K for the year ended December 31, 2019. There have been no significant changes to any of these policies during the current year.</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1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is continually monitoring the impact that the outbreak of the coronavirus (COVID-19) pandemic may be having on the Company’s financial condition and results of operations. The Company closed its offices except for certain essential functions, and directed its employees to work from their homes or other locations where they could ‘shelter in place’. While the Company’s investment portfolio was impacted by the volatility in the global financial markets during the first quarter of this year as discussed in “-Results of Operations-Investing Results” in the Quarterly Report on Form 10-Q for the quarterly period ended March 31, 2020, filed with the SEC on April 30, 2020, to date the Company has not experienced a decline in gross written premiums or a material increase in total claims as a result of the coronavirus pandemic. However, in light of the uncertainty in the global financial markets resulting from COVID-19, the Company has taken precautionary measures to preserve financial flexibility by borrowing under its existing credit facilities as discussed in “-Liquidity and Capital Resources-Sources and Uses of Funds”, and the Company is continually evaluating whether additional measures may be prudent to protect the Company’s financial condition and results of operations in the current economic environment. In addition, we are closely monitoring a number of risks that COVID-19 poses to the Company’s financial condition and results of operations. For a description of these risks, see “Part II-Item 1A. Risk Factors”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5"/>
          </w:tcPr>
          <w:p>
            <w:pPr>
              <w:jc w:val="right"/>
              <w:ind w:right="47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2340" w:type="dxa"/>
            <w:vAlign w:val="bottom"/>
            <w:gridSpan w:val="5"/>
          </w:tcPr>
          <w:p>
            <w:pPr>
              <w:jc w:val="right"/>
              <w:ind w:right="571"/>
              <w:spacing w:after="0"/>
              <w:rPr>
                <w:sz w:val="20"/>
                <w:szCs w:val="20"/>
                <w:color w:val="auto"/>
              </w:rPr>
            </w:pPr>
            <w:r>
              <w:rPr>
                <w:rFonts w:ascii="Arial" w:cs="Arial" w:eastAsia="Arial" w:hAnsi="Arial"/>
                <w:sz w:val="14"/>
                <w:szCs w:val="14"/>
                <w:b w:val="1"/>
                <w:bCs w:val="1"/>
                <w:color w:val="auto"/>
              </w:rPr>
              <w:t>Six Months Ended</w:t>
            </w:r>
          </w:p>
        </w:tc>
        <w:tc>
          <w:tcPr>
            <w:tcW w:w="1300" w:type="dxa"/>
            <w:vAlign w:val="bottom"/>
            <w:gridSpan w:val="3"/>
            <w:vMerge w:val="restart"/>
          </w:tcPr>
          <w:p>
            <w:pPr>
              <w:jc w:val="right"/>
              <w:ind w:right="3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8"/>
              </w:rPr>
              <w:t>($ in thousands)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301,639</w:t>
            </w:r>
          </w:p>
        </w:tc>
        <w:tc>
          <w:tcPr>
            <w:tcW w:w="6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380,003</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(20.6)%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585,480</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707,337</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(17.2)%</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Pr>
          <w:p>
            <w:pPr>
              <w:ind w:left="20"/>
              <w:spacing w:after="0"/>
              <w:rPr>
                <w:sz w:val="20"/>
                <w:szCs w:val="20"/>
                <w:color w:val="auto"/>
              </w:rPr>
            </w:pPr>
            <w:r>
              <w:rPr>
                <w:rFonts w:ascii="Arial" w:cs="Arial" w:eastAsia="Arial" w:hAnsi="Arial"/>
                <w:sz w:val="18"/>
                <w:szCs w:val="18"/>
                <w:color w:val="auto"/>
              </w:rPr>
              <w:t xml:space="preserve">Net retention </w:t>
            </w:r>
            <w:r>
              <w:rPr>
                <w:rFonts w:ascii="Arial" w:cs="Arial" w:eastAsia="Arial" w:hAnsi="Arial"/>
                <w:sz w:val="14"/>
                <w:szCs w:val="14"/>
                <w:color w:val="auto"/>
              </w:rPr>
              <w:t>(1)</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written premiums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165,757</w:t>
            </w:r>
          </w:p>
        </w:tc>
        <w:tc>
          <w:tcPr>
            <w:tcW w:w="1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239,910</w:t>
            </w:r>
          </w:p>
        </w:tc>
        <w:tc>
          <w:tcPr>
            <w:tcW w:w="1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(30.9)%</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300,411</w:t>
            </w:r>
          </w:p>
        </w:tc>
        <w:tc>
          <w:tcPr>
            <w:tcW w:w="2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447,651</w:t>
            </w:r>
          </w:p>
        </w:tc>
        <w:tc>
          <w:tcPr>
            <w:tcW w:w="1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(32.9)%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80" w:type="dxa"/>
            <w:vAlign w:val="bottom"/>
          </w:tcPr>
          <w:p>
            <w:pPr>
              <w:ind w:left="20"/>
              <w:spacing w:after="0"/>
              <w:rPr>
                <w:sz w:val="20"/>
                <w:szCs w:val="20"/>
                <w:color w:val="auto"/>
              </w:rPr>
            </w:pPr>
            <w:r>
              <w:rPr>
                <w:rFonts w:ascii="Arial" w:cs="Arial" w:eastAsia="Arial" w:hAnsi="Arial"/>
                <w:sz w:val="18"/>
                <w:szCs w:val="18"/>
                <w:color w:val="auto"/>
              </w:rPr>
              <w:t>Net earned premiums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148,815</w:t>
            </w:r>
          </w:p>
        </w:tc>
        <w:tc>
          <w:tcPr>
            <w:tcW w:w="6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199,114</w:t>
            </w:r>
          </w:p>
        </w:tc>
        <w:tc>
          <w:tcPr>
            <w:tcW w:w="160" w:type="dxa"/>
            <w:vAlign w:val="bottom"/>
          </w:tcPr>
          <w:p>
            <w:pPr>
              <w:spacing w:after="0"/>
              <w:rPr>
                <w:sz w:val="18"/>
                <w:szCs w:val="18"/>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i w:val="1"/>
                <w:iCs w:val="1"/>
                <w:color w:val="auto"/>
              </w:rPr>
              <w:t>(25.3)%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294,733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389,266</w:t>
            </w:r>
          </w:p>
        </w:tc>
        <w:tc>
          <w:tcPr>
            <w:tcW w:w="1300" w:type="dxa"/>
            <w:vAlign w:val="bottom"/>
            <w:gridSpan w:val="3"/>
          </w:tcPr>
          <w:p>
            <w:pPr>
              <w:jc w:val="right"/>
              <w:spacing w:after="0"/>
              <w:rPr>
                <w:sz w:val="20"/>
                <w:szCs w:val="20"/>
                <w:color w:val="auto"/>
              </w:rPr>
            </w:pPr>
            <w:r>
              <w:rPr>
                <w:rFonts w:ascii="Arial" w:cs="Arial" w:eastAsia="Arial" w:hAnsi="Arial"/>
                <w:sz w:val="18"/>
                <w:szCs w:val="18"/>
                <w:i w:val="1"/>
                <w:iCs w:val="1"/>
                <w:color w:val="auto"/>
              </w:rPr>
              <w:t>(24.3)%</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and loss adjustment expenses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(98,746)</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(147,053)</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(32.9)%</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(195,602)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(286,980)</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(31.8)%</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(42,653)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(42,486)</w:t>
            </w:r>
          </w:p>
        </w:tc>
        <w:tc>
          <w:tcPr>
            <w:tcW w:w="16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i w:val="1"/>
                <w:iCs w:val="1"/>
                <w:color w:val="auto"/>
              </w:rPr>
              <w:t>0.4 %</w:t>
            </w:r>
          </w:p>
        </w:tc>
        <w:tc>
          <w:tcPr>
            <w:tcW w:w="280" w:type="dxa"/>
            <w:vAlign w:val="bottom"/>
          </w:tcPr>
          <w:p>
            <w:pPr>
              <w:spacing w:after="0"/>
              <w:rPr>
                <w:sz w:val="21"/>
                <w:szCs w:val="21"/>
                <w:color w:val="auto"/>
              </w:rPr>
            </w:pPr>
          </w:p>
        </w:tc>
        <w:tc>
          <w:tcPr>
            <w:tcW w:w="1060" w:type="dxa"/>
            <w:vAlign w:val="bottom"/>
            <w:gridSpan w:val="2"/>
          </w:tcPr>
          <w:p>
            <w:pPr>
              <w:jc w:val="right"/>
              <w:ind w:right="95"/>
              <w:spacing w:after="0"/>
              <w:rPr>
                <w:sz w:val="20"/>
                <w:szCs w:val="20"/>
                <w:color w:val="auto"/>
              </w:rPr>
            </w:pPr>
            <w:r>
              <w:rPr>
                <w:rFonts w:ascii="Arial" w:cs="Arial" w:eastAsia="Arial" w:hAnsi="Arial"/>
                <w:sz w:val="18"/>
                <w:szCs w:val="18"/>
                <w:color w:val="auto"/>
              </w:rPr>
              <w:t>(92,663)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(85,565)</w:t>
            </w:r>
          </w:p>
        </w:tc>
        <w:tc>
          <w:tcPr>
            <w:tcW w:w="1300" w:type="dxa"/>
            <w:vAlign w:val="bottom"/>
            <w:gridSpan w:val="3"/>
          </w:tcPr>
          <w:p>
            <w:pPr>
              <w:jc w:val="right"/>
              <w:spacing w:after="0"/>
              <w:rPr>
                <w:sz w:val="20"/>
                <w:szCs w:val="20"/>
                <w:color w:val="auto"/>
              </w:rPr>
            </w:pPr>
            <w:r>
              <w:rPr>
                <w:rFonts w:ascii="Arial" w:cs="Arial" w:eastAsia="Arial" w:hAnsi="Arial"/>
                <w:sz w:val="18"/>
                <w:szCs w:val="18"/>
                <w:i w:val="1"/>
                <w:iCs w:val="1"/>
                <w:color w:val="auto"/>
              </w:rPr>
              <w:t>8.3 %</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color w:val="auto"/>
              </w:rPr>
              <w:t>(2), (3)</w:t>
            </w: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(22.5)%</w:t>
            </w: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16,721</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(61.3)%</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15,350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17,535</w:t>
            </w:r>
          </w:p>
        </w:tc>
        <w:tc>
          <w:tcPr>
            <w:tcW w:w="16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i w:val="1"/>
                <w:iCs w:val="1"/>
                <w:color w:val="auto"/>
              </w:rPr>
              <w:t>(12.5)%</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36,186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36,966</w:t>
            </w:r>
          </w:p>
        </w:tc>
        <w:tc>
          <w:tcPr>
            <w:tcW w:w="1300" w:type="dxa"/>
            <w:vAlign w:val="bottom"/>
            <w:gridSpan w:val="3"/>
          </w:tcPr>
          <w:p>
            <w:pPr>
              <w:jc w:val="right"/>
              <w:spacing w:after="0"/>
              <w:rPr>
                <w:sz w:val="20"/>
                <w:szCs w:val="20"/>
                <w:color w:val="auto"/>
              </w:rPr>
            </w:pPr>
            <w:r>
              <w:rPr>
                <w:rFonts w:ascii="Arial" w:cs="Arial" w:eastAsia="Arial" w:hAnsi="Arial"/>
                <w:sz w:val="18"/>
                <w:szCs w:val="18"/>
                <w:i w:val="1"/>
                <w:iCs w:val="1"/>
                <w:color w:val="auto"/>
              </w:rPr>
              <w:t>(2.1)%</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9"/>
              </w:rPr>
              <w:t>Net realized and unrealized gains (losses) on</w:t>
            </w:r>
          </w:p>
        </w:tc>
        <w:tc>
          <w:tcPr>
            <w:tcW w:w="3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21,593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1,931.3 %</w:t>
            </w:r>
          </w:p>
        </w:tc>
        <w:tc>
          <w:tcPr>
            <w:tcW w:w="2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(36,814)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3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Other income and expense</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i w:val="1"/>
                <w:iCs w:val="1"/>
                <w:color w:val="auto"/>
              </w:rPr>
              <w:t>292.9 %</w:t>
            </w:r>
          </w:p>
        </w:tc>
        <w:tc>
          <w:tcPr>
            <w:tcW w:w="280" w:type="dxa"/>
            <w:vAlign w:val="bottom"/>
          </w:tcPr>
          <w:p>
            <w:pPr>
              <w:spacing w:after="0"/>
              <w:rPr>
                <w:sz w:val="21"/>
                <w:szCs w:val="21"/>
                <w:color w:val="auto"/>
              </w:rPr>
            </w:pPr>
          </w:p>
        </w:tc>
        <w:tc>
          <w:tcPr>
            <w:tcW w:w="1060" w:type="dxa"/>
            <w:vAlign w:val="bottom"/>
            <w:gridSpan w:val="2"/>
          </w:tcPr>
          <w:p>
            <w:pPr>
              <w:jc w:val="right"/>
              <w:ind w:right="95"/>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w:t>
            </w:r>
          </w:p>
        </w:tc>
        <w:tc>
          <w:tcPr>
            <w:tcW w:w="1300" w:type="dxa"/>
            <w:vAlign w:val="bottom"/>
            <w:gridSpan w:val="3"/>
          </w:tcPr>
          <w:p>
            <w:pPr>
              <w:jc w:val="right"/>
              <w:spacing w:after="0"/>
              <w:rPr>
                <w:sz w:val="20"/>
                <w:szCs w:val="20"/>
                <w:color w:val="auto"/>
              </w:rPr>
            </w:pPr>
            <w:r>
              <w:rPr>
                <w:rFonts w:ascii="Arial" w:cs="Arial" w:eastAsia="Arial" w:hAnsi="Arial"/>
                <w:sz w:val="18"/>
                <w:szCs w:val="18"/>
                <w:i w:val="1"/>
                <w:iCs w:val="1"/>
                <w:color w:val="auto"/>
              </w:rPr>
              <w:t>778.0 %</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10.5 %</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(5,841)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6.4 %</w:t>
            </w:r>
          </w:p>
        </w:tc>
        <w:tc>
          <w:tcPr>
            <w:tcW w:w="0" w:type="dxa"/>
            <w:vAlign w:val="bottom"/>
          </w:tcPr>
          <w:p>
            <w:pPr>
              <w:spacing w:after="0"/>
              <w:rPr>
                <w:sz w:val="1"/>
                <w:szCs w:val="1"/>
                <w:color w:val="auto"/>
              </w:rPr>
            </w:pPr>
          </w:p>
        </w:tc>
      </w:tr>
      <w:tr>
        <w:trPr>
          <w:trHeight w:val="270"/>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i w:val="1"/>
                <w:iCs w:val="1"/>
                <w:color w:val="auto"/>
              </w:rPr>
              <w:t>‒</w:t>
            </w: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6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taxes</w:t>
            </w: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39,760</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24,962</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59.3 %</w:t>
            </w: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50,453</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70"/>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4,146</w:t>
            </w:r>
          </w:p>
        </w:tc>
        <w:tc>
          <w:tcPr>
            <w:tcW w:w="1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4,655</w:t>
            </w: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CCEEFF"/>
            </w:tcBorders>
          </w:tcPr>
          <w:p>
            <w:pPr>
              <w:jc w:val="right"/>
              <w:ind w:right="53"/>
              <w:spacing w:after="0"/>
              <w:rPr>
                <w:sz w:val="20"/>
                <w:szCs w:val="20"/>
                <w:color w:val="auto"/>
              </w:rPr>
            </w:pPr>
            <w:r>
              <w:rPr>
                <w:rFonts w:ascii="Arial" w:cs="Arial" w:eastAsia="Arial" w:hAnsi="Arial"/>
                <w:sz w:val="18"/>
                <w:szCs w:val="18"/>
                <w:i w:val="1"/>
                <w:iCs w:val="1"/>
                <w:color w:val="auto"/>
              </w:rPr>
              <w:t>(10.9)%</w:t>
            </w: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7,418</w:t>
            </w: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8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35,614</w:t>
            </w:r>
          </w:p>
        </w:tc>
        <w:tc>
          <w:tcPr>
            <w:tcW w:w="1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20,307</w:t>
            </w:r>
          </w:p>
        </w:tc>
        <w:tc>
          <w:tcPr>
            <w:tcW w:w="1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75.4 %</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43,035</w:t>
            </w:r>
          </w:p>
        </w:tc>
        <w:tc>
          <w:tcPr>
            <w:tcW w:w="1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Pr>
          <w:p>
            <w:pPr>
              <w:ind w:left="20"/>
              <w:spacing w:after="0"/>
              <w:rPr>
                <w:sz w:val="20"/>
                <w:szCs w:val="20"/>
                <w:color w:val="auto"/>
              </w:rPr>
            </w:pPr>
            <w:r>
              <w:rPr>
                <w:rFonts w:ascii="Arial" w:cs="Arial" w:eastAsia="Arial" w:hAnsi="Arial"/>
                <w:sz w:val="18"/>
                <w:szCs w:val="18"/>
                <w:color w:val="auto"/>
              </w:rPr>
              <w:t xml:space="preserve">Adjusted net operating income </w:t>
            </w:r>
            <w:r>
              <w:rPr>
                <w:rFonts w:ascii="Arial" w:cs="Arial" w:eastAsia="Arial" w:hAnsi="Arial"/>
                <w:sz w:val="14"/>
                <w:szCs w:val="14"/>
                <w:color w:val="auto"/>
              </w:rPr>
              <w:t>(4)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17,379</w:t>
            </w:r>
          </w:p>
        </w:tc>
        <w:tc>
          <w:tcPr>
            <w:tcW w:w="6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20,177</w:t>
            </w:r>
          </w:p>
        </w:tc>
        <w:tc>
          <w:tcPr>
            <w:tcW w:w="16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i w:val="1"/>
                <w:iCs w:val="1"/>
                <w:color w:val="auto"/>
              </w:rPr>
              <w:t>(13.9)%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32,797</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41,890</w:t>
            </w:r>
          </w:p>
        </w:tc>
        <w:tc>
          <w:tcPr>
            <w:tcW w:w="1300" w:type="dxa"/>
            <w:vAlign w:val="bottom"/>
            <w:gridSpan w:val="3"/>
          </w:tcPr>
          <w:p>
            <w:pPr>
              <w:jc w:val="right"/>
              <w:spacing w:after="0"/>
              <w:rPr>
                <w:sz w:val="20"/>
                <w:szCs w:val="20"/>
                <w:color w:val="auto"/>
              </w:rPr>
            </w:pPr>
            <w:r>
              <w:rPr>
                <w:rFonts w:ascii="Arial" w:cs="Arial" w:eastAsia="Arial" w:hAnsi="Arial"/>
                <w:sz w:val="18"/>
                <w:szCs w:val="18"/>
                <w:i w:val="1"/>
                <w:iCs w:val="1"/>
                <w:color w:val="auto"/>
              </w:rPr>
              <w:t>(21.7)%</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Ratios: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120"/>
              <w:spacing w:after="0"/>
              <w:rPr>
                <w:sz w:val="20"/>
                <w:szCs w:val="20"/>
                <w:color w:val="auto"/>
              </w:rPr>
            </w:pPr>
            <w:r>
              <w:rPr>
                <w:rFonts w:ascii="Arial" w:cs="Arial" w:eastAsia="Arial" w:hAnsi="Arial"/>
                <w:sz w:val="18"/>
                <w:szCs w:val="18"/>
                <w:color w:val="auto"/>
              </w:rPr>
              <w:t>Loss ratio</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73.9</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Expense ratio</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120"/>
              <w:spacing w:after="0"/>
              <w:rPr>
                <w:sz w:val="20"/>
                <w:szCs w:val="20"/>
                <w:color w:val="auto"/>
              </w:rPr>
            </w:pPr>
            <w:r>
              <w:rPr>
                <w:rFonts w:ascii="Arial" w:cs="Arial" w:eastAsia="Arial" w:hAnsi="Arial"/>
                <w:sz w:val="18"/>
                <w:szCs w:val="18"/>
                <w:color w:val="auto"/>
              </w:rPr>
              <w:t>Combined ratio</w:t>
            </w:r>
          </w:p>
        </w:tc>
        <w:tc>
          <w:tcPr>
            <w:tcW w:w="3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95.0 %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95.2 %</w:t>
            </w: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97.8 %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95.7 %</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Net retention is defined as the ratio of net written premiums to gross written premiums.</w:t>
      </w:r>
    </w:p>
    <w:p>
      <w:pPr>
        <w:spacing w:after="0" w:line="63" w:lineRule="exact"/>
        <w:rPr>
          <w:rFonts w:ascii="Arial" w:cs="Arial" w:eastAsia="Arial" w:hAnsi="Arial"/>
          <w:sz w:val="18"/>
          <w:szCs w:val="18"/>
          <w:i w:val="1"/>
          <w:iCs w:val="1"/>
          <w:color w:val="auto"/>
        </w:rPr>
      </w:pPr>
    </w:p>
    <w:p>
      <w:pPr>
        <w:ind w:left="660" w:right="440" w:hanging="328"/>
        <w:spacing w:after="0" w:line="277" w:lineRule="auto"/>
        <w:tabs>
          <w:tab w:leader="none" w:pos="654"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8" w:lineRule="exact"/>
        <w:rPr>
          <w:rFonts w:ascii="Arial" w:cs="Arial" w:eastAsia="Arial" w:hAnsi="Arial"/>
          <w:sz w:val="18"/>
          <w:szCs w:val="18"/>
          <w:i w:val="1"/>
          <w:iCs w:val="1"/>
          <w:color w:val="auto"/>
        </w:rPr>
      </w:pPr>
    </w:p>
    <w:p>
      <w:pPr>
        <w:ind w:left="660" w:right="820" w:hanging="328"/>
        <w:spacing w:after="0" w:line="277" w:lineRule="auto"/>
        <w:tabs>
          <w:tab w:leader="none" w:pos="654"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underwriting results for the three and six months ended June 30, 2020 is gross fee income of $5.7 million and $11.2 million, respectively ($6.2 million and $12.6 million for the same periods in the prior year).</w:t>
      </w:r>
    </w:p>
    <w:p>
      <w:pPr>
        <w:spacing w:after="0" w:line="8" w:lineRule="exact"/>
        <w:rPr>
          <w:rFonts w:ascii="Arial" w:cs="Arial" w:eastAsia="Arial" w:hAnsi="Arial"/>
          <w:sz w:val="18"/>
          <w:szCs w:val="18"/>
          <w:i w:val="1"/>
          <w:iCs w:val="1"/>
          <w:color w:val="auto"/>
        </w:rPr>
      </w:pPr>
    </w:p>
    <w:p>
      <w:pPr>
        <w:ind w:left="660" w:right="300" w:hanging="328"/>
        <w:spacing w:after="0" w:line="277" w:lineRule="auto"/>
        <w:tabs>
          <w:tab w:leader="none" w:pos="654"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Adjusted net operating income is a non-GAAP measure. See “Reconciliation of Non-GAAP Measures” for reconciliation to net income and for additional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and 2019</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had an underwriting profit of $7.4 million for the three months ended June 30, 2020. This compares to an underwriting profit of $9.6 million for the same period in the prior year.</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results for the three months ended June 30, 2020 and 2019 include certain non-operating items that are significant to the Company. These items (on a pre-tax basis) include:</w:t>
      </w:r>
    </w:p>
    <w:p>
      <w:pPr>
        <w:spacing w:after="0" w:line="62" w:lineRule="exact"/>
        <w:rPr>
          <w:sz w:val="20"/>
          <w:szCs w:val="20"/>
          <w:color w:val="auto"/>
        </w:rPr>
      </w:pPr>
    </w:p>
    <w:p>
      <w:pPr>
        <w:jc w:val="both"/>
        <w:ind w:left="660" w:hanging="328"/>
        <w:spacing w:after="0" w:line="290"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Net realized and unrealized investment gains of $21.6 million and $1.1 million for the three months ended June 30, 2020 and 2019, respectively. Financial markets in 2020 have been significantly impacted by COVID-19. Investment fair values declined steeply with the pandemic's onset in the first quarter, but regained ground in the second quarter, leading to significant unrealized gains in our investment portfolio that were recognized in earnings. </w:t>
      </w:r>
      <w:r>
        <w:rPr>
          <w:rFonts w:ascii="Arial" w:cs="Arial" w:eastAsia="Arial" w:hAnsi="Arial"/>
          <w:sz w:val="16"/>
          <w:szCs w:val="16"/>
          <w:color w:val="231F20"/>
        </w:rPr>
        <w:t>For the three months ended June 30, 2020, net realized and unrealized gains on investments include gains of $4.0 million and $26.6</w:t>
      </w:r>
      <w:r>
        <w:rPr>
          <w:rFonts w:ascii="Arial" w:cs="Arial" w:eastAsia="Arial" w:hAnsi="Arial"/>
          <w:sz w:val="16"/>
          <w:szCs w:val="16"/>
          <w:color w:val="auto"/>
        </w:rPr>
        <w:t xml:space="preserve"> </w:t>
      </w:r>
      <w:r>
        <w:rPr>
          <w:rFonts w:ascii="Arial" w:cs="Arial" w:eastAsia="Arial" w:hAnsi="Arial"/>
          <w:sz w:val="16"/>
          <w:szCs w:val="16"/>
          <w:color w:val="231F20"/>
        </w:rPr>
        <w:t xml:space="preserve">million related to changes in unrealized gains and losses on equity securities and bank loan participations </w:t>
      </w:r>
      <w:r>
        <w:rPr>
          <w:rFonts w:ascii="Arial" w:cs="Arial" w:eastAsia="Arial" w:hAnsi="Arial"/>
          <w:sz w:val="16"/>
          <w:szCs w:val="16"/>
          <w:color w:val="000000"/>
        </w:rPr>
        <w:t>(accounted for at fair value pursuant to</w:t>
      </w:r>
      <w:r>
        <w:rPr>
          <w:rFonts w:ascii="Arial" w:cs="Arial" w:eastAsia="Arial" w:hAnsi="Arial"/>
          <w:sz w:val="16"/>
          <w:szCs w:val="16"/>
          <w:color w:val="231F20"/>
        </w:rPr>
        <w:t xml:space="preserve"> </w:t>
      </w:r>
      <w:r>
        <w:rPr>
          <w:rFonts w:ascii="Arial" w:cs="Arial" w:eastAsia="Arial" w:hAnsi="Arial"/>
          <w:sz w:val="16"/>
          <w:szCs w:val="16"/>
          <w:color w:val="000000"/>
        </w:rPr>
        <w:t>the Company's election of the fair value option on January 1, 2020)</w:t>
      </w:r>
      <w:r>
        <w:rPr>
          <w:rFonts w:ascii="Arial" w:cs="Arial" w:eastAsia="Arial" w:hAnsi="Arial"/>
          <w:sz w:val="16"/>
          <w:szCs w:val="16"/>
          <w:color w:val="231F20"/>
        </w:rPr>
        <w:t>, respectively. For the</w:t>
      </w:r>
      <w:r>
        <w:rPr>
          <w:rFonts w:ascii="Arial" w:cs="Arial" w:eastAsia="Arial" w:hAnsi="Arial"/>
          <w:sz w:val="16"/>
          <w:szCs w:val="16"/>
          <w:color w:val="000000"/>
        </w:rPr>
        <w:t xml:space="preserve"> three months ended June 30, 2019</w:t>
      </w:r>
      <w:r>
        <w:rPr>
          <w:rFonts w:ascii="Arial" w:cs="Arial" w:eastAsia="Arial" w:hAnsi="Arial"/>
          <w:sz w:val="16"/>
          <w:szCs w:val="16"/>
          <w:color w:val="231F20"/>
        </w:rPr>
        <w:t>, net realized and</w:t>
      </w:r>
      <w:r>
        <w:rPr>
          <w:rFonts w:ascii="Arial" w:cs="Arial" w:eastAsia="Arial" w:hAnsi="Arial"/>
          <w:sz w:val="16"/>
          <w:szCs w:val="16"/>
          <w:color w:val="000000"/>
        </w:rPr>
        <w:t xml:space="preserve"> </w:t>
      </w:r>
      <w:r>
        <w:rPr>
          <w:rFonts w:ascii="Arial" w:cs="Arial" w:eastAsia="Arial" w:hAnsi="Arial"/>
          <w:sz w:val="16"/>
          <w:szCs w:val="16"/>
          <w:color w:val="231F20"/>
        </w:rPr>
        <w:t xml:space="preserve">unrealized gains on investments included gains of $1.9 million related to changes in unrealized gains and losses on equity securities. </w:t>
      </w:r>
      <w:r>
        <w:rPr>
          <w:rFonts w:ascii="Arial" w:cs="Arial" w:eastAsia="Arial" w:hAnsi="Arial"/>
          <w:sz w:val="16"/>
          <w:szCs w:val="16"/>
          <w:color w:val="000000"/>
        </w:rPr>
        <w:t>See “—</w:t>
      </w:r>
      <w:r>
        <w:rPr>
          <w:rFonts w:ascii="Arial" w:cs="Arial" w:eastAsia="Arial" w:hAnsi="Arial"/>
          <w:sz w:val="16"/>
          <w:szCs w:val="16"/>
          <w:color w:val="231F20"/>
        </w:rPr>
        <w:t xml:space="preserve"> </w:t>
      </w:r>
      <w:r>
        <w:rPr>
          <w:rFonts w:ascii="Arial" w:cs="Arial" w:eastAsia="Arial" w:hAnsi="Arial"/>
          <w:sz w:val="16"/>
          <w:szCs w:val="16"/>
          <w:color w:val="000000"/>
        </w:rPr>
        <w:t>Investing Results" for more information on these realized and unrealized investment gains (losses).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We define adjusted net operating income as net income excluding certain non-operating expenses such as net realized and unrealized investment gains and losses on investments, expenses related to due diligence costs for various merger and acquisition activities, professional service fees related to the filing of registration statements for the offering of securities, and severance costs associated with terminated employees. We use adjusted net operating income as an internal performance measure in the management of our operations because we believe it gives our management and other users of our financial information useful insight into our results of operations and our underlying business performance. Adjusted net operating income should not be viewed as a substitute for net income calculated in accordance with GAAP, and our definition of adjusted net operating income may not be comparable to that of other companies.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income before taxes and net income reconcile to our adjusted net operating income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89"/>
              </w:rPr>
              <w:t>2020</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89"/>
              </w:rPr>
              <w:t>2019</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5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3"/>
                <w:szCs w:val="13"/>
                <w:color w:val="auto"/>
              </w:rPr>
            </w:pPr>
          </w:p>
        </w:tc>
        <w:tc>
          <w:tcPr>
            <w:tcW w:w="94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Before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Before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Income</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4"/>
          </w:tcPr>
          <w:p>
            <w:pPr>
              <w:jc w:val="right"/>
              <w:ind w:right="698"/>
              <w:spacing w:after="0"/>
              <w:rPr>
                <w:sz w:val="20"/>
                <w:szCs w:val="20"/>
                <w:color w:val="auto"/>
              </w:rPr>
            </w:pPr>
            <w:r>
              <w:rPr>
                <w:rFonts w:ascii="Arial" w:cs="Arial" w:eastAsia="Arial" w:hAnsi="Arial"/>
                <w:sz w:val="14"/>
                <w:szCs w:val="14"/>
                <w:b w:val="1"/>
                <w:bCs w:val="1"/>
                <w:i w:val="1"/>
                <w:iCs w:val="1"/>
                <w:color w:val="auto"/>
              </w:rPr>
              <w:t>($ in thousands)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as reported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39,760</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35,614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24,962</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20,307</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Net realized and unrealized investment (gains)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(19,763)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1,528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63"/>
        </w:trPr>
        <w:tc>
          <w:tcPr>
            <w:tcW w:w="5640" w:type="dxa"/>
            <w:vAlign w:val="bottom"/>
          </w:tcPr>
          <w:p>
            <w:pPr>
              <w:ind w:left="20"/>
              <w:spacing w:after="0"/>
              <w:rPr>
                <w:sz w:val="20"/>
                <w:szCs w:val="20"/>
                <w:color w:val="auto"/>
              </w:rPr>
            </w:pPr>
            <w:r>
              <w:rPr>
                <w:rFonts w:ascii="Arial" w:cs="Arial" w:eastAsia="Arial" w:hAnsi="Arial"/>
                <w:sz w:val="18"/>
                <w:szCs w:val="18"/>
                <w:color w:val="auto"/>
              </w:rPr>
              <w:t>Adjusted net operating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19,899</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rPr>
              <w:t>17,379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24,582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20,177</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Combined Ratios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combined ratio is a measure of underwriting performance and represents the relationship of incurred losses, loss adjustment expenses and other operating expenses to net earned premiums. Our combined ratio for the three months ended June 30, 2020 was 95.0%. A combined ratio of less than 100% indicates an underwriting profit, while a combined ratio greater than 100% reflects an underwriting loss. The combined ratio for the three months ended June 30, 2020 includes $1.1 million, or 0.8 percentage points, of net adverse reserve development on prior accident years, including $2.8 million of net favorable reserve development from the Excess and Surplus Lines segment, $1.0 million of net favorable reserve development from the Specialty Admitted Insurance segment, and $5.0 million of net adverse reserve development from the Casualty Reinsurance segment.</w:t>
      </w:r>
    </w:p>
    <w:p>
      <w:pPr>
        <w:spacing w:after="0" w:line="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combined ratio for the three months ended June 30, 2019 was 95.2%. The combined ratio for the three months ended June 30, 2019 includes $2.3 million, or 1.2 percentage points, of net adverse reserve development on prior accident years, including $1.2 million of net adverse reserve development from the Excess and Surplus Lines segment, $1.2 million of net favorable reserve development from the Specialty Admitted Insurance segment, and $2.4 million of net adverse reserve development from the Casualty Reinsurance segment.</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Additionally, each of the Company’s U.S.-domiciled insurance subsidiaries is a party to a quota share reinsurance agreement that in periods prior to January 1, 2018 ceded 70% of their premiums and losses to JRG Re, and starting January 1, 2018, ceded 70% of their premiums and losses to Carolina Re, an entity domiciled in Bermuda that made an irrevocable election to be taxed as a U.S. domestic corporation under Section 953(d) of the Code effective January 1, 2018. JRG Re also provides stop loss reinsurance to Carolina Re.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 Ratios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expense ratio increased from 21.3% for the three months ended June 30, 2019 to 28.6% for the three months ended June 30, 2020. The increase reflects the termination of the Rasier business effective December 31, 2019 (the Rasier business carried higher loss ratios, but lower expense ratios). This was partially offset by a 31.4% increase in the non-commercial auto (“Core E&amp;S”) net earned premiums of the Excess and Surplus Lines segment including in lines that have meaningful ceding commissions. Our Excess and Surplus Lines segment has significant scale and produces a lower expense ratio than our other operating segments. The Excess and Surplus Lines segment is our largest segment and makes up 67.8% of consolidated net earned premiums for the three months ended June 30, 2020 compared to 75.8% for three months ended June 30, 2019. Gross fee income for the Company declined from $6.2 million for the three months ended June 30, 2019 to $5.7 million for the three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and 2019</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had an underwriting profit of $6.5 million for the six months ended June 30, 2020. This compares to an underwriting profit of $16.7 million for the same period in the prior year.</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results for the six months ended June 30, 2020 and 2019 include certain non-operating items that are significant to the Company. These items (on a pre-tax basis) include:</w:t>
      </w:r>
    </w:p>
    <w:p>
      <w:pPr>
        <w:spacing w:after="0" w:line="62" w:lineRule="exact"/>
        <w:rPr>
          <w:sz w:val="20"/>
          <w:szCs w:val="20"/>
          <w:color w:val="auto"/>
        </w:rPr>
      </w:pPr>
    </w:p>
    <w:p>
      <w:pPr>
        <w:jc w:val="both"/>
        <w:ind w:left="660" w:hanging="328"/>
        <w:spacing w:after="0" w:line="296"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Net realized and unrealized investment (losses) gains of $(36.8) million and $2.7 million for the six months ended June 30, 2020 and 2019, respectively. </w:t>
      </w:r>
      <w:r>
        <w:rPr>
          <w:rFonts w:ascii="Arial" w:cs="Arial" w:eastAsia="Arial" w:hAnsi="Arial"/>
          <w:sz w:val="16"/>
          <w:szCs w:val="16"/>
          <w:color w:val="231F20"/>
        </w:rPr>
        <w:t>For the</w:t>
      </w:r>
      <w:r>
        <w:rPr>
          <w:rFonts w:ascii="Arial" w:cs="Arial" w:eastAsia="Arial" w:hAnsi="Arial"/>
          <w:sz w:val="16"/>
          <w:szCs w:val="16"/>
          <w:color w:val="auto"/>
        </w:rPr>
        <w:t xml:space="preserve"> six months ended June 30, 2020</w:t>
      </w:r>
      <w:r>
        <w:rPr>
          <w:rFonts w:ascii="Arial" w:cs="Arial" w:eastAsia="Arial" w:hAnsi="Arial"/>
          <w:sz w:val="16"/>
          <w:szCs w:val="16"/>
          <w:color w:val="231F20"/>
        </w:rPr>
        <w:t>, net realized and unrealized losses on investments include losses of $9.3 million and $17.4</w:t>
      </w:r>
      <w:r>
        <w:rPr>
          <w:rFonts w:ascii="Arial" w:cs="Arial" w:eastAsia="Arial" w:hAnsi="Arial"/>
          <w:sz w:val="16"/>
          <w:szCs w:val="16"/>
          <w:color w:val="auto"/>
        </w:rPr>
        <w:t xml:space="preserve"> </w:t>
      </w:r>
      <w:r>
        <w:rPr>
          <w:rFonts w:ascii="Arial" w:cs="Arial" w:eastAsia="Arial" w:hAnsi="Arial"/>
          <w:sz w:val="16"/>
          <w:szCs w:val="16"/>
          <w:color w:val="231F20"/>
        </w:rPr>
        <w:t xml:space="preserve">million related to changes in unrealized gains and losses on equity securities and bank loan participations, respectively. For the </w:t>
      </w:r>
      <w:r>
        <w:rPr>
          <w:rFonts w:ascii="Arial" w:cs="Arial" w:eastAsia="Arial" w:hAnsi="Arial"/>
          <w:sz w:val="16"/>
          <w:szCs w:val="16"/>
          <w:color w:val="000000"/>
        </w:rPr>
        <w:t>six months ended</w:t>
      </w:r>
      <w:r>
        <w:rPr>
          <w:rFonts w:ascii="Arial" w:cs="Arial" w:eastAsia="Arial" w:hAnsi="Arial"/>
          <w:sz w:val="16"/>
          <w:szCs w:val="16"/>
          <w:color w:val="231F20"/>
        </w:rPr>
        <w:t xml:space="preserve"> </w:t>
      </w:r>
      <w:r>
        <w:rPr>
          <w:rFonts w:ascii="Arial" w:cs="Arial" w:eastAsia="Arial" w:hAnsi="Arial"/>
          <w:sz w:val="16"/>
          <w:szCs w:val="16"/>
          <w:color w:val="000000"/>
        </w:rPr>
        <w:t>June 30, 2019</w:t>
      </w:r>
      <w:r>
        <w:rPr>
          <w:rFonts w:ascii="Arial" w:cs="Arial" w:eastAsia="Arial" w:hAnsi="Arial"/>
          <w:sz w:val="16"/>
          <w:szCs w:val="16"/>
          <w:color w:val="231F20"/>
        </w:rPr>
        <w:t>, net realized and unrealized gains on investments included gains of $5.4 million related to changes in unrealized gains and losses on</w:t>
      </w:r>
      <w:r>
        <w:rPr>
          <w:rFonts w:ascii="Arial" w:cs="Arial" w:eastAsia="Arial" w:hAnsi="Arial"/>
          <w:sz w:val="16"/>
          <w:szCs w:val="16"/>
          <w:color w:val="000000"/>
        </w:rPr>
        <w:t xml:space="preserve"> </w:t>
      </w:r>
      <w:r>
        <w:rPr>
          <w:rFonts w:ascii="Arial" w:cs="Arial" w:eastAsia="Arial" w:hAnsi="Arial"/>
          <w:sz w:val="16"/>
          <w:szCs w:val="16"/>
          <w:color w:val="231F20"/>
        </w:rPr>
        <w:t xml:space="preserve">equity securities. </w:t>
      </w:r>
      <w:r>
        <w:rPr>
          <w:rFonts w:ascii="Arial" w:cs="Arial" w:eastAsia="Arial" w:hAnsi="Arial"/>
          <w:sz w:val="16"/>
          <w:szCs w:val="16"/>
          <w:color w:val="000000"/>
        </w:rPr>
        <w:t>See “— Investing Results" for more information on these realized and unrealized investment (losses) gains.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(loss) income before taxes and net (loss) income reconcile to our adjusted net operating income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38"/>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2020</w:t>
            </w: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89"/>
              </w:rPr>
              <w:t>2019</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5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(Loss) Income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3"/>
                <w:szCs w:val="13"/>
                <w:color w:val="auto"/>
              </w:rPr>
            </w:pPr>
          </w:p>
        </w:tc>
        <w:tc>
          <w:tcPr>
            <w:tcW w:w="94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Before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Before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(Loss) Income</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4"/>
          </w:tcPr>
          <w:p>
            <w:pPr>
              <w:jc w:val="right"/>
              <w:ind w:right="698"/>
              <w:spacing w:after="0"/>
              <w:rPr>
                <w:sz w:val="20"/>
                <w:szCs w:val="20"/>
                <w:color w:val="auto"/>
              </w:rPr>
            </w:pPr>
            <w:r>
              <w:rPr>
                <w:rFonts w:ascii="Arial" w:cs="Arial" w:eastAsia="Arial" w:hAnsi="Arial"/>
                <w:sz w:val="14"/>
                <w:szCs w:val="14"/>
                <w:b w:val="1"/>
                <w:bCs w:val="1"/>
                <w:i w:val="1"/>
                <w:iCs w:val="1"/>
                <w:color w:val="auto"/>
              </w:rPr>
              <w:t>($ in thousands)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as reported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50,453</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43,035</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Net realized and unrealized investment losses (gains)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8"/>
                <w:szCs w:val="18"/>
                <w:color w:val="auto"/>
              </w:rPr>
              <w:t>32,470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1,528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63"/>
        </w:trPr>
        <w:tc>
          <w:tcPr>
            <w:tcW w:w="5640" w:type="dxa"/>
            <w:vAlign w:val="bottom"/>
          </w:tcPr>
          <w:p>
            <w:pPr>
              <w:ind w:left="20"/>
              <w:spacing w:after="0"/>
              <w:rPr>
                <w:sz w:val="20"/>
                <w:szCs w:val="20"/>
                <w:color w:val="auto"/>
              </w:rPr>
            </w:pPr>
            <w:r>
              <w:rPr>
                <w:rFonts w:ascii="Arial" w:cs="Arial" w:eastAsia="Arial" w:hAnsi="Arial"/>
                <w:sz w:val="18"/>
                <w:szCs w:val="18"/>
                <w:color w:val="auto"/>
              </w:rPr>
              <w:t>Adjusted net operating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37,088</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rPr>
              <w:t>32,797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48,448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41,890</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Combined Ratios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combined ratio for the six months ended June 30, 2020 was 97.8%. The combined ratio for the six months ended June 30, 2020 includes $2.0 million, or 0.7 percentage points, of net adverse reserve development on prior accident years, including $2.9 million of net favorable reserve development from the Excess and Surplus Lines segment, $2.0 million of net favorable reserve development from the Specialty Admitted Insurance segment, and $6.9 million of net adverse reserve development from the Casualty Reinsurance segment.</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combined ratio for the six months ended June 30, 2019 was 95.7%. The combined ratio for the six months ended June 30, 2019 includes $3.3 million, or 0.8 percentage points, of net adverse reserve development on prior accident years, including $1.2 million of net adverse reserve development from the Excess and Surplus Lines segment, $3.3 million of net favorable reserve development from the Specialty Admitted Insurance segment, and $5.3 million of net adverse reserve development from the Casualty Reinsurance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 Ratios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expense ratio increased from 22.0% for the six months ended June 30, 2019 to 31.4% for the six months ended June 30, 2020. The increase reflects the termination of the Rasier business effective December 31, 2019 (the Rasier business carried higher loss ratios, but lower expense ratios). This was partially offset by a 38.9% increase in the Core E&amp;S net earned premiums of the Excess and Surplus Lines segment including in lines that have meaningful ceding commissions. Our Excess and Surplus Lines segment has significant scale and produces a lower expense ratio than our other operating segments. The Excess and Surplus Lines segment is our largest segment and makes up 68.1% of consolidated net earned premiums for the six months ended June 30, 2020 compared to 75.2% for six months ended June 30, 2019. Gross fee income for the Company declined from $12.6 million for the six months ended June 30, 2019 to $11.2 million for the six months ended June 30, 2020.</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Insurance premiums are earned ratably over the terms of our insurance policies, generally twelve months. Reinsurance premiums assumed are earned over the terms of the underlying policies or reinsurance contracts. Reinsurance contracts written on a “losses occurring” basis cover claims that may occur during the term of the contract or underlying insurance policy, which is typically twelve months. Reinsurance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in proportion to the level of underlying exposure.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 in premium volume by component and business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8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vMerge w:val="restart"/>
          </w:tcPr>
          <w:p>
            <w:pPr>
              <w:jc w:val="center"/>
              <w:ind w:left="34"/>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238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Six Months Ended</w:t>
            </w:r>
          </w:p>
        </w:tc>
        <w:tc>
          <w:tcPr>
            <w:tcW w:w="1140" w:type="dxa"/>
            <w:vAlign w:val="bottom"/>
            <w:gridSpan w:val="2"/>
            <w:vMerge w:val="restart"/>
          </w:tcPr>
          <w:p>
            <w:pPr>
              <w:jc w:val="right"/>
              <w:ind w:right="3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14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14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93"/>
              </w:rPr>
              <w:t>Change</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jc w:val="center"/>
              <w:ind w:left="14"/>
              <w:spacing w:after="0"/>
              <w:rPr>
                <w:sz w:val="20"/>
                <w:szCs w:val="20"/>
                <w:color w:val="auto"/>
              </w:rPr>
            </w:pPr>
            <w:r>
              <w:rPr>
                <w:rFonts w:ascii="Arial" w:cs="Arial" w:eastAsia="Arial" w:hAnsi="Arial"/>
                <w:sz w:val="14"/>
                <w:szCs w:val="14"/>
                <w:b w:val="1"/>
                <w:bCs w:val="1"/>
                <w:i w:val="1"/>
                <w:iCs w:val="1"/>
                <w:color w:val="auto"/>
                <w:w w:val="88"/>
              </w:rPr>
              <w:t>($ in thousands)</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20"/>
              <w:spacing w:after="0"/>
              <w:rPr>
                <w:sz w:val="20"/>
                <w:szCs w:val="20"/>
                <w:color w:val="auto"/>
              </w:rPr>
            </w:pPr>
            <w:r>
              <w:rPr>
                <w:rFonts w:ascii="Arial" w:cs="Arial" w:eastAsia="Arial" w:hAnsi="Arial"/>
                <w:sz w:val="18"/>
                <w:szCs w:val="18"/>
                <w:color w:val="auto"/>
              </w:rPr>
              <w:t>Excess and Surplus Lines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186,994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260,277</w:t>
            </w: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(28.2)%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323,191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446,826</w:t>
            </w:r>
          </w:p>
        </w:tc>
        <w:tc>
          <w:tcPr>
            <w:tcW w:w="1140" w:type="dxa"/>
            <w:vAlign w:val="bottom"/>
            <w:gridSpan w:val="2"/>
          </w:tcPr>
          <w:p>
            <w:pPr>
              <w:jc w:val="right"/>
              <w:spacing w:after="0"/>
              <w:rPr>
                <w:sz w:val="20"/>
                <w:szCs w:val="20"/>
                <w:color w:val="auto"/>
              </w:rPr>
            </w:pPr>
            <w:r>
              <w:rPr>
                <w:rFonts w:ascii="Arial" w:cs="Arial" w:eastAsia="Arial" w:hAnsi="Arial"/>
                <w:sz w:val="18"/>
                <w:szCs w:val="18"/>
                <w:i w:val="1"/>
                <w:iCs w:val="1"/>
                <w:color w:val="auto"/>
              </w:rPr>
              <w:t>(27.7)%</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Specialty Admitted Insurance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88,440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89,472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191,242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192,425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(0.6)%</w:t>
            </w:r>
          </w:p>
        </w:tc>
        <w:tc>
          <w:tcPr>
            <w:tcW w:w="0" w:type="dxa"/>
            <w:vAlign w:val="bottom"/>
          </w:tcPr>
          <w:p>
            <w:pPr>
              <w:spacing w:after="0"/>
              <w:rPr>
                <w:sz w:val="1"/>
                <w:szCs w:val="1"/>
                <w:color w:val="auto"/>
              </w:rPr>
            </w:pPr>
          </w:p>
        </w:tc>
      </w:tr>
      <w:tr>
        <w:trPr>
          <w:trHeight w:val="243"/>
        </w:trPr>
        <w:tc>
          <w:tcPr>
            <w:tcW w:w="3460" w:type="dxa"/>
            <w:vAlign w:val="bottom"/>
          </w:tcPr>
          <w:p>
            <w:pPr>
              <w:ind w:left="120"/>
              <w:spacing w:after="0"/>
              <w:rPr>
                <w:sz w:val="20"/>
                <w:szCs w:val="20"/>
                <w:color w:val="auto"/>
              </w:rPr>
            </w:pPr>
            <w:r>
              <w:rPr>
                <w:rFonts w:ascii="Arial" w:cs="Arial" w:eastAsia="Arial" w:hAnsi="Arial"/>
                <w:sz w:val="18"/>
                <w:szCs w:val="18"/>
                <w:color w:val="auto"/>
              </w:rPr>
              <w:t>Casualty Reinsurance</w:t>
            </w:r>
          </w:p>
        </w:tc>
        <w:tc>
          <w:tcPr>
            <w:tcW w:w="32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26,205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30,254</w:t>
            </w: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(13.4)%</w:t>
            </w:r>
          </w:p>
        </w:tc>
        <w:tc>
          <w:tcPr>
            <w:tcW w:w="42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71,047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68,086</w:t>
            </w:r>
          </w:p>
        </w:tc>
        <w:tc>
          <w:tcPr>
            <w:tcW w:w="1140" w:type="dxa"/>
            <w:vAlign w:val="bottom"/>
            <w:gridSpan w:val="2"/>
          </w:tcPr>
          <w:p>
            <w:pPr>
              <w:jc w:val="right"/>
              <w:spacing w:after="0"/>
              <w:rPr>
                <w:sz w:val="20"/>
                <w:szCs w:val="20"/>
                <w:color w:val="auto"/>
              </w:rPr>
            </w:pPr>
            <w:r>
              <w:rPr>
                <w:rFonts w:ascii="Arial" w:cs="Arial" w:eastAsia="Arial" w:hAnsi="Arial"/>
                <w:sz w:val="18"/>
                <w:szCs w:val="18"/>
                <w:i w:val="1"/>
                <w:iCs w:val="1"/>
                <w:color w:val="auto"/>
              </w:rPr>
              <w:t>4.3 %</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4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301,639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380,003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(20.6)%</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585,480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707,337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(17.2)%</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written premiums: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Excess and Surplus Lines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126,814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195,624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(35.2)%</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219,020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350,485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(37.5)%</w:t>
            </w:r>
          </w:p>
        </w:tc>
        <w:tc>
          <w:tcPr>
            <w:tcW w:w="0" w:type="dxa"/>
            <w:vAlign w:val="bottom"/>
          </w:tcPr>
          <w:p>
            <w:pPr>
              <w:spacing w:after="0"/>
              <w:rPr>
                <w:sz w:val="1"/>
                <w:szCs w:val="1"/>
                <w:color w:val="auto"/>
              </w:rPr>
            </w:pPr>
          </w:p>
        </w:tc>
      </w:tr>
      <w:tr>
        <w:trPr>
          <w:trHeight w:val="243"/>
        </w:trPr>
        <w:tc>
          <w:tcPr>
            <w:tcW w:w="3460" w:type="dxa"/>
            <w:vAlign w:val="bottom"/>
          </w:tcPr>
          <w:p>
            <w:pPr>
              <w:ind w:left="12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12,739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14,034</w:t>
            </w: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(9.2)%</w:t>
            </w:r>
          </w:p>
        </w:tc>
        <w:tc>
          <w:tcPr>
            <w:tcW w:w="42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26,095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29,055</w:t>
            </w:r>
          </w:p>
        </w:tc>
        <w:tc>
          <w:tcPr>
            <w:tcW w:w="1140" w:type="dxa"/>
            <w:vAlign w:val="bottom"/>
            <w:gridSpan w:val="2"/>
          </w:tcPr>
          <w:p>
            <w:pPr>
              <w:jc w:val="right"/>
              <w:spacing w:after="0"/>
              <w:rPr>
                <w:sz w:val="20"/>
                <w:szCs w:val="20"/>
                <w:color w:val="auto"/>
              </w:rPr>
            </w:pPr>
            <w:r>
              <w:rPr>
                <w:rFonts w:ascii="Arial" w:cs="Arial" w:eastAsia="Arial" w:hAnsi="Arial"/>
                <w:sz w:val="18"/>
                <w:szCs w:val="18"/>
                <w:i w:val="1"/>
                <w:iCs w:val="1"/>
                <w:color w:val="auto"/>
              </w:rPr>
              <w:t>(10.2)%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26,204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30,252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(13.4)%</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55,296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68,111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(18.8)%</w:t>
            </w:r>
          </w:p>
        </w:tc>
        <w:tc>
          <w:tcPr>
            <w:tcW w:w="0" w:type="dxa"/>
            <w:vAlign w:val="bottom"/>
          </w:tcPr>
          <w:p>
            <w:pPr>
              <w:spacing w:after="0"/>
              <w:rPr>
                <w:sz w:val="1"/>
                <w:szCs w:val="1"/>
                <w:color w:val="auto"/>
              </w:rPr>
            </w:pPr>
          </w:p>
        </w:tc>
      </w:tr>
      <w:tr>
        <w:trPr>
          <w:trHeight w:val="263"/>
        </w:trPr>
        <w:tc>
          <w:tcPr>
            <w:tcW w:w="34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165,757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239,910</w:t>
            </w: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(30.9)%</w:t>
            </w:r>
          </w:p>
        </w:tc>
        <w:tc>
          <w:tcPr>
            <w:tcW w:w="4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300,411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447,651</w:t>
            </w:r>
          </w:p>
        </w:tc>
        <w:tc>
          <w:tcPr>
            <w:tcW w:w="1140" w:type="dxa"/>
            <w:vAlign w:val="bottom"/>
            <w:gridSpan w:val="2"/>
          </w:tcPr>
          <w:p>
            <w:pPr>
              <w:jc w:val="right"/>
              <w:spacing w:after="0"/>
              <w:rPr>
                <w:sz w:val="20"/>
                <w:szCs w:val="20"/>
                <w:color w:val="auto"/>
              </w:rPr>
            </w:pPr>
            <w:r>
              <w:rPr>
                <w:rFonts w:ascii="Arial" w:cs="Arial" w:eastAsia="Arial" w:hAnsi="Arial"/>
                <w:sz w:val="18"/>
                <w:szCs w:val="18"/>
                <w:i w:val="1"/>
                <w:iCs w:val="1"/>
                <w:color w:val="auto"/>
              </w:rPr>
              <w:t>(32.9)%</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20"/>
              <w:spacing w:after="0"/>
              <w:rPr>
                <w:sz w:val="20"/>
                <w:szCs w:val="20"/>
                <w:color w:val="auto"/>
              </w:rPr>
            </w:pPr>
            <w:r>
              <w:rPr>
                <w:rFonts w:ascii="Arial" w:cs="Arial" w:eastAsia="Arial" w:hAnsi="Arial"/>
                <w:sz w:val="18"/>
                <w:szCs w:val="18"/>
                <w:color w:val="auto"/>
              </w:rPr>
              <w:t>Excess and Surplus Lines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100,849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150,921</w:t>
            </w: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(33.2)%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200,588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292,593</w:t>
            </w:r>
          </w:p>
        </w:tc>
        <w:tc>
          <w:tcPr>
            <w:tcW w:w="1140" w:type="dxa"/>
            <w:vAlign w:val="bottom"/>
            <w:gridSpan w:val="2"/>
          </w:tcPr>
          <w:p>
            <w:pPr>
              <w:jc w:val="right"/>
              <w:spacing w:after="0"/>
              <w:rPr>
                <w:sz w:val="20"/>
                <w:szCs w:val="20"/>
                <w:color w:val="auto"/>
              </w:rPr>
            </w:pPr>
            <w:r>
              <w:rPr>
                <w:rFonts w:ascii="Arial" w:cs="Arial" w:eastAsia="Arial" w:hAnsi="Arial"/>
                <w:sz w:val="18"/>
                <w:szCs w:val="18"/>
                <w:i w:val="1"/>
                <w:iCs w:val="1"/>
                <w:color w:val="auto"/>
              </w:rPr>
              <w:t>(31.4)%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Specialty Admitted Insurance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14,392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13,086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10.0 %</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27,675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25,446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8.8 %</w:t>
            </w:r>
          </w:p>
        </w:tc>
        <w:tc>
          <w:tcPr>
            <w:tcW w:w="0" w:type="dxa"/>
            <w:vAlign w:val="bottom"/>
          </w:tcPr>
          <w:p>
            <w:pPr>
              <w:spacing w:after="0"/>
              <w:rPr>
                <w:sz w:val="1"/>
                <w:szCs w:val="1"/>
                <w:color w:val="auto"/>
              </w:rPr>
            </w:pPr>
          </w:p>
        </w:tc>
      </w:tr>
      <w:tr>
        <w:trPr>
          <w:trHeight w:val="243"/>
        </w:trPr>
        <w:tc>
          <w:tcPr>
            <w:tcW w:w="3460" w:type="dxa"/>
            <w:vAlign w:val="bottom"/>
          </w:tcPr>
          <w:p>
            <w:pPr>
              <w:ind w:left="120"/>
              <w:spacing w:after="0"/>
              <w:rPr>
                <w:sz w:val="20"/>
                <w:szCs w:val="20"/>
                <w:color w:val="auto"/>
              </w:rPr>
            </w:pPr>
            <w:r>
              <w:rPr>
                <w:rFonts w:ascii="Arial" w:cs="Arial" w:eastAsia="Arial" w:hAnsi="Arial"/>
                <w:sz w:val="18"/>
                <w:szCs w:val="18"/>
                <w:color w:val="auto"/>
              </w:rPr>
              <w:t>Casualty Reinsurance</w:t>
            </w:r>
          </w:p>
        </w:tc>
        <w:tc>
          <w:tcPr>
            <w:tcW w:w="32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33,574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35,107</w:t>
            </w: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(4.4)%</w:t>
            </w:r>
          </w:p>
        </w:tc>
        <w:tc>
          <w:tcPr>
            <w:tcW w:w="42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66,470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71,227</w:t>
            </w:r>
          </w:p>
        </w:tc>
        <w:tc>
          <w:tcPr>
            <w:tcW w:w="1140" w:type="dxa"/>
            <w:vAlign w:val="bottom"/>
            <w:gridSpan w:val="2"/>
          </w:tcPr>
          <w:p>
            <w:pPr>
              <w:jc w:val="right"/>
              <w:spacing w:after="0"/>
              <w:rPr>
                <w:sz w:val="20"/>
                <w:szCs w:val="20"/>
                <w:color w:val="auto"/>
              </w:rPr>
            </w:pPr>
            <w:r>
              <w:rPr>
                <w:rFonts w:ascii="Arial" w:cs="Arial" w:eastAsia="Arial" w:hAnsi="Arial"/>
                <w:sz w:val="18"/>
                <w:szCs w:val="18"/>
                <w:i w:val="1"/>
                <w:iCs w:val="1"/>
                <w:color w:val="auto"/>
              </w:rPr>
              <w:t>(6.7)%</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4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148,815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199,114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(25.3)%</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294,733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389,266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(24.3)%</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Gross written premiums for the Excess and Surplus Lines segment (which represents 55.2% of our consolidated gross written premiums in the six months ended June 30, 2020) decreased 28.2% and 27.7% from the corresponding three and six month periods in the prior year, respectively. The decrease was largely due to the termination of the Rasier commercial auto business in the fourth quarter of 2019. On October 8, 2019, the Company delivered a notice of early cancellation, effective December 31, 2019, of all insurance policies issued to its largest customer, Rasier. A majority of the insurance policies were due to expire on February 29, 2020. The significant decline in gross written premium for the Commercial Auto underwriting division in the three and six month periods ended June 30, 2020 from the three and six month periods ended June 30, 2019 is a result of the Rasier cancellation. Excluding commercial auto policies, gross written premiums increased 17.8% and 25.1% over the corresponding three and six month periods in the prior year, respectively. Policy submissions excluding commercial auto policies were 16.0% higher and 17.9% more policies were bound in the six months ended June 30, 2020 than in the six months ended June 30, 2019. Renewal rates for the Excess and Surplus Lines segment excluding commercial auto were up 17.1% compared to the six months ended June 30, 2019. The change in gross written premiums compared to the same periods in 2019 was notable in several divisions as shown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8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2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Six Months Ended</w:t>
            </w:r>
          </w:p>
        </w:tc>
        <w:tc>
          <w:tcPr>
            <w:tcW w:w="114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4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1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1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Casualty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49,594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31,476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57.6 %</w:t>
            </w:r>
          </w:p>
        </w:tc>
        <w:tc>
          <w:tcPr>
            <w:tcW w:w="58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83,801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46,646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79.7 %</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General Casualty</w:t>
            </w:r>
          </w:p>
        </w:tc>
        <w:tc>
          <w:tcPr>
            <w:tcW w:w="32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41,169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43,697</w:t>
            </w: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66,891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64,980</w:t>
            </w: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2.9 %</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Manufacturers &amp; Contractors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31,715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28,026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13.2 %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60,045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51,537</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16.5 %</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Energy</w:t>
            </w:r>
          </w:p>
        </w:tc>
        <w:tc>
          <w:tcPr>
            <w:tcW w:w="32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10,083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10,712</w:t>
            </w: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(5.9)%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21,002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17,119</w:t>
            </w: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22.7 %</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Property</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14,064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12,483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12.7 %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20,083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17,260</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16.4 %</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Allied Health</w:t>
            </w:r>
          </w:p>
        </w:tc>
        <w:tc>
          <w:tcPr>
            <w:tcW w:w="32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8,977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5,377</w:t>
            </w: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67.0 %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14,426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14,633</w:t>
            </w: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Life Sciences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7,706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6,263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23.0 %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14,145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10,204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38.6 %</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Small Business</w:t>
            </w:r>
          </w:p>
        </w:tc>
        <w:tc>
          <w:tcPr>
            <w:tcW w:w="32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6,481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5,066</w:t>
            </w: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27.9 %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12,110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9,548</w:t>
            </w: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26.8 %</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 Core E&amp;S divisions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10,117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9,634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5.0 %</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16,865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15,354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9.8 %</w:t>
            </w:r>
          </w:p>
        </w:tc>
        <w:tc>
          <w:tcPr>
            <w:tcW w:w="0" w:type="dxa"/>
            <w:vAlign w:val="bottom"/>
          </w:tcPr>
          <w:p>
            <w:pPr>
              <w:spacing w:after="0"/>
              <w:rPr>
                <w:sz w:val="1"/>
                <w:szCs w:val="1"/>
                <w:color w:val="auto"/>
              </w:rPr>
            </w:pPr>
          </w:p>
        </w:tc>
      </w:tr>
      <w:tr>
        <w:trPr>
          <w:trHeight w:val="236"/>
        </w:trPr>
        <w:tc>
          <w:tcPr>
            <w:tcW w:w="3460" w:type="dxa"/>
            <w:vAlign w:val="bottom"/>
          </w:tcPr>
          <w:p>
            <w:pPr>
              <w:ind w:left="20"/>
              <w:spacing w:after="0"/>
              <w:rPr>
                <w:sz w:val="20"/>
                <w:szCs w:val="20"/>
                <w:color w:val="auto"/>
              </w:rPr>
            </w:pPr>
            <w:r>
              <w:rPr>
                <w:rFonts w:ascii="Arial" w:cs="Arial" w:eastAsia="Arial" w:hAnsi="Arial"/>
                <w:sz w:val="18"/>
                <w:szCs w:val="18"/>
                <w:color w:val="auto"/>
              </w:rPr>
              <w:t>Total Core E&amp;S divisions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179,906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152,734</w:t>
            </w: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17.8 %</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8"/>
              </w:rPr>
              <w:t>309,368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247,281</w:t>
            </w: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25.1 %</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Auto</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7,088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107,543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(93.4)%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13,823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199,545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(93.1)%</w:t>
            </w:r>
          </w:p>
        </w:tc>
        <w:tc>
          <w:tcPr>
            <w:tcW w:w="0" w:type="dxa"/>
            <w:vAlign w:val="bottom"/>
          </w:tcPr>
          <w:p>
            <w:pPr>
              <w:spacing w:after="0"/>
              <w:rPr>
                <w:sz w:val="1"/>
                <w:szCs w:val="1"/>
                <w:color w:val="auto"/>
              </w:rPr>
            </w:pPr>
          </w:p>
        </w:tc>
      </w:tr>
      <w:tr>
        <w:trPr>
          <w:trHeight w:val="209"/>
        </w:trPr>
        <w:tc>
          <w:tcPr>
            <w:tcW w:w="3460" w:type="dxa"/>
            <w:vAlign w:val="bottom"/>
          </w:tcPr>
          <w:p>
            <w:pPr>
              <w:ind w:left="20"/>
              <w:spacing w:after="0"/>
              <w:rPr>
                <w:sz w:val="20"/>
                <w:szCs w:val="20"/>
                <w:color w:val="auto"/>
              </w:rPr>
            </w:pPr>
            <w:r>
              <w:rPr>
                <w:rFonts w:ascii="Arial" w:cs="Arial" w:eastAsia="Arial" w:hAnsi="Arial"/>
                <w:sz w:val="18"/>
                <w:szCs w:val="18"/>
                <w:color w:val="auto"/>
              </w:rPr>
              <w:t>Excess and Surplus Lines gross written</w:t>
            </w: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8"/>
                <w:szCs w:val="18"/>
                <w:color w:val="auto"/>
              </w:rPr>
              <w:t>186,994</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8"/>
                <w:szCs w:val="18"/>
                <w:color w:val="auto"/>
              </w:rPr>
              <w:t>260,277</w:t>
            </w:r>
          </w:p>
        </w:tc>
        <w:tc>
          <w:tcPr>
            <w:tcW w:w="114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4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8"/>
                <w:szCs w:val="18"/>
                <w:color w:val="auto"/>
                <w:w w:val="98"/>
              </w:rPr>
              <w:t>323,191</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8"/>
                <w:szCs w:val="18"/>
                <w:color w:val="auto"/>
              </w:rPr>
              <w:t>446,826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460" w:type="dxa"/>
            <w:vAlign w:val="bottom"/>
          </w:tcPr>
          <w:p>
            <w:pPr>
              <w:ind w:left="20"/>
              <w:spacing w:after="0"/>
              <w:rPr>
                <w:sz w:val="20"/>
                <w:szCs w:val="20"/>
                <w:color w:val="auto"/>
              </w:rPr>
            </w:pPr>
            <w:r>
              <w:rPr>
                <w:rFonts w:ascii="Arial" w:cs="Arial" w:eastAsia="Arial" w:hAnsi="Arial"/>
                <w:sz w:val="18"/>
                <w:szCs w:val="18"/>
                <w:color w:val="auto"/>
              </w:rPr>
              <w:t>premium</w:t>
            </w:r>
          </w:p>
        </w:tc>
        <w:tc>
          <w:tcPr>
            <w:tcW w:w="32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(28.2)%</w:t>
            </w:r>
          </w:p>
        </w:tc>
        <w:tc>
          <w:tcPr>
            <w:tcW w:w="10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(27.7)%</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gross written premiums for the Specialty Admitted Insurance segment (which represents 32.7% of our consolidated gross written premiums for the six months ended June 30, 2020)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2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Six Months Ended</w:t>
            </w:r>
          </w:p>
        </w:tc>
        <w:tc>
          <w:tcPr>
            <w:tcW w:w="114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1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20" w:type="dxa"/>
            <w:vAlign w:val="bottom"/>
            <w:gridSpan w:val="3"/>
          </w:tcPr>
          <w:p>
            <w:pPr>
              <w:jc w:val="right"/>
              <w:ind w:right="40"/>
              <w:spacing w:after="0"/>
              <w:rPr>
                <w:sz w:val="20"/>
                <w:szCs w:val="20"/>
                <w:color w:val="auto"/>
              </w:rPr>
            </w:pPr>
            <w:r>
              <w:rPr>
                <w:rFonts w:ascii="Arial" w:cs="Arial" w:eastAsia="Arial" w:hAnsi="Arial"/>
                <w:sz w:val="14"/>
                <w:szCs w:val="14"/>
                <w:b w:val="1"/>
                <w:bCs w:val="1"/>
                <w:i w:val="1"/>
                <w:iCs w:val="1"/>
                <w:color w:val="auto"/>
              </w:rPr>
              <w:t>($ in thousands)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Individual risk workers’ compensation</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premium</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16,157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15,988</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1.1 %</w:t>
            </w:r>
          </w:p>
        </w:tc>
        <w:tc>
          <w:tcPr>
            <w:tcW w:w="5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33,637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32,981</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2.0 %</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Fronting and program premium</w:t>
            </w:r>
          </w:p>
        </w:tc>
        <w:tc>
          <w:tcPr>
            <w:tcW w:w="3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72,283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73,484</w:t>
            </w: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79"/>
              <w:spacing w:after="0"/>
              <w:rPr>
                <w:sz w:val="20"/>
                <w:szCs w:val="20"/>
                <w:color w:val="auto"/>
              </w:rPr>
            </w:pPr>
            <w:r>
              <w:rPr>
                <w:rFonts w:ascii="Arial" w:cs="Arial" w:eastAsia="Arial" w:hAnsi="Arial"/>
                <w:sz w:val="18"/>
                <w:szCs w:val="18"/>
                <w:color w:val="auto"/>
                <w:w w:val="98"/>
              </w:rPr>
              <w:t>157,605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159,444</w:t>
            </w: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(1.2)%</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Specialty Admitted gross written premium</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88,440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89,472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w:t>
            </w:r>
          </w:p>
        </w:tc>
        <w:tc>
          <w:tcPr>
            <w:tcW w:w="58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98"/>
              </w:rPr>
              <w:t>191,242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192,425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(0.6)%</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largest fronting relationship produced $30.1 million and $62.8 million of gross written premium for the three and six months ended June 30, 2020, respectively, down from $37.5 million and $77.7 million for the three and six months ended June 30, 2019 and representing 32.8% of the segment's gross written premium in the six months ended June 30, 2020 down from 40.4% in the six months ended June 30, 2019. The declines for our largest fronting relationship were largely offset by gains in other fronting business including two new fronting relationships that generated $13.9 million and $20.6 million of gross written premium in the three and six months ended June 30, 2020 (none in the comparable three and six month periods of the prior year).</w:t>
      </w:r>
    </w:p>
    <w:p>
      <w:pPr>
        <w:spacing w:after="0" w:line="5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Gross written premiums for the Casualty Reinsurance segment (which represents 12.1% of our consolidated gross written premiums in the first six months of 2020) decreased 13.4% and increased 4.3% from the corresponding three and six month periods in the prior year, respectively. The Casualty Reinsurance segment generally writes large casualty-focused treaties that are expected to have lower volatility relative to property and catastrophe treaties. We rarely write stand-alone property reinsurance. When treaties that include property exposure are written, we utilize property occurrence caps, inuring reinsurance protection and low individual risk limits to minimize exposure.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Retention</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ratio of net written premiums to gross written premiums is referred to as our net premium retention. Our net premium retention is summarized by segment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600" w:type="dxa"/>
            <w:vAlign w:val="bottom"/>
            <w:gridSpan w:val="5"/>
          </w:tcPr>
          <w:p>
            <w:pPr>
              <w:jc w:val="center"/>
              <w:ind w:left="136"/>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center"/>
              <w:ind w:left="756"/>
              <w:spacing w:after="0"/>
              <w:rPr>
                <w:sz w:val="20"/>
                <w:szCs w:val="20"/>
                <w:color w:val="auto"/>
              </w:rPr>
            </w:pPr>
            <w:r>
              <w:rPr>
                <w:rFonts w:ascii="Arial" w:cs="Arial" w:eastAsia="Arial" w:hAnsi="Arial"/>
                <w:sz w:val="14"/>
                <w:szCs w:val="14"/>
                <w:b w:val="1"/>
                <w:bCs w:val="1"/>
                <w:color w:val="auto"/>
                <w:w w:val="93"/>
              </w:rPr>
              <w:t>Six Months Ended</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92"/>
        </w:trPr>
        <w:tc>
          <w:tcPr>
            <w:tcW w:w="55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55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7"/>
                <w:szCs w:val="17"/>
                <w:color w:val="auto"/>
              </w:rPr>
            </w:pPr>
          </w:p>
        </w:tc>
      </w:tr>
      <w:tr>
        <w:trPr>
          <w:trHeight w:val="249"/>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1140" w:type="dxa"/>
            <w:vAlign w:val="bottom"/>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55.0 %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63.1 %</w:t>
            </w:r>
          </w:p>
        </w:tc>
        <w:tc>
          <w:tcPr>
            <w:tcW w:w="10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51.3 %</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63.3 %</w:t>
            </w: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net premium retention for the Excess and Surplus Lines segment decreased for the three and six months ended June 30, 2020 as compared to the prior year periods due to growth in written premium in the Excess Casualty and Excess Property underwriting divisions, which have higher percentages of ceded premium than our other divisions. Additionally, the net premium retention for the Commercial Auto underwriting division is much higher than the net premium retention for the other underwriting divisions in the Excess and Surplus Lines segment, and the Company terminated its largest Commercial Auto customer, Rasier, effective December 31, 2019.</w:t>
      </w:r>
    </w:p>
    <w:p>
      <w:pPr>
        <w:spacing w:after="0" w:line="80"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net premium retention for the Specialty Admitted Insurance segment declined for the three and six months ended June 30, 2020 as compared to the respective periods in the prior year. The net retention on the individual risk workers’ compensation business was 30.5% and 29.9% for the three and six months ended June 30, 2020, respectively (44.5% and 44.5% for the three and six months ended June 30, 2019, respectively), reflecting an increase in the percentage of premiums ceded under a third-party quota share reinsurance treaty from 50% in 2019 to 70% in 2020. The net retention on the segment’s fronting business was 10.8% and 10.2% for the three and six months ended June 30, 2020, respectively (9.4% and 9.0% for the three and six months ended June 30, 2019, respectively).</w:t>
      </w:r>
    </w:p>
    <w:p>
      <w:pPr>
        <w:spacing w:after="0" w:line="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net premium retention for the Casualty Reinsurance segment decreased for the six months ended June 30, 2020 as compared to the prior year period due to the change in renewal date of a retrocessional treaty/fronting arrangement under which 100% of the premiums are ceded. Ceded written premiums under the treaty were $15.8 million in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Results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compares our combined ratios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600" w:type="dxa"/>
            <w:vAlign w:val="bottom"/>
            <w:gridSpan w:val="5"/>
          </w:tcPr>
          <w:p>
            <w:pPr>
              <w:jc w:val="center"/>
              <w:ind w:left="136"/>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center"/>
              <w:ind w:left="756"/>
              <w:spacing w:after="0"/>
              <w:rPr>
                <w:sz w:val="20"/>
                <w:szCs w:val="20"/>
                <w:color w:val="auto"/>
              </w:rPr>
            </w:pPr>
            <w:r>
              <w:rPr>
                <w:rFonts w:ascii="Arial" w:cs="Arial" w:eastAsia="Arial" w:hAnsi="Arial"/>
                <w:sz w:val="14"/>
                <w:szCs w:val="14"/>
                <w:b w:val="1"/>
                <w:bCs w:val="1"/>
                <w:color w:val="auto"/>
                <w:w w:val="93"/>
              </w:rPr>
              <w:t>Six Months Ended</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92"/>
        </w:trPr>
        <w:tc>
          <w:tcPr>
            <w:tcW w:w="55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55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7"/>
                <w:szCs w:val="17"/>
                <w:color w:val="auto"/>
              </w:rPr>
            </w:pPr>
          </w:p>
        </w:tc>
      </w:tr>
      <w:tr>
        <w:trPr>
          <w:trHeight w:val="249"/>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1140" w:type="dxa"/>
            <w:vAlign w:val="bottom"/>
          </w:tcPr>
          <w:p>
            <w:pPr>
              <w:jc w:val="right"/>
              <w:spacing w:after="0"/>
              <w:rPr>
                <w:sz w:val="20"/>
                <w:szCs w:val="20"/>
                <w:color w:val="auto"/>
              </w:rPr>
            </w:pPr>
            <w:r>
              <w:rPr>
                <w:rFonts w:ascii="Arial" w:cs="Arial" w:eastAsia="Arial" w:hAnsi="Arial"/>
                <w:sz w:val="18"/>
                <w:szCs w:val="18"/>
                <w:color w:val="auto"/>
              </w:rPr>
              <w:t>90.1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95.0 %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95.2 %</w:t>
            </w:r>
          </w:p>
        </w:tc>
        <w:tc>
          <w:tcPr>
            <w:tcW w:w="10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97.8 %</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95.7 %</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 and Surplus Lines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for the Excess and Surplus Lines segment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gridSpan w:val="5"/>
          </w:tcPr>
          <w:p>
            <w:pPr>
              <w:jc w:val="right"/>
              <w:ind w:right="492"/>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22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2180" w:type="dxa"/>
            <w:vAlign w:val="bottom"/>
            <w:gridSpan w:val="5"/>
          </w:tcPr>
          <w:p>
            <w:pPr>
              <w:jc w:val="right"/>
              <w:ind w:right="572"/>
              <w:spacing w:after="0"/>
              <w:rPr>
                <w:sz w:val="20"/>
                <w:szCs w:val="20"/>
                <w:color w:val="auto"/>
              </w:rPr>
            </w:pPr>
            <w:r>
              <w:rPr>
                <w:rFonts w:ascii="Arial" w:cs="Arial" w:eastAsia="Arial" w:hAnsi="Arial"/>
                <w:sz w:val="14"/>
                <w:szCs w:val="14"/>
                <w:b w:val="1"/>
                <w:bCs w:val="1"/>
                <w:color w:val="auto"/>
              </w:rPr>
              <w:t>Six Months Ended</w:t>
            </w:r>
          </w:p>
        </w:tc>
        <w:tc>
          <w:tcPr>
            <w:tcW w:w="1300" w:type="dxa"/>
            <w:vAlign w:val="bottom"/>
            <w:gridSpan w:val="2"/>
            <w:vMerge w:val="restart"/>
          </w:tcPr>
          <w:p>
            <w:pPr>
              <w:jc w:val="right"/>
              <w:ind w:right="3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Change</w:t>
            </w:r>
          </w:p>
        </w:tc>
        <w:tc>
          <w:tcPr>
            <w:tcW w:w="4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186,994</w:t>
            </w:r>
          </w:p>
        </w:tc>
        <w:tc>
          <w:tcPr>
            <w:tcW w:w="1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260,277</w:t>
            </w:r>
          </w:p>
        </w:tc>
        <w:tc>
          <w:tcPr>
            <w:tcW w:w="1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(28.2)%</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323,191</w:t>
            </w:r>
          </w:p>
        </w:tc>
        <w:tc>
          <w:tcPr>
            <w:tcW w:w="1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446,826</w:t>
            </w:r>
          </w:p>
        </w:tc>
        <w:tc>
          <w:tcPr>
            <w:tcW w:w="1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Pr>
          <w:p>
            <w:pPr>
              <w:ind w:left="20"/>
              <w:spacing w:after="0"/>
              <w:rPr>
                <w:sz w:val="20"/>
                <w:szCs w:val="20"/>
                <w:color w:val="auto"/>
              </w:rPr>
            </w:pPr>
            <w:r>
              <w:rPr>
                <w:rFonts w:ascii="Arial" w:cs="Arial" w:eastAsia="Arial" w:hAnsi="Arial"/>
                <w:sz w:val="18"/>
                <w:szCs w:val="18"/>
                <w:color w:val="auto"/>
              </w:rPr>
              <w:t>Net written premiums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126,814</w:t>
            </w:r>
          </w:p>
        </w:tc>
        <w:tc>
          <w:tcPr>
            <w:tcW w:w="6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195,624</w:t>
            </w:r>
          </w:p>
        </w:tc>
        <w:tc>
          <w:tcPr>
            <w:tcW w:w="180" w:type="dxa"/>
            <w:vAlign w:val="bottom"/>
          </w:tcPr>
          <w:p>
            <w:pPr>
              <w:spacing w:after="0"/>
              <w:rPr>
                <w:sz w:val="21"/>
                <w:szCs w:val="21"/>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i w:val="1"/>
                <w:iCs w:val="1"/>
                <w:color w:val="auto"/>
              </w:rPr>
              <w:t>(35.2)%</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219,020</w:t>
            </w:r>
          </w:p>
        </w:tc>
        <w:tc>
          <w:tcPr>
            <w:tcW w:w="6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350,485</w:t>
            </w:r>
          </w:p>
        </w:tc>
        <w:tc>
          <w:tcPr>
            <w:tcW w:w="1300" w:type="dxa"/>
            <w:vAlign w:val="bottom"/>
            <w:gridSpan w:val="2"/>
          </w:tcPr>
          <w:p>
            <w:pPr>
              <w:jc w:val="right"/>
              <w:spacing w:after="0"/>
              <w:rPr>
                <w:sz w:val="20"/>
                <w:szCs w:val="20"/>
                <w:color w:val="auto"/>
              </w:rPr>
            </w:pPr>
            <w:r>
              <w:rPr>
                <w:rFonts w:ascii="Arial" w:cs="Arial" w:eastAsia="Arial" w:hAnsi="Arial"/>
                <w:sz w:val="18"/>
                <w:szCs w:val="18"/>
                <w:i w:val="1"/>
                <w:iCs w:val="1"/>
                <w:color w:val="auto"/>
              </w:rPr>
              <w:t>(37.5)%</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100,849</w:t>
            </w:r>
          </w:p>
        </w:tc>
        <w:tc>
          <w:tcPr>
            <w:tcW w:w="6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150,921</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(33.2)%</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200,588</w:t>
            </w:r>
          </w:p>
        </w:tc>
        <w:tc>
          <w:tcPr>
            <w:tcW w:w="6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292,593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(31.4)%</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(63,410)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(115,637)</w:t>
            </w:r>
          </w:p>
        </w:tc>
        <w:tc>
          <w:tcPr>
            <w:tcW w:w="180" w:type="dxa"/>
            <w:vAlign w:val="bottom"/>
          </w:tcPr>
          <w:p>
            <w:pPr>
              <w:spacing w:after="0"/>
              <w:rPr>
                <w:sz w:val="21"/>
                <w:szCs w:val="21"/>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i w:val="1"/>
                <w:iCs w:val="1"/>
                <w:color w:val="auto"/>
              </w:rPr>
              <w:t>(45.2)%</w:t>
            </w: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0"/>
              </w:rPr>
              <w:t>(128,939)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(223,842)</w:t>
            </w:r>
          </w:p>
        </w:tc>
        <w:tc>
          <w:tcPr>
            <w:tcW w:w="1300" w:type="dxa"/>
            <w:vAlign w:val="bottom"/>
            <w:gridSpan w:val="2"/>
          </w:tcPr>
          <w:p>
            <w:pPr>
              <w:jc w:val="right"/>
              <w:spacing w:after="0"/>
              <w:rPr>
                <w:sz w:val="20"/>
                <w:szCs w:val="20"/>
                <w:color w:val="auto"/>
              </w:rPr>
            </w:pPr>
            <w:r>
              <w:rPr>
                <w:rFonts w:ascii="Arial" w:cs="Arial" w:eastAsia="Arial" w:hAnsi="Arial"/>
                <w:sz w:val="18"/>
                <w:szCs w:val="18"/>
                <w:i w:val="1"/>
                <w:iCs w:val="1"/>
                <w:color w:val="auto"/>
              </w:rPr>
              <w:t>(42.4)%</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(21,344)</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(19,474)</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9.6 %</w:t>
            </w:r>
          </w:p>
        </w:tc>
        <w:tc>
          <w:tcPr>
            <w:tcW w:w="4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(47,442)</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(39,839)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19.1 %</w:t>
            </w:r>
          </w:p>
        </w:tc>
        <w:tc>
          <w:tcPr>
            <w:tcW w:w="0" w:type="dxa"/>
            <w:vAlign w:val="bottom"/>
          </w:tcPr>
          <w:p>
            <w:pPr>
              <w:spacing w:after="0"/>
              <w:rPr>
                <w:sz w:val="1"/>
                <w:szCs w:val="1"/>
                <w:color w:val="auto"/>
              </w:rPr>
            </w:pPr>
          </w:p>
        </w:tc>
      </w:tr>
      <w:tr>
        <w:trPr>
          <w:trHeight w:val="263"/>
        </w:trPr>
        <w:tc>
          <w:tcPr>
            <w:tcW w:w="3280" w:type="dxa"/>
            <w:vAlign w:val="bottom"/>
          </w:tcPr>
          <w:p>
            <w:pPr>
              <w:ind w:left="2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i w:val="1"/>
                <w:iCs w:val="1"/>
                <w:color w:val="auto"/>
              </w:rPr>
              <w:t>(1), (2)</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16,095</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15,810</w:t>
            </w:r>
          </w:p>
        </w:tc>
        <w:tc>
          <w:tcPr>
            <w:tcW w:w="180" w:type="dxa"/>
            <w:vAlign w:val="bottom"/>
            <w:tcBorders>
              <w:top w:val="single" w:sz="8" w:color="auto"/>
              <w:bottom w:val="single" w:sz="8" w:color="auto"/>
            </w:tcBorders>
          </w:tcPr>
          <w:p>
            <w:pPr>
              <w:spacing w:after="0"/>
              <w:rPr>
                <w:sz w:val="22"/>
                <w:szCs w:val="22"/>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i w:val="1"/>
                <w:iCs w:val="1"/>
                <w:color w:val="auto"/>
              </w:rPr>
              <w:t>1.8 %</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24,207</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28,912</w:t>
            </w:r>
          </w:p>
        </w:tc>
        <w:tc>
          <w:tcPr>
            <w:tcW w:w="180" w:type="dxa"/>
            <w:vAlign w:val="bottom"/>
            <w:tcBorders>
              <w:top w:val="single" w:sz="8" w:color="auto"/>
              <w:bottom w:val="single" w:sz="8" w:color="auto"/>
            </w:tcBorders>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(16.3)%</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Ratios: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120"/>
              <w:spacing w:after="0"/>
              <w:rPr>
                <w:sz w:val="20"/>
                <w:szCs w:val="20"/>
                <w:color w:val="auto"/>
              </w:rPr>
            </w:pPr>
            <w:r>
              <w:rPr>
                <w:rFonts w:ascii="Arial" w:cs="Arial" w:eastAsia="Arial" w:hAnsi="Arial"/>
                <w:sz w:val="18"/>
                <w:szCs w:val="18"/>
                <w:color w:val="auto"/>
              </w:rPr>
              <w:t>Loss ratio</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Expense ratio</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120"/>
              <w:spacing w:after="0"/>
              <w:rPr>
                <w:sz w:val="20"/>
                <w:szCs w:val="20"/>
                <w:color w:val="auto"/>
              </w:rPr>
            </w:pPr>
            <w:r>
              <w:rPr>
                <w:rFonts w:ascii="Arial" w:cs="Arial" w:eastAsia="Arial" w:hAnsi="Arial"/>
                <w:sz w:val="18"/>
                <w:szCs w:val="18"/>
                <w:color w:val="auto"/>
              </w:rPr>
              <w:t>Combined ratio</w:t>
            </w:r>
          </w:p>
        </w:tc>
        <w:tc>
          <w:tcPr>
            <w:tcW w:w="3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84.0 %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89.5 %</w:t>
            </w:r>
          </w:p>
        </w:tc>
        <w:tc>
          <w:tcPr>
            <w:tcW w:w="1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87.9 %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90.1 %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400" w:hanging="328"/>
        <w:spacing w:after="0" w:line="258" w:lineRule="auto"/>
        <w:tabs>
          <w:tab w:leader="none" w:pos="654"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1" w:lineRule="exact"/>
        <w:rPr>
          <w:rFonts w:ascii="Arial" w:cs="Arial" w:eastAsia="Arial" w:hAnsi="Arial"/>
          <w:sz w:val="18"/>
          <w:szCs w:val="18"/>
          <w:i w:val="1"/>
          <w:iCs w:val="1"/>
          <w:color w:val="auto"/>
        </w:rPr>
      </w:pPr>
    </w:p>
    <w:p>
      <w:pPr>
        <w:ind w:left="660" w:right="180" w:hanging="328"/>
        <w:spacing w:after="0" w:line="250" w:lineRule="auto"/>
        <w:tabs>
          <w:tab w:leader="none" w:pos="654"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results include gross fee income of $296,000 and $1.6 million for the three and six months ended June 30, 2020, respectively ($2.3 million and $5.0 million for the same periods in the prior year).</w:t>
      </w:r>
    </w:p>
    <w:p>
      <w:pPr>
        <w:spacing w:after="0" w:line="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color w:val="auto"/>
        </w:rPr>
        <w:t>The loss ratios of 62.9% and 64.3% for the three and six months ended June 30, 2020 include $2.8 million and $2.9 million (2.8 and 1.4 percentage points), respectively, of net favorable reserve development in our loss estimates for prior accident years. The loss ratios of 76.6% and 76.5% for the three and six months ended June 30, 2019 each include $1.2 million (0.8 and 0.4 percentage points, respectively) of net adverse reserve development in our loss estimates for prior accident years. The lower current year loss ratios in this segment also reflect the termination of the Rasier commercial auto business effective December 31, 2019 (the Rasier business carried higher loss ratios, but lower expense ratios).</w:t>
      </w:r>
    </w:p>
    <w:p>
      <w:pPr>
        <w:spacing w:after="0" w:line="72"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6"/>
          <w:szCs w:val="16"/>
          <w:color w:val="auto"/>
        </w:rPr>
        <w:t>The expense ratio for this segment increased from 12.9% and 13.6% for the three and six months ended June 30, 2019, respectively, to 21.1% and 23.6% for the three and six months ended June 30, 2020, respectively, due to the termination of the Rasier commercial auto business effective December 31, 2019 (the Rasier business carried higher loss ratios, but lower expense ratios). This was partially offset by increases of 31.4% and 38.9%, respectively, in the Core E&amp;S net earned premiums of the Excess and Surplus Lines segment including in lines that have meaningful ceding commissions. Commercial auto made up 7.8% and 7.9% of the segment’s net earned premiums for the three and six months ended June 30, 2020, respectively, down from 53.1% and 54.6% in the respective prior year periods. Gross fee income contributed to a reduction in the expense ratio of 0.3 and 0.8 percentage points for the three and six months ended June 30, 2020, respectively (1.5 and 1.7 percentage points for the same periods in the prior year).</w:t>
      </w:r>
    </w:p>
    <w:p>
      <w:pPr>
        <w:spacing w:after="0" w:line="5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a result of the items discussed above, the underwriting profit of the Excess and Surplus Lines segment increased 1.8% and decreased 16.3% for the three and six months ended June 30, 2020, respectively (from $15.8 million and $28.9 million for the three and six months ended June 30, 2019, respectively, to $16.1 million and $24.2 million for the three and six months ended June 30, 2020, respectively).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Specialty Admitted Insurance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for the Specialty Admitted Insurance segment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gridSpan w:val="5"/>
          </w:tcPr>
          <w:p>
            <w:pPr>
              <w:jc w:val="right"/>
              <w:ind w:right="472"/>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24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Pr>
          <w:p>
            <w:pPr>
              <w:spacing w:after="0"/>
              <w:rPr>
                <w:sz w:val="14"/>
                <w:szCs w:val="14"/>
                <w:color w:val="auto"/>
              </w:rPr>
            </w:pPr>
          </w:p>
        </w:tc>
        <w:tc>
          <w:tcPr>
            <w:tcW w:w="1300" w:type="dxa"/>
            <w:vAlign w:val="bottom"/>
            <w:gridSpan w:val="2"/>
            <w:vMerge w:val="restart"/>
          </w:tcPr>
          <w:p>
            <w:pPr>
              <w:jc w:val="right"/>
              <w:ind w:right="3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3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Change</w:t>
            </w:r>
          </w:p>
        </w:tc>
        <w:tc>
          <w:tcPr>
            <w:tcW w:w="4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83"/>
              </w:rPr>
              <w:t>2019</w:t>
            </w:r>
          </w:p>
        </w:tc>
        <w:tc>
          <w:tcPr>
            <w:tcW w:w="180" w:type="dxa"/>
            <w:vAlign w:val="bottom"/>
            <w:tcBorders>
              <w:top w:val="single" w:sz="8" w:color="auto"/>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88,440</w:t>
            </w:r>
          </w:p>
        </w:tc>
        <w:tc>
          <w:tcPr>
            <w:tcW w:w="1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89,472</w:t>
            </w:r>
          </w:p>
        </w:tc>
        <w:tc>
          <w:tcPr>
            <w:tcW w:w="1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(1.2)%</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191,242</w:t>
            </w:r>
          </w:p>
        </w:tc>
        <w:tc>
          <w:tcPr>
            <w:tcW w:w="1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192,425</w:t>
            </w:r>
          </w:p>
        </w:tc>
        <w:tc>
          <w:tcPr>
            <w:tcW w:w="1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300" w:type="dxa"/>
            <w:vAlign w:val="bottom"/>
          </w:tcPr>
          <w:p>
            <w:pPr>
              <w:ind w:left="20"/>
              <w:spacing w:after="0"/>
              <w:rPr>
                <w:sz w:val="20"/>
                <w:szCs w:val="20"/>
                <w:color w:val="auto"/>
              </w:rPr>
            </w:pPr>
            <w:r>
              <w:rPr>
                <w:rFonts w:ascii="Arial" w:cs="Arial" w:eastAsia="Arial" w:hAnsi="Arial"/>
                <w:sz w:val="18"/>
                <w:szCs w:val="18"/>
                <w:color w:val="auto"/>
              </w:rPr>
              <w:t>Net written premiums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12,739</w:t>
            </w:r>
          </w:p>
        </w:tc>
        <w:tc>
          <w:tcPr>
            <w:tcW w:w="6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14,034</w:t>
            </w:r>
          </w:p>
        </w:tc>
        <w:tc>
          <w:tcPr>
            <w:tcW w:w="180" w:type="dxa"/>
            <w:vAlign w:val="bottom"/>
          </w:tcPr>
          <w:p>
            <w:pPr>
              <w:spacing w:after="0"/>
              <w:rPr>
                <w:sz w:val="21"/>
                <w:szCs w:val="21"/>
                <w:color w:val="auto"/>
              </w:rPr>
            </w:pPr>
          </w:p>
        </w:tc>
        <w:tc>
          <w:tcPr>
            <w:tcW w:w="1240" w:type="dxa"/>
            <w:vAlign w:val="bottom"/>
          </w:tcPr>
          <w:p>
            <w:pPr>
              <w:jc w:val="right"/>
              <w:ind w:right="56"/>
              <w:spacing w:after="0"/>
              <w:rPr>
                <w:sz w:val="20"/>
                <w:szCs w:val="20"/>
                <w:color w:val="auto"/>
              </w:rPr>
            </w:pPr>
            <w:r>
              <w:rPr>
                <w:rFonts w:ascii="Arial" w:cs="Arial" w:eastAsia="Arial" w:hAnsi="Arial"/>
                <w:sz w:val="18"/>
                <w:szCs w:val="18"/>
                <w:i w:val="1"/>
                <w:iCs w:val="1"/>
                <w:color w:val="auto"/>
              </w:rPr>
              <w:t>(9.2)%</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26,095</w:t>
            </w:r>
          </w:p>
        </w:tc>
        <w:tc>
          <w:tcPr>
            <w:tcW w:w="82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29,055</w:t>
            </w:r>
          </w:p>
        </w:tc>
        <w:tc>
          <w:tcPr>
            <w:tcW w:w="1300" w:type="dxa"/>
            <w:vAlign w:val="bottom"/>
            <w:gridSpan w:val="2"/>
          </w:tcPr>
          <w:p>
            <w:pPr>
              <w:jc w:val="right"/>
              <w:spacing w:after="0"/>
              <w:rPr>
                <w:sz w:val="20"/>
                <w:szCs w:val="20"/>
                <w:color w:val="auto"/>
              </w:rPr>
            </w:pPr>
            <w:r>
              <w:rPr>
                <w:rFonts w:ascii="Arial" w:cs="Arial" w:eastAsia="Arial" w:hAnsi="Arial"/>
                <w:sz w:val="18"/>
                <w:szCs w:val="18"/>
                <w:i w:val="1"/>
                <w:iCs w:val="1"/>
                <w:color w:val="auto"/>
              </w:rPr>
              <w:t>(10.2)%</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14,392</w:t>
            </w:r>
          </w:p>
        </w:tc>
        <w:tc>
          <w:tcPr>
            <w:tcW w:w="6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13,086</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10.0 %</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27,675</w:t>
            </w:r>
          </w:p>
        </w:tc>
        <w:tc>
          <w:tcPr>
            <w:tcW w:w="820" w:type="dxa"/>
            <w:vAlign w:val="bottom"/>
            <w:tcBorders>
              <w:bottom w:val="single" w:sz="8" w:color="CCEEFF"/>
            </w:tcBorders>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25,446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8.8 %</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(10,559)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(8,402)</w:t>
            </w:r>
          </w:p>
        </w:tc>
        <w:tc>
          <w:tcPr>
            <w:tcW w:w="180" w:type="dxa"/>
            <w:vAlign w:val="bottom"/>
          </w:tcPr>
          <w:p>
            <w:pPr>
              <w:spacing w:after="0"/>
              <w:rPr>
                <w:sz w:val="21"/>
                <w:szCs w:val="21"/>
                <w:color w:val="auto"/>
              </w:rPr>
            </w:pPr>
          </w:p>
        </w:tc>
        <w:tc>
          <w:tcPr>
            <w:tcW w:w="1240" w:type="dxa"/>
            <w:vAlign w:val="bottom"/>
          </w:tcPr>
          <w:p>
            <w:pPr>
              <w:jc w:val="right"/>
              <w:ind w:right="56"/>
              <w:spacing w:after="0"/>
              <w:rPr>
                <w:sz w:val="20"/>
                <w:szCs w:val="20"/>
                <w:color w:val="auto"/>
              </w:rPr>
            </w:pPr>
            <w:r>
              <w:rPr>
                <w:rFonts w:ascii="Arial" w:cs="Arial" w:eastAsia="Arial" w:hAnsi="Arial"/>
                <w:sz w:val="18"/>
                <w:szCs w:val="18"/>
                <w:i w:val="1"/>
                <w:iCs w:val="1"/>
                <w:color w:val="auto"/>
              </w:rPr>
              <w:t>25.7 %</w:t>
            </w:r>
          </w:p>
        </w:tc>
        <w:tc>
          <w:tcPr>
            <w:tcW w:w="4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(20,464)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(15,604)</w:t>
            </w:r>
          </w:p>
        </w:tc>
        <w:tc>
          <w:tcPr>
            <w:tcW w:w="1300" w:type="dxa"/>
            <w:vAlign w:val="bottom"/>
            <w:gridSpan w:val="2"/>
          </w:tcPr>
          <w:p>
            <w:pPr>
              <w:jc w:val="right"/>
              <w:spacing w:after="0"/>
              <w:rPr>
                <w:sz w:val="20"/>
                <w:szCs w:val="20"/>
                <w:color w:val="auto"/>
              </w:rPr>
            </w:pPr>
            <w:r>
              <w:rPr>
                <w:rFonts w:ascii="Arial" w:cs="Arial" w:eastAsia="Arial" w:hAnsi="Arial"/>
                <w:sz w:val="18"/>
                <w:szCs w:val="18"/>
                <w:i w:val="1"/>
                <w:iCs w:val="1"/>
                <w:color w:val="auto"/>
              </w:rPr>
              <w:t>31.1 %</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(29.0)%</w:t>
            </w:r>
          </w:p>
        </w:tc>
        <w:tc>
          <w:tcPr>
            <w:tcW w:w="4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(2.2)%</w:t>
            </w:r>
          </w:p>
        </w:tc>
        <w:tc>
          <w:tcPr>
            <w:tcW w:w="0" w:type="dxa"/>
            <w:vAlign w:val="bottom"/>
          </w:tcPr>
          <w:p>
            <w:pPr>
              <w:spacing w:after="0"/>
              <w:rPr>
                <w:sz w:val="1"/>
                <w:szCs w:val="1"/>
                <w:color w:val="auto"/>
              </w:rPr>
            </w:pPr>
          </w:p>
        </w:tc>
      </w:tr>
      <w:tr>
        <w:trPr>
          <w:trHeight w:val="263"/>
        </w:trPr>
        <w:tc>
          <w:tcPr>
            <w:tcW w:w="3300" w:type="dxa"/>
            <w:vAlign w:val="bottom"/>
          </w:tcPr>
          <w:p>
            <w:pPr>
              <w:ind w:left="2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i w:val="1"/>
                <w:iCs w:val="1"/>
                <w:color w:val="auto"/>
              </w:rPr>
              <w:t>(1), (2)</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80" w:type="dxa"/>
            <w:vAlign w:val="bottom"/>
            <w:tcBorders>
              <w:top w:val="single" w:sz="8" w:color="auto"/>
              <w:bottom w:val="single" w:sz="8" w:color="auto"/>
            </w:tcBorders>
          </w:tcPr>
          <w:p>
            <w:pPr>
              <w:spacing w:after="0"/>
              <w:rPr>
                <w:sz w:val="22"/>
                <w:szCs w:val="22"/>
                <w:color w:val="auto"/>
              </w:rPr>
            </w:pPr>
          </w:p>
        </w:tc>
        <w:tc>
          <w:tcPr>
            <w:tcW w:w="1240" w:type="dxa"/>
            <w:vAlign w:val="bottom"/>
          </w:tcPr>
          <w:p>
            <w:pPr>
              <w:jc w:val="right"/>
              <w:ind w:right="56"/>
              <w:spacing w:after="0"/>
              <w:rPr>
                <w:sz w:val="20"/>
                <w:szCs w:val="20"/>
                <w:color w:val="auto"/>
              </w:rPr>
            </w:pPr>
            <w:r>
              <w:rPr>
                <w:rFonts w:ascii="Arial" w:cs="Arial" w:eastAsia="Arial" w:hAnsi="Arial"/>
                <w:sz w:val="18"/>
                <w:szCs w:val="18"/>
                <w:i w:val="1"/>
                <w:iCs w:val="1"/>
                <w:color w:val="auto"/>
              </w:rPr>
              <w:t>10.2 %</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2,921</w:t>
            </w:r>
          </w:p>
        </w:tc>
        <w:tc>
          <w:tcPr>
            <w:tcW w:w="180" w:type="dxa"/>
            <w:vAlign w:val="bottom"/>
            <w:tcBorders>
              <w:top w:val="single" w:sz="8" w:color="auto"/>
              <w:bottom w:val="single" w:sz="8" w:color="auto"/>
            </w:tcBorders>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(84.9)%</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Ratios: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120"/>
              <w:spacing w:after="0"/>
              <w:rPr>
                <w:sz w:val="20"/>
                <w:szCs w:val="20"/>
                <w:color w:val="auto"/>
              </w:rPr>
            </w:pPr>
            <w:r>
              <w:rPr>
                <w:rFonts w:ascii="Arial" w:cs="Arial" w:eastAsia="Arial" w:hAnsi="Arial"/>
                <w:sz w:val="18"/>
                <w:szCs w:val="18"/>
                <w:color w:val="auto"/>
              </w:rPr>
              <w:t>Loss ratio</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Expense ratio</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120"/>
              <w:spacing w:after="0"/>
              <w:rPr>
                <w:sz w:val="20"/>
                <w:szCs w:val="20"/>
                <w:color w:val="auto"/>
              </w:rPr>
            </w:pPr>
            <w:r>
              <w:rPr>
                <w:rFonts w:ascii="Arial" w:cs="Arial" w:eastAsia="Arial" w:hAnsi="Arial"/>
                <w:sz w:val="18"/>
                <w:szCs w:val="18"/>
                <w:color w:val="auto"/>
              </w:rPr>
              <w:t>Combined ratio</w:t>
            </w:r>
          </w:p>
        </w:tc>
        <w:tc>
          <w:tcPr>
            <w:tcW w:w="3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90.1 %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90.1 %</w:t>
            </w:r>
          </w:p>
        </w:tc>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98.4 %</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88.5 %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60" w:right="400" w:hanging="328"/>
        <w:spacing w:after="0" w:line="258" w:lineRule="auto"/>
        <w:tabs>
          <w:tab w:leader="none" w:pos="654"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1" w:lineRule="exact"/>
        <w:rPr>
          <w:rFonts w:ascii="Arial" w:cs="Arial" w:eastAsia="Arial" w:hAnsi="Arial"/>
          <w:sz w:val="18"/>
          <w:szCs w:val="18"/>
          <w:i w:val="1"/>
          <w:iCs w:val="1"/>
          <w:color w:val="auto"/>
        </w:rPr>
      </w:pPr>
    </w:p>
    <w:p>
      <w:pPr>
        <w:ind w:left="660" w:right="420" w:hanging="328"/>
        <w:spacing w:after="0" w:line="260" w:lineRule="auto"/>
        <w:tabs>
          <w:tab w:leader="none" w:pos="654"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results include gross fee income of $5.4 million and $9.6 million for the three and six months ended June 30, 2020, respectively ($3.8 million and $7.6 million for the same periods in the prior year).</w:t>
      </w:r>
    </w:p>
    <w:p>
      <w:pPr>
        <w:spacing w:after="0" w:line="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loss ratio of 73.4% and 73.9% for the three and six months ended June 30, 2020 includes $1.0 million and $2.0 million (6.9 and 7.3 percentage points), respectively, of net favorable development in our loss estimates for prior accident years. The loss ratio of 64.2% and 61.3% for the three and six months ended June 30, 2019 includes $1.2 million and $3.3 million (9.5 and 12.8 percentage points), respectively, of net favorable reserve development in our loss estimates for prior accident years. The favorable reserve development for both periods reflects the fact that actual loss emergence of the workers’ compensation book has been better than expected.</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expense ratio of the Specialty Admitted Insurance segment was 16.7% and 24.5% for the three and six months ended June 30, 2020, respectively, compared to the prior year ratios of 25.9% and 27.2%, respectively. Gross fee income from the fronting business increased 39.7% and 25.8% for the three and six months ended June 30, 2020, respectively, compared to the same periods in the prior year as a result of a mix shift to fronting arrangements with higher fees.</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Underwriting results for the Specialty Admitted Insurance segment in the three and six months ended June 30, 2020 were favorably impacted by a $1.2 million adjustment to fee income on one fronted program (a reduction in commission expense, representing an 8.4 and 3.7 point reduction in the combined ratio for the respective periods).</w:t>
      </w:r>
    </w:p>
    <w:p>
      <w:pPr>
        <w:spacing w:after="0" w:line="7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As a result of the items discussed above, the Specialty Admitted Insurance segment had an underwriting profit of $1.4 million and $442,000 for the three and six months ended June 30, 2020, respectively, compared to an underwriting profit of $1.3 million and $2.9 million for the three and six months ended June 30, 2019,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Casualty Reinsurance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for the Casualty Reinsurance segment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gridSpan w:val="5"/>
          </w:tcPr>
          <w:p>
            <w:pPr>
              <w:jc w:val="right"/>
              <w:ind w:right="472"/>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24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Pr>
          <w:p>
            <w:pPr>
              <w:spacing w:after="0"/>
              <w:rPr>
                <w:sz w:val="14"/>
                <w:szCs w:val="14"/>
                <w:color w:val="auto"/>
              </w:rPr>
            </w:pPr>
          </w:p>
        </w:tc>
        <w:tc>
          <w:tcPr>
            <w:tcW w:w="1300" w:type="dxa"/>
            <w:vAlign w:val="bottom"/>
            <w:gridSpan w:val="2"/>
            <w:vMerge w:val="restart"/>
          </w:tcPr>
          <w:p>
            <w:pPr>
              <w:jc w:val="right"/>
              <w:ind w:right="3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48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Change</w:t>
            </w:r>
          </w:p>
        </w:tc>
        <w:tc>
          <w:tcPr>
            <w:tcW w:w="4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top w:val="single" w:sz="8" w:color="auto"/>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26,205</w:t>
            </w:r>
          </w:p>
        </w:tc>
        <w:tc>
          <w:tcPr>
            <w:tcW w:w="1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30,254</w:t>
            </w:r>
          </w:p>
        </w:tc>
        <w:tc>
          <w:tcPr>
            <w:tcW w:w="1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i w:val="1"/>
                <w:iCs w:val="1"/>
                <w:color w:val="auto"/>
              </w:rPr>
              <w:t>(13.4)%</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71,047</w:t>
            </w:r>
          </w:p>
        </w:tc>
        <w:tc>
          <w:tcPr>
            <w:tcW w:w="1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68,086</w:t>
            </w:r>
          </w:p>
        </w:tc>
        <w:tc>
          <w:tcPr>
            <w:tcW w:w="1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4.3 %</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320" w:type="dxa"/>
            <w:vAlign w:val="bottom"/>
          </w:tcPr>
          <w:p>
            <w:pPr>
              <w:ind w:left="20"/>
              <w:spacing w:after="0"/>
              <w:rPr>
                <w:sz w:val="20"/>
                <w:szCs w:val="20"/>
                <w:color w:val="auto"/>
              </w:rPr>
            </w:pPr>
            <w:r>
              <w:rPr>
                <w:rFonts w:ascii="Arial" w:cs="Arial" w:eastAsia="Arial" w:hAnsi="Arial"/>
                <w:sz w:val="18"/>
                <w:szCs w:val="18"/>
                <w:color w:val="auto"/>
              </w:rPr>
              <w:t>Net written premiums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26,204</w:t>
            </w:r>
          </w:p>
        </w:tc>
        <w:tc>
          <w:tcPr>
            <w:tcW w:w="6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30,252</w:t>
            </w:r>
          </w:p>
        </w:tc>
        <w:tc>
          <w:tcPr>
            <w:tcW w:w="18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i w:val="1"/>
                <w:iCs w:val="1"/>
                <w:color w:val="auto"/>
              </w:rPr>
              <w:t>(13.4)%</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55,296</w:t>
            </w:r>
          </w:p>
        </w:tc>
        <w:tc>
          <w:tcPr>
            <w:tcW w:w="80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68,111</w:t>
            </w:r>
          </w:p>
        </w:tc>
        <w:tc>
          <w:tcPr>
            <w:tcW w:w="1300" w:type="dxa"/>
            <w:vAlign w:val="bottom"/>
            <w:gridSpan w:val="2"/>
          </w:tcPr>
          <w:p>
            <w:pPr>
              <w:jc w:val="right"/>
              <w:spacing w:after="0"/>
              <w:rPr>
                <w:sz w:val="20"/>
                <w:szCs w:val="20"/>
                <w:color w:val="auto"/>
              </w:rPr>
            </w:pPr>
            <w:r>
              <w:rPr>
                <w:rFonts w:ascii="Arial" w:cs="Arial" w:eastAsia="Arial" w:hAnsi="Arial"/>
                <w:sz w:val="18"/>
                <w:szCs w:val="18"/>
                <w:i w:val="1"/>
                <w:iCs w:val="1"/>
                <w:color w:val="auto"/>
              </w:rPr>
              <w:t>(18.8)%</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33,574</w:t>
            </w:r>
          </w:p>
        </w:tc>
        <w:tc>
          <w:tcPr>
            <w:tcW w:w="6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35,107</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i w:val="1"/>
                <w:iCs w:val="1"/>
                <w:color w:val="auto"/>
              </w:rPr>
              <w:t>(4.4)%</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66,470</w:t>
            </w:r>
          </w:p>
        </w:tc>
        <w:tc>
          <w:tcPr>
            <w:tcW w:w="800" w:type="dxa"/>
            <w:vAlign w:val="bottom"/>
            <w:tcBorders>
              <w:bottom w:val="single" w:sz="8" w:color="CCEEFF"/>
            </w:tcBorders>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71,227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(6.7)%</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(24,777)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(23,014)</w:t>
            </w:r>
          </w:p>
        </w:tc>
        <w:tc>
          <w:tcPr>
            <w:tcW w:w="18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i w:val="1"/>
                <w:iCs w:val="1"/>
                <w:color w:val="auto"/>
              </w:rPr>
              <w:t>7.7 %</w:t>
            </w:r>
          </w:p>
        </w:tc>
        <w:tc>
          <w:tcPr>
            <w:tcW w:w="4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(46,199)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(47,534)</w:t>
            </w:r>
          </w:p>
        </w:tc>
        <w:tc>
          <w:tcPr>
            <w:tcW w:w="1300" w:type="dxa"/>
            <w:vAlign w:val="bottom"/>
            <w:gridSpan w:val="2"/>
          </w:tcPr>
          <w:p>
            <w:pPr>
              <w:jc w:val="right"/>
              <w:spacing w:after="0"/>
              <w:rPr>
                <w:sz w:val="20"/>
                <w:szCs w:val="20"/>
                <w:color w:val="auto"/>
              </w:rPr>
            </w:pPr>
            <w:r>
              <w:rPr>
                <w:rFonts w:ascii="Arial" w:cs="Arial" w:eastAsia="Arial" w:hAnsi="Arial"/>
                <w:sz w:val="18"/>
                <w:szCs w:val="18"/>
                <w:i w:val="1"/>
                <w:iCs w:val="1"/>
                <w:color w:val="auto"/>
              </w:rPr>
              <w:t>(2.8)%</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(11,434)</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(12,193)</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i w:val="1"/>
                <w:iCs w:val="1"/>
                <w:color w:val="auto"/>
              </w:rPr>
              <w:t>(6.2)%</w:t>
            </w:r>
          </w:p>
        </w:tc>
        <w:tc>
          <w:tcPr>
            <w:tcW w:w="4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(22,701)</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(23,466)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(3.3)%</w:t>
            </w:r>
          </w:p>
        </w:tc>
        <w:tc>
          <w:tcPr>
            <w:tcW w:w="0" w:type="dxa"/>
            <w:vAlign w:val="bottom"/>
          </w:tcPr>
          <w:p>
            <w:pPr>
              <w:spacing w:after="0"/>
              <w:rPr>
                <w:sz w:val="1"/>
                <w:szCs w:val="1"/>
                <w:color w:val="auto"/>
              </w:rPr>
            </w:pPr>
          </w:p>
        </w:tc>
      </w:tr>
      <w:tr>
        <w:trPr>
          <w:trHeight w:val="263"/>
        </w:trPr>
        <w:tc>
          <w:tcPr>
            <w:tcW w:w="3320" w:type="dxa"/>
            <w:vAlign w:val="bottom"/>
          </w:tcPr>
          <w:p>
            <w:pPr>
              <w:ind w:left="20"/>
              <w:spacing w:after="0"/>
              <w:rPr>
                <w:sz w:val="20"/>
                <w:szCs w:val="20"/>
                <w:color w:val="auto"/>
              </w:rPr>
            </w:pPr>
            <w:r>
              <w:rPr>
                <w:rFonts w:ascii="Arial" w:cs="Arial" w:eastAsia="Arial" w:hAnsi="Arial"/>
                <w:sz w:val="18"/>
                <w:szCs w:val="18"/>
                <w:color w:val="auto"/>
              </w:rPr>
              <w:t xml:space="preserve">Underwriting (loss) profit </w:t>
            </w:r>
            <w:r>
              <w:rPr>
                <w:rFonts w:ascii="Arial" w:cs="Arial" w:eastAsia="Arial" w:hAnsi="Arial"/>
                <w:sz w:val="14"/>
                <w:szCs w:val="14"/>
                <w:i w:val="1"/>
                <w:iCs w:val="1"/>
                <w:color w:val="auto"/>
              </w:rPr>
              <w:t>(1)</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auto"/>
              <w:bottom w:val="single" w:sz="8" w:color="auto"/>
            </w:tcBorders>
          </w:tcPr>
          <w:p>
            <w:pPr>
              <w:spacing w:after="0"/>
              <w:rPr>
                <w:sz w:val="22"/>
                <w:szCs w:val="22"/>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i w:val="1"/>
                <w:iCs w:val="1"/>
                <w:color w:val="auto"/>
              </w:rPr>
              <w:t>2,537.0 %</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(2,430)</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Borders>
              <w:top w:val="single" w:sz="8" w:color="auto"/>
              <w:bottom w:val="single" w:sz="8" w:color="auto"/>
            </w:tcBorders>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Ratios: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Loss ratio</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 ratio</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Combined ratio</w:t>
            </w:r>
          </w:p>
        </w:tc>
        <w:tc>
          <w:tcPr>
            <w:tcW w:w="3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107.9 %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100.3 %</w:t>
            </w:r>
          </w:p>
        </w:tc>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103.7 %</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99.7 %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60" w:right="160" w:hanging="328"/>
        <w:spacing w:after="0" w:line="277" w:lineRule="auto"/>
        <w:tabs>
          <w:tab w:leader="none" w:pos="654"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(Loss) Profit is a non-GAAP Measure. See “Reconciliation of Non-GAAP Measures” for a reconciliation to income before tax and for additional information.</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Casualty Reinsurance segment focuses on lower volatility, proportional reinsurance which requires larger ceding commissions resulting in a higher commission expense than in our other segments.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loss ratio of 73.8% and 69.5% for the three and six months ended June 30, 2020, respectively, includes $5.0 million and $6.9 million (14.8 and 10.3 percentage points), respectively, of net adverse development in our loss estimates for prior accident years. The loss ratio of 65.6% and 66.7% for the three and six months ended June 30, 2019, respectively, includes $2.4 million and $5.3 million (6.7 and 7.5 percentage points) of net adverse reserve development in our loss estimates for prior accident years.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expense ratio of the Casualty Reinsurance segment was 34.1% and 34.2% for the three and six months ended June 30, 2020, respectively, compared to 34.7% and 33.0% in the respective prior year periods.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the items discussed above, the Casualty Reinsurance segment had underwriting losses of $2.6 million and $2.4 million for the three and six months ended June 30, 2020, respectively, compared to an underwriting loss of $100,000 and underwriting profit of $227,000 for the three and six months ended June 30,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An indicator of reserve strength that we monitor closely is the percentage of our gross and net loss reserves that are comprised of incurred but not reported (“IBNR”) reserves.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gross reserve for losses and loss adjustment expenses at June 30, 2020 was $2,067.0 million. Of this amount, 61.5% relates to amounts that are IBNR. This amount was 63.1% at December 31, 2019. The Company’s gross reserves for losses and loss adjustment expenses by segment are summarized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4"/>
                <w:szCs w:val="14"/>
                <w:b w:val="1"/>
                <w:bCs w:val="1"/>
                <w:color w:val="auto"/>
                <w:w w:val="89"/>
              </w:rPr>
              <w:t>Gross Reserves at June 30, 2020</w:t>
            </w:r>
          </w:p>
        </w:tc>
        <w:tc>
          <w:tcPr>
            <w:tcW w:w="1020" w:type="dxa"/>
            <w:vAlign w:val="bottom"/>
            <w:tcBorders>
              <w:bottom w:val="single" w:sz="8" w:color="auto"/>
            </w:tcBorders>
          </w:tcPr>
          <w:p>
            <w:pPr>
              <w:spacing w:after="0"/>
              <w:rPr>
                <w:sz w:val="16"/>
                <w:szCs w:val="16"/>
                <w:color w:val="auto"/>
              </w:rPr>
            </w:pPr>
          </w:p>
        </w:tc>
      </w:tr>
      <w:tr>
        <w:trPr>
          <w:trHeight w:val="196"/>
        </w:trPr>
        <w:tc>
          <w:tcPr>
            <w:tcW w:w="68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Case</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IBNR</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196"/>
        </w:trPr>
        <w:tc>
          <w:tcPr>
            <w:tcW w:w="6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6"/>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481,191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750,621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1,231,812</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204,259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345,638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549,897</w:t>
            </w:r>
          </w:p>
        </w:tc>
      </w:tr>
      <w:tr>
        <w:trPr>
          <w:trHeight w:val="27"/>
        </w:trPr>
        <w:tc>
          <w:tcPr>
            <w:tcW w:w="6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109,811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175,451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285,262</w:t>
            </w:r>
          </w:p>
        </w:tc>
      </w:tr>
      <w:tr>
        <w:trPr>
          <w:trHeight w:val="264"/>
        </w:trPr>
        <w:tc>
          <w:tcPr>
            <w:tcW w:w="684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795,261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1,271,710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2,066,971</w:t>
            </w: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June 30, 2020, the amount of net reserves prior to the $335,000 allowance for uncollectible reinsurance recoverables of $1,339.5 million that related to IBNR was 58.3%. This amount was 60.3% at December 31, 2019. The Company’s net reserves for losses and loss adjustment expenses by segment are summarized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0"/>
              </w:rPr>
              <w:t>Net Reserves at June 30, 2020</w:t>
            </w:r>
          </w:p>
        </w:tc>
        <w:tc>
          <w:tcPr>
            <w:tcW w:w="1060" w:type="dxa"/>
            <w:vAlign w:val="bottom"/>
            <w:tcBorders>
              <w:bottom w:val="single" w:sz="8" w:color="auto"/>
            </w:tcBorders>
          </w:tcPr>
          <w:p>
            <w:pPr>
              <w:spacing w:after="0"/>
              <w:rPr>
                <w:sz w:val="16"/>
                <w:szCs w:val="16"/>
                <w:color w:val="auto"/>
              </w:rPr>
            </w:pPr>
          </w:p>
        </w:tc>
      </w:tr>
      <w:tr>
        <w:trPr>
          <w:trHeight w:val="196"/>
        </w:trPr>
        <w:tc>
          <w:tcPr>
            <w:tcW w:w="68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Case</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IBNR</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Total</w:t>
            </w:r>
          </w:p>
        </w:tc>
      </w:tr>
      <w:tr>
        <w:trPr>
          <w:trHeight w:val="196"/>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6"/>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413,584</w:t>
            </w:r>
          </w:p>
        </w:tc>
        <w:tc>
          <w:tcPr>
            <w:tcW w:w="58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554,754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968,338</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54,276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92,052</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171,408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279,144</w:t>
            </w:r>
          </w:p>
        </w:tc>
      </w:tr>
      <w:tr>
        <w:trPr>
          <w:trHeight w:val="263"/>
        </w:trPr>
        <w:tc>
          <w:tcPr>
            <w:tcW w:w="68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559,096</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780,438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1,339,534</w:t>
            </w:r>
          </w:p>
        </w:tc>
      </w:tr>
      <w:tr>
        <w:trPr>
          <w:trHeight w:val="21"/>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the underwriting, acquisition, and insurance expenses of the Excess and Surplus Lines segment, the Specialty Admitted Insurance segment, and the Casualty Reinsurance segment discussed previously, other operating expenses also include the expenses of the Corporate and Other segment.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operating expenses for the Corporate and Other segment include personnel costs associated with the Bermuda and U.S. holding companies, professional fees, and various other corporate expenses that are included in our calculation of our expense ratio and our combined ratio. Other operating expenses of the Corporate and Other segment represent the expenses of both the Bermuda and U.S. holding companies that were not reimbursed by our subsidiaries, including costs associated with our internal quota share, rating agencies and strategic initiatives. These costs vary from period-to-period based on the status of these initiatives.</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Total operating expenses of the Corporate and Other segment were $7.5 million and $15.8 million for the three and six months ended June 30, 2020, respectively, compared to $7.4 million and $15.3 million for the same periods in the prior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Results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investment income was $15.4 million and $36.2 million for the three and six months ended June 30, 2020, respectively, compared to $17.5 million and $37.0 million for the same periods in the prior year. The change in our net investment income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8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2"/>
        </w:trPr>
        <w:tc>
          <w:tcPr>
            <w:tcW w:w="3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6"/>
        </w:trPr>
        <w:tc>
          <w:tcPr>
            <w:tcW w:w="34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196"/>
        </w:trPr>
        <w:tc>
          <w:tcPr>
            <w:tcW w:w="3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90"/>
              </w:rPr>
              <w:t>($ in thousands)</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7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Renewable energy LLCs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908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(6.8)%</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Other private investments</w:t>
            </w:r>
          </w:p>
        </w:tc>
        <w:tc>
          <w:tcPr>
            <w:tcW w:w="300" w:type="dxa"/>
            <w:vAlign w:val="bottom"/>
          </w:tcPr>
          <w:p>
            <w:pPr>
              <w:spacing w:after="0"/>
              <w:rPr>
                <w:sz w:val="21"/>
                <w:szCs w:val="21"/>
                <w:color w:val="auto"/>
              </w:rPr>
            </w:pPr>
          </w:p>
        </w:tc>
        <w:tc>
          <w:tcPr>
            <w:tcW w:w="980" w:type="dxa"/>
            <w:vAlign w:val="bottom"/>
          </w:tcPr>
          <w:p>
            <w:pPr>
              <w:jc w:val="right"/>
              <w:ind w:right="77"/>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1,142</w:t>
            </w: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(62.2)%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77"/>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3,625</w:t>
            </w:r>
          </w:p>
        </w:tc>
        <w:tc>
          <w:tcPr>
            <w:tcW w:w="1140" w:type="dxa"/>
            <w:vAlign w:val="bottom"/>
            <w:gridSpan w:val="2"/>
          </w:tcPr>
          <w:p>
            <w:pPr>
              <w:jc w:val="right"/>
              <w:spacing w:after="0"/>
              <w:rPr>
                <w:sz w:val="20"/>
                <w:szCs w:val="20"/>
                <w:color w:val="auto"/>
              </w:rPr>
            </w:pPr>
            <w:r>
              <w:rPr>
                <w:rFonts w:ascii="Arial" w:cs="Arial" w:eastAsia="Arial" w:hAnsi="Arial"/>
                <w:sz w:val="18"/>
                <w:szCs w:val="18"/>
                <w:i w:val="1"/>
                <w:iCs w:val="1"/>
                <w:color w:val="auto"/>
              </w:rPr>
              <w:t>(96.8)%</w:t>
            </w:r>
          </w:p>
        </w:tc>
      </w:tr>
      <w:tr>
        <w:trPr>
          <w:trHeight w:val="27"/>
        </w:trPr>
        <w:tc>
          <w:tcPr>
            <w:tcW w:w="3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invested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1,129</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4,533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(78.8)%</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All other net investment income</w:t>
            </w:r>
          </w:p>
        </w:tc>
        <w:tc>
          <w:tcPr>
            <w:tcW w:w="300" w:type="dxa"/>
            <w:vAlign w:val="bottom"/>
          </w:tcPr>
          <w:p>
            <w:pPr>
              <w:spacing w:after="0"/>
              <w:rPr>
                <w:sz w:val="21"/>
                <w:szCs w:val="21"/>
                <w:color w:val="auto"/>
              </w:rPr>
            </w:pPr>
          </w:p>
        </w:tc>
        <w:tc>
          <w:tcPr>
            <w:tcW w:w="980" w:type="dxa"/>
            <w:vAlign w:val="bottom"/>
          </w:tcPr>
          <w:p>
            <w:pPr>
              <w:jc w:val="right"/>
              <w:ind w:right="77"/>
              <w:spacing w:after="0"/>
              <w:rPr>
                <w:sz w:val="20"/>
                <w:szCs w:val="20"/>
                <w:color w:val="auto"/>
              </w:rPr>
            </w:pPr>
            <w:r>
              <w:rPr>
                <w:rFonts w:ascii="Arial" w:cs="Arial" w:eastAsia="Arial" w:hAnsi="Arial"/>
                <w:sz w:val="18"/>
                <w:szCs w:val="18"/>
                <w:color w:val="auto"/>
              </w:rPr>
              <w:t>14,906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16,406</w:t>
            </w: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77"/>
              <w:spacing w:after="0"/>
              <w:rPr>
                <w:sz w:val="20"/>
                <w:szCs w:val="20"/>
                <w:color w:val="auto"/>
              </w:rPr>
            </w:pPr>
            <w:r>
              <w:rPr>
                <w:rFonts w:ascii="Arial" w:cs="Arial" w:eastAsia="Arial" w:hAnsi="Arial"/>
                <w:sz w:val="18"/>
                <w:szCs w:val="18"/>
                <w:color w:val="auto"/>
              </w:rPr>
              <w:t>35,225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32,433</w:t>
            </w:r>
          </w:p>
        </w:tc>
        <w:tc>
          <w:tcPr>
            <w:tcW w:w="1140" w:type="dxa"/>
            <w:vAlign w:val="bottom"/>
            <w:gridSpan w:val="2"/>
          </w:tcPr>
          <w:p>
            <w:pPr>
              <w:jc w:val="right"/>
              <w:spacing w:after="0"/>
              <w:rPr>
                <w:sz w:val="20"/>
                <w:szCs w:val="20"/>
                <w:color w:val="auto"/>
              </w:rPr>
            </w:pPr>
            <w:r>
              <w:rPr>
                <w:rFonts w:ascii="Arial" w:cs="Arial" w:eastAsia="Arial" w:hAnsi="Arial"/>
                <w:sz w:val="18"/>
                <w:szCs w:val="18"/>
                <w:i w:val="1"/>
                <w:iCs w:val="1"/>
                <w:color w:val="auto"/>
              </w:rPr>
              <w:t>8.6 %</w:t>
            </w:r>
          </w:p>
        </w:tc>
      </w:tr>
      <w:tr>
        <w:trPr>
          <w:trHeight w:val="27"/>
        </w:trPr>
        <w:tc>
          <w:tcPr>
            <w:tcW w:w="3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88"/>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investment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15,350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17,535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36,186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36,966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(2.1)%</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8"/>
          <w:szCs w:val="18"/>
          <w:color w:val="auto"/>
        </w:rPr>
        <w:t>The Company's private investments generated income of $444,000 and $961,000 for the three and six months ended June 30, 2020, respectively (compared to income of $1.1 million and $4.5 million in the respective prior year periods). Excluding private investments, our net investment income for the three months ended June 30, 2020 decreased 9.1% from the prior year principally due to lower investment income from bank loan participations resulting from a smaller portfolio and lower investment yields. For the six months ended June 30, 2020, our net investment income excluding private investments increased by 8.6% over the prior year driven by asset growth in our portfolio and income on restricted cash equivalents. The average duration of our fixed maturity portfolio was 4.2 years at June 30, 2020.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Major categories of the Company’s net investment income are summarized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9"/>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280" w:type="dxa"/>
            <w:vAlign w:val="bottom"/>
            <w:gridSpan w:val="6"/>
          </w:tcPr>
          <w:p>
            <w:pPr>
              <w:jc w:val="right"/>
              <w:ind w:right="71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5"/>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10,157</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22,065</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19,647</w:t>
            </w:r>
          </w:p>
        </w:tc>
        <w:tc>
          <w:tcPr>
            <w:tcW w:w="0" w:type="dxa"/>
            <w:vAlign w:val="bottom"/>
          </w:tcPr>
          <w:p>
            <w:pPr>
              <w:spacing w:after="0"/>
              <w:rPr>
                <w:sz w:val="1"/>
                <w:szCs w:val="1"/>
                <w:color w:val="auto"/>
              </w:rPr>
            </w:pPr>
          </w:p>
        </w:tc>
      </w:tr>
      <w:tr>
        <w:trPr>
          <w:trHeight w:val="243"/>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Bank loan participations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5,162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7,272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2,431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43"/>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Other invested assets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961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89"/>
              </w:rPr>
              <w:t>Cash, cash equivalents, restricted cash equivalents and short-term 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6,014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37"/>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Gross investment income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16,679</w:t>
            </w: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18,735</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38,743</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39,344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Investment expense</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64"/>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Net investment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15,350</w:t>
            </w:r>
          </w:p>
        </w:tc>
        <w:tc>
          <w:tcPr>
            <w:tcW w:w="1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17,535</w:t>
            </w:r>
          </w:p>
        </w:tc>
        <w:tc>
          <w:tcPr>
            <w:tcW w:w="8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36,186</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36,966</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ind w:left="340"/>
              <w:spacing w:after="0"/>
              <w:rPr>
                <w:sz w:val="20"/>
                <w:szCs w:val="20"/>
                <w:color w:val="auto"/>
              </w:rPr>
            </w:pPr>
            <w:r>
              <w:rPr>
                <w:rFonts w:ascii="Arial" w:cs="Arial" w:eastAsia="Arial" w:hAnsi="Arial"/>
                <w:sz w:val="18"/>
                <w:szCs w:val="18"/>
                <w:color w:val="auto"/>
              </w:rPr>
              <w:t>The following table summarizes our investment returns:</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9"/>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24"/>
                <w:szCs w:val="24"/>
                <w:color w:val="auto"/>
              </w:rPr>
            </w:pPr>
          </w:p>
        </w:tc>
        <w:tc>
          <w:tcPr>
            <w:tcW w:w="1460" w:type="dxa"/>
            <w:vAlign w:val="bottom"/>
            <w:gridSpan w:val="5"/>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3"/>
              </w:rPr>
              <w:t>2019</w:t>
            </w:r>
          </w:p>
        </w:tc>
        <w:tc>
          <w:tcPr>
            <w:tcW w:w="0" w:type="dxa"/>
            <w:vAlign w:val="bottom"/>
          </w:tcPr>
          <w:p>
            <w:pPr>
              <w:spacing w:after="0"/>
              <w:rPr>
                <w:sz w:val="1"/>
                <w:szCs w:val="1"/>
                <w:color w:val="auto"/>
              </w:rPr>
            </w:pPr>
          </w:p>
        </w:tc>
      </w:tr>
      <w:tr>
        <w:trPr>
          <w:trHeight w:val="249"/>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Annualized gross investment yield 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Average cash and invested assets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fixed maturity securities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Of our total cash and invested assets of $2,301.2 million at June 30, 2020 (excluding restricted cash equivalents), $204.3 million represents the cash and cash equivalents portion of the portfolio. The majority of the portfolio, or $1,747.4 million, is comprised of fixed maturity securities that are classified as available-for-sale and carried at fair value with unrealized gains and losses on these securities reported, net of applicable taxes, as a separate component of accumulated comprehensive income. Also included in our investments are $127.7 million of bank loan participations, $78.0 million of equity securities, $96.3 million of short-term investments, and $47.5 million of other invested assets.</w:t>
      </w:r>
    </w:p>
    <w:p>
      <w:pPr>
        <w:spacing w:after="0" w:line="6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231F20"/>
        </w:rPr>
        <w:t xml:space="preserve">In connection with the adoption of ASU 2016-13 on January 1, 2020, the Company elected the fair value option in accounting for its portfolio of bank loan participations. Under the fair value option, bank loan participations are measured at fair value, and changes in unrealized gains and losses in bank loan participations are reported in our income statement as net realized and unrealized gains (losses) on investments. </w:t>
      </w:r>
      <w:r>
        <w:rPr>
          <w:rFonts w:ascii="Arial" w:cs="Arial" w:eastAsia="Arial" w:hAnsi="Arial"/>
          <w:sz w:val="17"/>
          <w:szCs w:val="17"/>
          <w:color w:val="000000"/>
        </w:rPr>
        <w:t>Prior to January 1, 2020, bank loans were</w:t>
      </w:r>
      <w:r>
        <w:rPr>
          <w:rFonts w:ascii="Arial" w:cs="Arial" w:eastAsia="Arial" w:hAnsi="Arial"/>
          <w:sz w:val="17"/>
          <w:szCs w:val="17"/>
          <w:color w:val="231F20"/>
        </w:rPr>
        <w:t xml:space="preserve"> </w:t>
      </w:r>
      <w:r>
        <w:rPr>
          <w:rFonts w:ascii="Arial" w:cs="Arial" w:eastAsia="Arial" w:hAnsi="Arial"/>
          <w:sz w:val="17"/>
          <w:szCs w:val="17"/>
          <w:color w:val="000000"/>
        </w:rPr>
        <w:t xml:space="preserve">classified as held-for-investment and reported at amortized cost, net of any allowance for credit losses. Changes in the credit allowance were included in </w:t>
      </w:r>
      <w:r>
        <w:rPr>
          <w:rFonts w:ascii="Arial" w:cs="Arial" w:eastAsia="Arial" w:hAnsi="Arial"/>
          <w:sz w:val="17"/>
          <w:szCs w:val="17"/>
          <w:color w:val="231F20"/>
        </w:rPr>
        <w:t>net realized and unrealized gains (losses)</w:t>
      </w:r>
      <w:r>
        <w:rPr>
          <w:rFonts w:ascii="Arial" w:cs="Arial" w:eastAsia="Arial" w:hAnsi="Arial"/>
          <w:sz w:val="17"/>
          <w:szCs w:val="17"/>
          <w:color w:val="000000"/>
        </w:rPr>
        <w:t>. At December 31, 2019,</w:t>
      </w:r>
      <w:r>
        <w:rPr>
          <w:rFonts w:ascii="Arial" w:cs="Arial" w:eastAsia="Arial" w:hAnsi="Arial"/>
          <w:sz w:val="17"/>
          <w:szCs w:val="17"/>
          <w:color w:val="231F20"/>
        </w:rPr>
        <w:t xml:space="preserve"> management concluded that seven loans from six issuers in the Company's bank loan portfolio were impaired. The impaired loans had a carrying value of $6.9 million, unpaid principal of $14.3 million, and an allowance for credit losses of $7.2 million, $5.1 million of which related to two loans from one issuer who was experiencing liquidity concerns resulting from revenue declines and poor growth prospects in its most profitable segment.</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loans, and similar loans and investments. At June 30, 2020 and December 31, 2019, the fair market value of these securities was $127.7 million and $252.4 million, respectively.</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six months ended June 30, 2020, the Company recognized net realized and unrealized investment losses of $36.8 million ($21.6 million of net realized and unrealized investment gains for the three months ended June 30, 2020), including $17.4 million of net unrealized losses on bank loan participations, $9.3 million of losses for the change in the fair value of equity securities, $10.6 million of net realized investment losses on the sale of bank loan securities, and $520,000 of net realized investment gains on the sale of fixed maturity securities.</w:t>
      </w:r>
    </w:p>
    <w:p>
      <w:pPr>
        <w:spacing w:after="0" w:line="79"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For the six months ended June 30, 2019, the Company recognized net realized and unrealized investment gains of $2.7 million ($1.1 million of net realized and unrealized investment gains for the three months ended June 30, 2019), including $5.4 million of gains for the change in the fair value of equity securities, $1.8 million of realized losses for changes in the allowance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credit losses on impaired bank loans, $1.1 million of net realized investment losses on the sale of bank loan securities, and $374,000 of net realized investment gains on the sale of fixed maturity securities.</w:t>
      </w:r>
    </w:p>
    <w:p>
      <w:pPr>
        <w:spacing w:after="0" w:line="6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conjunction with its outside investment managers, the Company performs quarterly reviews of all securities within its investment portfolio to determine whether any impairment has occurred. Management concluded that none of its fixed maturity securities were impaired at June 30, 2020 or December 31, 2019. At June 30, 2020, 99.7% of the Company’s fixed maturity security portfolio was rated “BBB-” or better (“investment grade”) by Standard &amp; Poor’s or received an equivalent rating from another nationally recognized rating agency. </w:t>
      </w:r>
      <w:r>
        <w:rPr>
          <w:rFonts w:ascii="Arial" w:cs="Arial" w:eastAsia="Arial" w:hAnsi="Arial"/>
          <w:sz w:val="18"/>
          <w:szCs w:val="18"/>
          <w:color w:val="231F20"/>
        </w:rPr>
        <w:t>Management does not intend to sell available-for-sale</w:t>
      </w:r>
      <w:r>
        <w:rPr>
          <w:rFonts w:ascii="Arial" w:cs="Arial" w:eastAsia="Arial" w:hAnsi="Arial"/>
          <w:sz w:val="18"/>
          <w:szCs w:val="18"/>
          <w:color w:val="auto"/>
        </w:rPr>
        <w:t xml:space="preserve"> </w:t>
      </w:r>
      <w:r>
        <w:rPr>
          <w:rFonts w:ascii="Arial" w:cs="Arial" w:eastAsia="Arial" w:hAnsi="Arial"/>
          <w:sz w:val="18"/>
          <w:szCs w:val="18"/>
          <w:color w:val="231F20"/>
        </w:rPr>
        <w:t>securities in an unrealized loss position, and it is not “more likely than not” that the Company will be required to sell these securities before a recovery in their value to their amortized cost basis occurs.</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amortized cost and fair value of our available-for-sale fixed maturity securities were as follows:</w:t>
      </w:r>
    </w:p>
    <w:p>
      <w:pPr>
        <w:spacing w:after="0" w:line="163" w:lineRule="exact"/>
        <w:rPr>
          <w:sz w:val="20"/>
          <w:szCs w:val="20"/>
          <w:color w:val="auto"/>
        </w:rPr>
      </w:pPr>
    </w:p>
    <w:tbl>
      <w:tblPr>
        <w:tblLayout w:type="fixed"/>
        <w:tblInd w:w="3340" w:type="dxa"/>
        <w:tblCellMar>
          <w:top w:w="0" w:type="dxa"/>
          <w:left w:w="0" w:type="dxa"/>
          <w:bottom w:w="0" w:type="dxa"/>
          <w:right w:w="0" w:type="dxa"/>
        </w:tblCellMar>
      </w:tblPr>
      <w:tr>
        <w:trPr>
          <w:trHeight w:val="192"/>
        </w:trPr>
        <w:tc>
          <w:tcPr>
            <w:tcW w:w="1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June 30, 2020</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December 31, 2019</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Cost or</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13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rPr>
              <w:t>% of</w:t>
            </w:r>
          </w:p>
        </w:tc>
        <w:tc>
          <w:tcPr>
            <w:tcW w:w="1140" w:type="dxa"/>
            <w:vAlign w:val="bottom"/>
          </w:tcPr>
          <w:p>
            <w:pPr>
              <w:jc w:val="center"/>
              <w:ind w:left="8"/>
              <w:spacing w:after="0" w:line="153" w:lineRule="exact"/>
              <w:rPr>
                <w:sz w:val="20"/>
                <w:szCs w:val="20"/>
                <w:color w:val="auto"/>
              </w:rPr>
            </w:pPr>
            <w:r>
              <w:rPr>
                <w:rFonts w:ascii="Arial" w:cs="Arial" w:eastAsia="Arial" w:hAnsi="Arial"/>
                <w:sz w:val="14"/>
                <w:szCs w:val="14"/>
                <w:b w:val="1"/>
                <w:bCs w:val="1"/>
                <w:color w:val="auto"/>
                <w:w w:val="93"/>
              </w:rPr>
              <w:t>Cost or</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114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Amortized</w:t>
            </w:r>
          </w:p>
        </w:tc>
        <w:tc>
          <w:tcPr>
            <w:tcW w:w="1400" w:type="dxa"/>
            <w:vAlign w:val="bottom"/>
            <w:vMerge w:val="continue"/>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Total</w:t>
            </w:r>
          </w:p>
        </w:tc>
        <w:tc>
          <w:tcPr>
            <w:tcW w:w="11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6"/>
              </w:rPr>
              <w:t>Amortized</w:t>
            </w:r>
          </w:p>
        </w:tc>
        <w:tc>
          <w:tcPr>
            <w:tcW w:w="1580" w:type="dxa"/>
            <w:vAlign w:val="bottom"/>
            <w:vMerge w:val="continue"/>
          </w:tcPr>
          <w:p>
            <w:pPr>
              <w:spacing w:after="0"/>
              <w:rPr>
                <w:sz w:val="12"/>
                <w:szCs w:val="12"/>
                <w:color w:val="auto"/>
              </w:rPr>
            </w:pPr>
          </w:p>
        </w:tc>
        <w:tc>
          <w:tcPr>
            <w:tcW w:w="11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7620</wp:posOffset>
            </wp:positionV>
            <wp:extent cx="49549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14" w:lineRule="exact"/>
        <w:rPr>
          <w:sz w:val="20"/>
          <w:szCs w:val="20"/>
          <w:color w:val="auto"/>
        </w:rPr>
      </w:pPr>
    </w:p>
    <w:p>
      <w:pPr>
        <w:ind w:left="6760"/>
        <w:spacing w:after="0"/>
        <w:rPr>
          <w:sz w:val="20"/>
          <w:szCs w:val="20"/>
          <w:color w:val="auto"/>
        </w:rPr>
      </w:pPr>
      <w:r>
        <w:rPr>
          <w:rFonts w:ascii="Arial" w:cs="Arial" w:eastAsia="Arial" w:hAnsi="Arial"/>
          <w:sz w:val="14"/>
          <w:szCs w:val="14"/>
          <w:b w:val="1"/>
          <w:bCs w:val="1"/>
          <w:i w:val="1"/>
          <w:i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07199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Fixed maturity securities, available-for-sale: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34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254,226</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269,922</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15.4 %</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159,894</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167,101</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11.7 %</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282,396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291,188</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16.7 %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261,524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264,146</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18.4 %</w:t>
            </w:r>
          </w:p>
        </w:tc>
        <w:tc>
          <w:tcPr>
            <w:tcW w:w="0" w:type="dxa"/>
            <w:vAlign w:val="bottom"/>
          </w:tcPr>
          <w:p>
            <w:pPr>
              <w:spacing w:after="0"/>
              <w:rPr>
                <w:sz w:val="1"/>
                <w:szCs w:val="1"/>
                <w:color w:val="auto"/>
              </w:rPr>
            </w:pPr>
          </w:p>
        </w:tc>
      </w:tr>
      <w:tr>
        <w:trPr>
          <w:trHeight w:val="270"/>
        </w:trPr>
        <w:tc>
          <w:tcPr>
            <w:tcW w:w="334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707,203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754,442</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43.2 %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611,304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632,221</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44.1 %</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Commercial mortgage and asset-backed</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303,161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311,181</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17.8 %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249,309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252,457</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17.6 %</w:t>
            </w:r>
          </w:p>
        </w:tc>
        <w:tc>
          <w:tcPr>
            <w:tcW w:w="0" w:type="dxa"/>
            <w:vAlign w:val="bottom"/>
          </w:tcPr>
          <w:p>
            <w:pPr>
              <w:spacing w:after="0"/>
              <w:rPr>
                <w:sz w:val="1"/>
                <w:szCs w:val="1"/>
                <w:color w:val="auto"/>
              </w:rPr>
            </w:pPr>
          </w:p>
        </w:tc>
      </w:tr>
      <w:tr>
        <w:trPr>
          <w:trHeight w:val="175"/>
        </w:trPr>
        <w:tc>
          <w:tcPr>
            <w:tcW w:w="3340" w:type="dxa"/>
            <w:vAlign w:val="bottom"/>
          </w:tcPr>
          <w:p>
            <w:pPr>
              <w:ind w:left="180"/>
              <w:spacing w:after="0" w:line="176" w:lineRule="exact"/>
              <w:rPr>
                <w:sz w:val="20"/>
                <w:szCs w:val="20"/>
                <w:color w:val="auto"/>
              </w:rPr>
            </w:pPr>
            <w:r>
              <w:rPr>
                <w:rFonts w:ascii="Arial" w:cs="Arial" w:eastAsia="Arial" w:hAnsi="Arial"/>
                <w:sz w:val="18"/>
                <w:szCs w:val="18"/>
                <w:color w:val="auto"/>
                <w:w w:val="98"/>
              </w:rPr>
              <w:t>U.S. Treasury securities and obligations</w:t>
            </w:r>
          </w:p>
        </w:tc>
        <w:tc>
          <w:tcPr>
            <w:tcW w:w="220" w:type="dxa"/>
            <w:vAlign w:val="bottom"/>
          </w:tcPr>
          <w:p>
            <w:pPr>
              <w:spacing w:after="0"/>
              <w:rPr>
                <w:sz w:val="15"/>
                <w:szCs w:val="15"/>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color w:val="auto"/>
              </w:rPr>
              <w:t>115,371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color w:val="auto"/>
              </w:rPr>
              <w:t>118,680</w:t>
            </w:r>
          </w:p>
        </w:tc>
        <w:tc>
          <w:tcPr>
            <w:tcW w:w="1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6.8 %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114,477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color w:val="auto"/>
              </w:rPr>
              <w:t>115,667</w:t>
            </w:r>
          </w:p>
        </w:tc>
        <w:tc>
          <w:tcPr>
            <w:tcW w:w="1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8.1 %</w:t>
            </w:r>
          </w:p>
        </w:tc>
        <w:tc>
          <w:tcPr>
            <w:tcW w:w="0" w:type="dxa"/>
            <w:vAlign w:val="bottom"/>
          </w:tcPr>
          <w:p>
            <w:pPr>
              <w:spacing w:after="0"/>
              <w:rPr>
                <w:sz w:val="1"/>
                <w:szCs w:val="1"/>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guaranteed by the U.S. government</w:t>
            </w:r>
          </w:p>
        </w:tc>
        <w:tc>
          <w:tcPr>
            <w:tcW w:w="2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Redeemable preferred stock</w:t>
            </w: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1,991</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0.1 %</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2,034</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0.1 %</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8"/>
                <w:szCs w:val="18"/>
                <w:color w:val="auto"/>
                <w:w w:val="95"/>
              </w:rPr>
              <w:t>Total fixed maturity securities, available-for-</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1,664,382</w:t>
            </w:r>
          </w:p>
        </w:tc>
        <w:tc>
          <w:tcPr>
            <w:tcW w:w="100" w:type="dxa"/>
            <w:vAlign w:val="bottom"/>
          </w:tcPr>
          <w:p>
            <w:pPr>
              <w:spacing w:after="0"/>
              <w:rPr>
                <w:sz w:val="18"/>
                <w:szCs w:val="18"/>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1,747,404</w:t>
            </w:r>
          </w:p>
        </w:tc>
        <w:tc>
          <w:tcPr>
            <w:tcW w:w="12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100.0 %</w:t>
            </w:r>
          </w:p>
        </w:tc>
        <w:tc>
          <w:tcPr>
            <w:tcW w:w="100" w:type="dxa"/>
            <w:vAlign w:val="bottom"/>
          </w:tcPr>
          <w:p>
            <w:pPr>
              <w:spacing w:after="0"/>
              <w:rPr>
                <w:sz w:val="18"/>
                <w:szCs w:val="18"/>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1,398,533</w:t>
            </w:r>
          </w:p>
        </w:tc>
        <w:tc>
          <w:tcPr>
            <w:tcW w:w="120" w:type="dxa"/>
            <w:vAlign w:val="bottom"/>
          </w:tcPr>
          <w:p>
            <w:pPr>
              <w:spacing w:after="0"/>
              <w:rPr>
                <w:sz w:val="18"/>
                <w:szCs w:val="18"/>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1,433,626</w:t>
            </w:r>
          </w:p>
        </w:tc>
        <w:tc>
          <w:tcPr>
            <w:tcW w:w="10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100.0 %</w:t>
            </w:r>
          </w:p>
        </w:tc>
        <w:tc>
          <w:tcPr>
            <w:tcW w:w="0" w:type="dxa"/>
            <w:vAlign w:val="bottom"/>
          </w:tcPr>
          <w:p>
            <w:pPr>
              <w:spacing w:after="0"/>
              <w:rPr>
                <w:sz w:val="1"/>
                <w:szCs w:val="1"/>
                <w:color w:val="auto"/>
              </w:rPr>
            </w:pPr>
          </w:p>
        </w:tc>
      </w:tr>
      <w:tr>
        <w:trPr>
          <w:trHeight w:val="235"/>
        </w:trPr>
        <w:tc>
          <w:tcPr>
            <w:tcW w:w="3340" w:type="dxa"/>
            <w:vAlign w:val="bottom"/>
          </w:tcPr>
          <w:p>
            <w:pPr>
              <w:ind w:left="20"/>
              <w:spacing w:after="0"/>
              <w:rPr>
                <w:sz w:val="20"/>
                <w:szCs w:val="20"/>
                <w:color w:val="auto"/>
              </w:rPr>
            </w:pPr>
            <w:r>
              <w:rPr>
                <w:rFonts w:ascii="Arial" w:cs="Arial" w:eastAsia="Arial" w:hAnsi="Arial"/>
                <w:sz w:val="18"/>
                <w:szCs w:val="18"/>
                <w:color w:val="auto"/>
              </w:rPr>
              <w:t>sale</w:t>
            </w:r>
          </w:p>
        </w:tc>
        <w:tc>
          <w:tcPr>
            <w:tcW w:w="22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following table sets forth the composition of the Company’s portfolio of available-for-sale fixed maturity securities by rating as of </w:t>
      </w:r>
      <w:r>
        <w:rPr>
          <w:rFonts w:ascii="Arial" w:cs="Arial" w:eastAsia="Arial" w:hAnsi="Arial"/>
          <w:sz w:val="16"/>
          <w:szCs w:val="16"/>
          <w:color w:val="231F20"/>
        </w:rPr>
        <w:t>June 30, 2020</w:t>
      </w:r>
      <w:r>
        <w:rPr>
          <w:rFonts w:ascii="Arial" w:cs="Arial" w:eastAsia="Arial" w:hAnsi="Arial"/>
          <w:sz w:val="16"/>
          <w:szCs w:val="16"/>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Standard &amp; Poor’s or Equivalent Designation</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8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3"/>
          </w:tcPr>
          <w:p>
            <w:pPr>
              <w:jc w:val="right"/>
              <w:ind w:right="733"/>
              <w:spacing w:after="0"/>
              <w:rPr>
                <w:sz w:val="20"/>
                <w:szCs w:val="20"/>
                <w:color w:val="auto"/>
              </w:rPr>
            </w:pPr>
            <w:r>
              <w:rPr>
                <w:rFonts w:ascii="Arial" w:cs="Arial" w:eastAsia="Arial" w:hAnsi="Arial"/>
                <w:sz w:val="14"/>
                <w:szCs w:val="14"/>
                <w:b w:val="1"/>
                <w:bCs w:val="1"/>
                <w:i w:val="1"/>
                <w:iCs w:val="1"/>
                <w:color w:val="auto"/>
              </w:rPr>
              <w:t>($ in thousands)</w:t>
            </w:r>
          </w:p>
        </w:tc>
      </w:tr>
      <w:tr>
        <w:trPr>
          <w:trHeight w:val="25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340,607</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AA</w:t>
            </w:r>
          </w:p>
        </w:tc>
        <w:tc>
          <w:tcPr>
            <w:tcW w:w="18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653,887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37.4 %</w:t>
            </w:r>
          </w:p>
        </w:tc>
      </w:tr>
      <w:tr>
        <w:trPr>
          <w:trHeight w:val="27"/>
        </w:trPr>
        <w:tc>
          <w:tcPr>
            <w:tcW w:w="8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574,128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32.9 %</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BBB</w:t>
            </w:r>
          </w:p>
        </w:tc>
        <w:tc>
          <w:tcPr>
            <w:tcW w:w="18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173,246</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9.9 %</w:t>
            </w:r>
          </w:p>
        </w:tc>
      </w:tr>
      <w:tr>
        <w:trPr>
          <w:trHeight w:val="27"/>
        </w:trPr>
        <w:tc>
          <w:tcPr>
            <w:tcW w:w="8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Below BBB and unrated</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5,536</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63"/>
        </w:trPr>
        <w:tc>
          <w:tcPr>
            <w:tcW w:w="860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1,747,404</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At June 30, 2020, our portfolio of fixed maturity securities contained corporate fixed maturity securities (available-for-sale) with a fair value of $754.4 million. A summary of these securities by industry segment is shown below as of </w:t>
      </w:r>
      <w:r>
        <w:rPr>
          <w:rFonts w:ascii="Arial" w:cs="Arial" w:eastAsia="Arial" w:hAnsi="Arial"/>
          <w:sz w:val="18"/>
          <w:szCs w:val="18"/>
          <w:color w:val="231F20"/>
        </w:rPr>
        <w:t>June 30, 2020</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Industry</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auto"/>
            </w:tcBorders>
          </w:tcPr>
          <w:p>
            <w:pPr>
              <w:spacing w:after="0"/>
              <w:rPr>
                <w:sz w:val="16"/>
                <w:szCs w:val="16"/>
                <w:color w:val="auto"/>
              </w:rPr>
            </w:pPr>
          </w:p>
        </w:tc>
      </w:tr>
      <w:tr>
        <w:trPr>
          <w:trHeight w:val="196"/>
        </w:trPr>
        <w:tc>
          <w:tcPr>
            <w:tcW w:w="8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3"/>
          </w:tcPr>
          <w:p>
            <w:pPr>
              <w:jc w:val="right"/>
              <w:ind w:right="532"/>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17"/>
                <w:szCs w:val="17"/>
                <w:color w:val="auto"/>
              </w:rPr>
            </w:pPr>
          </w:p>
        </w:tc>
      </w:tr>
      <w:tr>
        <w:trPr>
          <w:trHeight w:val="256"/>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Industrials and Other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178,511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Financial</w:t>
            </w:r>
          </w:p>
        </w:tc>
        <w:tc>
          <w:tcPr>
            <w:tcW w:w="18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202,185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8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Consumer Discretionary</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106,923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Health Care</w:t>
            </w:r>
          </w:p>
        </w:tc>
        <w:tc>
          <w:tcPr>
            <w:tcW w:w="18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93,776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8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Consumer Staples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64,840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Utilities</w:t>
            </w:r>
          </w:p>
        </w:tc>
        <w:tc>
          <w:tcPr>
            <w:tcW w:w="18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108,207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8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9"/>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754,442</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Corporate fixed maturity securities (available-for-sale) include publicly traded securities and privately placed bonds as shown below as of </w:t>
      </w:r>
      <w:r>
        <w:rPr>
          <w:rFonts w:ascii="Arial" w:cs="Arial" w:eastAsia="Arial" w:hAnsi="Arial"/>
          <w:sz w:val="16"/>
          <w:szCs w:val="16"/>
          <w:color w:val="231F20"/>
        </w:rPr>
        <w:t>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2020</w:t>
      </w:r>
      <w:r>
        <w:rPr>
          <w:rFonts w:ascii="Arial" w:cs="Arial" w:eastAsia="Arial" w:hAnsi="Arial"/>
          <w:sz w:val="18"/>
          <w:szCs w:val="18"/>
          <w:color w:val="000000"/>
        </w:rPr>
        <w: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Public/Private</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auto"/>
            </w:tcBorders>
          </w:tcPr>
          <w:p>
            <w:pPr>
              <w:spacing w:after="0"/>
              <w:rPr>
                <w:sz w:val="16"/>
                <w:szCs w:val="16"/>
                <w:color w:val="auto"/>
              </w:rPr>
            </w:pPr>
          </w:p>
        </w:tc>
      </w:tr>
      <w:tr>
        <w:trPr>
          <w:trHeight w:val="196"/>
        </w:trPr>
        <w:tc>
          <w:tcPr>
            <w:tcW w:w="8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3"/>
          </w:tcPr>
          <w:p>
            <w:pPr>
              <w:jc w:val="right"/>
              <w:ind w:right="515"/>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17"/>
                <w:szCs w:val="17"/>
                <w:color w:val="auto"/>
              </w:rPr>
            </w:pPr>
          </w:p>
        </w:tc>
      </w:tr>
      <w:tr>
        <w:trPr>
          <w:trHeight w:val="256"/>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Publicly traded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684,739</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Privately placed</w:t>
            </w:r>
          </w:p>
        </w:tc>
        <w:tc>
          <w:tcPr>
            <w:tcW w:w="200" w:type="dxa"/>
            <w:vAlign w:val="bottom"/>
          </w:tcPr>
          <w:p>
            <w:pPr>
              <w:spacing w:after="0"/>
              <w:rPr>
                <w:sz w:val="21"/>
                <w:szCs w:val="21"/>
                <w:color w:val="auto"/>
              </w:rPr>
            </w:pPr>
          </w:p>
        </w:tc>
        <w:tc>
          <w:tcPr>
            <w:tcW w:w="1000" w:type="dxa"/>
            <w:vAlign w:val="bottom"/>
          </w:tcPr>
          <w:p>
            <w:pPr>
              <w:jc w:val="right"/>
              <w:ind w:right="77"/>
              <w:spacing w:after="0"/>
              <w:rPr>
                <w:sz w:val="20"/>
                <w:szCs w:val="20"/>
                <w:color w:val="auto"/>
              </w:rPr>
            </w:pPr>
            <w:r>
              <w:rPr>
                <w:rFonts w:ascii="Arial" w:cs="Arial" w:eastAsia="Arial" w:hAnsi="Arial"/>
                <w:sz w:val="18"/>
                <w:szCs w:val="18"/>
                <w:color w:val="auto"/>
              </w:rPr>
              <w:t>69,703</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8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8"/>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754,442</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amortized cost and fair value of our available-for-sale investments in fixed maturity securities summarized by contractual maturity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June 30, 2020</w:t>
            </w:r>
          </w:p>
        </w:tc>
        <w:tc>
          <w:tcPr>
            <w:tcW w:w="1260" w:type="dxa"/>
            <w:vAlign w:val="bottom"/>
            <w:tcBorders>
              <w:bottom w:val="single" w:sz="8" w:color="auto"/>
            </w:tcBorders>
          </w:tcPr>
          <w:p>
            <w:pPr>
              <w:spacing w:after="0"/>
              <w:rPr>
                <w:sz w:val="16"/>
                <w:szCs w:val="16"/>
                <w:color w:val="auto"/>
              </w:rPr>
            </w:pPr>
          </w:p>
        </w:tc>
      </w:tr>
      <w:tr>
        <w:trPr>
          <w:trHeight w:val="152"/>
        </w:trPr>
        <w:tc>
          <w:tcPr>
            <w:tcW w:w="7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Amortized</w:t>
            </w:r>
          </w:p>
        </w:tc>
        <w:tc>
          <w:tcPr>
            <w:tcW w:w="300" w:type="dxa"/>
            <w:vAlign w:val="bottom"/>
          </w:tcPr>
          <w:p>
            <w:pPr>
              <w:spacing w:after="0"/>
              <w:rPr>
                <w:sz w:val="13"/>
                <w:szCs w:val="13"/>
                <w:color w:val="auto"/>
              </w:rPr>
            </w:pPr>
          </w:p>
        </w:tc>
        <w:tc>
          <w:tcPr>
            <w:tcW w:w="10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Fair</w:t>
            </w:r>
          </w:p>
        </w:tc>
        <w:tc>
          <w:tcPr>
            <w:tcW w:w="1260" w:type="dxa"/>
            <w:vAlign w:val="bottom"/>
          </w:tcPr>
          <w:p>
            <w:pPr>
              <w:jc w:val="right"/>
              <w:ind w:right="394"/>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7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2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Total Value</w:t>
            </w:r>
          </w:p>
        </w:tc>
      </w:tr>
      <w:tr>
        <w:trPr>
          <w:trHeight w:val="196"/>
        </w:trPr>
        <w:tc>
          <w:tcPr>
            <w:tcW w:w="7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260" w:type="dxa"/>
            <w:vAlign w:val="bottom"/>
          </w:tcPr>
          <w:p>
            <w:pPr>
              <w:spacing w:after="0"/>
              <w:rPr>
                <w:sz w:val="17"/>
                <w:szCs w:val="17"/>
                <w:color w:val="auto"/>
              </w:rPr>
            </w:pPr>
          </w:p>
        </w:tc>
      </w:tr>
      <w:tr>
        <w:trPr>
          <w:trHeight w:val="256"/>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w:t>
            </w: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7300" w:type="dxa"/>
            <w:vAlign w:val="bottom"/>
          </w:tcPr>
          <w:p>
            <w:pPr>
              <w:ind w:left="120"/>
              <w:spacing w:after="0"/>
              <w:rPr>
                <w:sz w:val="20"/>
                <w:szCs w:val="20"/>
                <w:color w:val="auto"/>
              </w:rPr>
            </w:pPr>
            <w:r>
              <w:rPr>
                <w:rFonts w:ascii="Arial" w:cs="Arial" w:eastAsia="Arial" w:hAnsi="Arial"/>
                <w:sz w:val="18"/>
                <w:szCs w:val="18"/>
                <w:color w:val="auto"/>
              </w:rPr>
              <w:t>One year or less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103,318</w:t>
            </w:r>
          </w:p>
        </w:tc>
        <w:tc>
          <w:tcPr>
            <w:tcW w:w="10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104,395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6.0 %</w:t>
            </w:r>
          </w:p>
        </w:tc>
      </w:tr>
      <w:tr>
        <w:trPr>
          <w:trHeight w:val="27"/>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After one year through five years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472,778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498,541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28.5 %</w:t>
            </w:r>
          </w:p>
        </w:tc>
      </w:tr>
      <w:tr>
        <w:trPr>
          <w:trHeight w:val="243"/>
        </w:trPr>
        <w:tc>
          <w:tcPr>
            <w:tcW w:w="7300" w:type="dxa"/>
            <w:vAlign w:val="bottom"/>
          </w:tcPr>
          <w:p>
            <w:pPr>
              <w:ind w:left="120"/>
              <w:spacing w:after="0"/>
              <w:rPr>
                <w:sz w:val="20"/>
                <w:szCs w:val="20"/>
                <w:color w:val="auto"/>
              </w:rPr>
            </w:pPr>
            <w:r>
              <w:rPr>
                <w:rFonts w:ascii="Arial" w:cs="Arial" w:eastAsia="Arial" w:hAnsi="Arial"/>
                <w:sz w:val="18"/>
                <w:szCs w:val="18"/>
                <w:color w:val="auto"/>
              </w:rPr>
              <w:t>After five years through ten years</w:t>
            </w:r>
          </w:p>
        </w:tc>
        <w:tc>
          <w:tcPr>
            <w:tcW w:w="18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293,830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316,790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18.1 %</w:t>
            </w:r>
          </w:p>
        </w:tc>
      </w:tr>
      <w:tr>
        <w:trPr>
          <w:trHeight w:val="27"/>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After ten years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206,874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223,318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12.8 %</w:t>
            </w:r>
          </w:p>
        </w:tc>
      </w:tr>
      <w:tr>
        <w:trPr>
          <w:trHeight w:val="243"/>
        </w:trPr>
        <w:tc>
          <w:tcPr>
            <w:tcW w:w="7300" w:type="dxa"/>
            <w:vAlign w:val="bottom"/>
          </w:tcPr>
          <w:p>
            <w:pPr>
              <w:ind w:left="120"/>
              <w:spacing w:after="0"/>
              <w:rPr>
                <w:sz w:val="20"/>
                <w:szCs w:val="20"/>
                <w:color w:val="auto"/>
              </w:rPr>
            </w:pPr>
            <w:r>
              <w:rPr>
                <w:rFonts w:ascii="Arial" w:cs="Arial" w:eastAsia="Arial" w:hAnsi="Arial"/>
                <w:sz w:val="18"/>
                <w:szCs w:val="18"/>
                <w:color w:val="auto"/>
              </w:rPr>
              <w:t>Residential mortgage-backed</w:t>
            </w:r>
          </w:p>
        </w:tc>
        <w:tc>
          <w:tcPr>
            <w:tcW w:w="18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282,396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291,188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16.7 %</w:t>
            </w:r>
          </w:p>
        </w:tc>
      </w:tr>
      <w:tr>
        <w:trPr>
          <w:trHeight w:val="27"/>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Commercial mortgage and asset-backed</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303,161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311,181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17.8 %</w:t>
            </w:r>
          </w:p>
        </w:tc>
      </w:tr>
      <w:tr>
        <w:trPr>
          <w:trHeight w:val="243"/>
        </w:trPr>
        <w:tc>
          <w:tcPr>
            <w:tcW w:w="7300" w:type="dxa"/>
            <w:vAlign w:val="bottom"/>
          </w:tcPr>
          <w:p>
            <w:pPr>
              <w:ind w:left="120"/>
              <w:spacing w:after="0"/>
              <w:rPr>
                <w:sz w:val="20"/>
                <w:szCs w:val="20"/>
                <w:color w:val="auto"/>
              </w:rPr>
            </w:pPr>
            <w:r>
              <w:rPr>
                <w:rFonts w:ascii="Arial" w:cs="Arial" w:eastAsia="Arial" w:hAnsi="Arial"/>
                <w:sz w:val="18"/>
                <w:szCs w:val="18"/>
                <w:color w:val="auto"/>
              </w:rPr>
              <w:t>Redeemable preferred stock</w:t>
            </w:r>
          </w:p>
        </w:tc>
        <w:tc>
          <w:tcPr>
            <w:tcW w:w="18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1,991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0.1 %</w:t>
            </w:r>
          </w:p>
        </w:tc>
      </w:tr>
      <w:tr>
        <w:trPr>
          <w:trHeight w:val="27"/>
        </w:trPr>
        <w:tc>
          <w:tcPr>
            <w:tcW w:w="7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1,664,382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2"/>
              </w:rPr>
              <w:t>1,747,404</w:t>
            </w: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100.0 %</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80" w:firstLine="364"/>
        <w:spacing w:after="0" w:line="375" w:lineRule="auto"/>
        <w:rPr>
          <w:sz w:val="20"/>
          <w:szCs w:val="20"/>
          <w:color w:val="auto"/>
        </w:rPr>
      </w:pPr>
      <w:r>
        <w:rPr>
          <w:rFonts w:ascii="Arial" w:cs="Arial" w:eastAsia="Arial" w:hAnsi="Arial"/>
          <w:sz w:val="18"/>
          <w:szCs w:val="18"/>
          <w:color w:val="auto"/>
        </w:rPr>
        <w:t xml:space="preserve">At June 30, 2020, the Company had no investments in securitizations of alternative-A mortgages or sub-prime mortgages. </w:t>
      </w:r>
      <w:r>
        <w:rPr>
          <w:rFonts w:ascii="Arial" w:cs="Arial" w:eastAsia="Arial" w:hAnsi="Arial"/>
          <w:sz w:val="18"/>
          <w:szCs w:val="18"/>
          <w:b w:val="1"/>
          <w:bCs w:val="1"/>
          <w:i w:val="1"/>
          <w:iCs w:val="1"/>
          <w:color w:val="auto"/>
        </w:rPr>
        <w:t>Interest Expense</w:t>
      </w:r>
    </w:p>
    <w:p>
      <w:pPr>
        <w:spacing w:after="0" w:line="1"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Interest expense was $3.0 million and $2.7 million for the three months ended June 30, 2020 and 2019, respectively ($5.8 million and $5.5 million for the respective six month periods). See “—Liquidity and Capital Resources—Sources and Uses of Funds” for more information regarding our senior bank debt facilities and trust preferred securities.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recorded $149,000 and $298,000 of amortization of intangible assets for each of the three and six months ended June 30, 2020 and 2019,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effective tax rate fluctuates from period to period based on the relative mix of income reported by country and the respective tax rates imposed by each tax jurisdiction.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 The outbreak of the coronavirus pandemic in the first quarter of 2020 led to significant unrealized losses in our investment portfolio that were recognized in earnings. As a result, the Company had a pre-tax loss of $1.5 million for the six months ended June 30, 2020 and recorded a U.S. federal income tax benefit of $257,000. For the six months ended June 30, 2019, our U.S. federal income tax expense was 14.7% of income before taxes.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organized as a Bermuda holding company with our operations conducted by our wholly-owned subsidiaries. Accordingly, our holding company may receive cash through loans from banks, issuance of common shares, borrowings on our credit facilities,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payment of dividends by our subsidiaries to us is limited by statute. In general, the laws and regulations applicable to our domestic insurance subsidiaries limit the aggregate amount of dividends or other distributions that they may declare or pay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the reduction of statutory surplus to inadequate levels and could refuse to permit the payment of dividends calculated under any applicable formula. The maximum amount of dividends available to the U.S. holding company from our U.S. insurance subsidiaries during 2020 without regulatory approval is $26.7 million.</w:t>
      </w:r>
    </w:p>
    <w:p>
      <w:pPr>
        <w:spacing w:after="0" w:line="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The maximum combined amount of dividends and return of capital available to us from our Bermuda insurers in 2020 is calculated to be approximately $125.6 million. However, any dividend payment is contingent upon continued compliance with Bermuda regulatory requirements, including but not limited to the enhanced solvency requirement calculations.</w:t>
      </w:r>
    </w:p>
    <w:p>
      <w:pPr>
        <w:spacing w:after="0" w:line="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At June 30, 2020, the Bermuda holding company had $995,000 of cash and cash equivalents. The U.S. holding company had $48.2 million of cash and invested assets, comprised of cash and cash equivalents of $6.5 million and other invested assets of $41.7 million, which are not subject to regulatory restrictions. Additionally, our U.K. intermediate holding company had no invested assets and cash of less than ten thousand dollars at June 30, 2020.</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a $315.0 million senior revolving credit facility (as amended or amended and restated, the “2013 Facility”). The 2013 Facility is comprised of the following at June 30, 2020:</w:t>
      </w:r>
    </w:p>
    <w:p>
      <w:pPr>
        <w:spacing w:after="0" w:line="62" w:lineRule="exact"/>
        <w:rPr>
          <w:sz w:val="20"/>
          <w:szCs w:val="20"/>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$102.5 million secured revolving facility used by JRG Re to issue letters of credit for the benefit of third-party reinsureds. This portion of our credit facility is secured by our investment securities. At June 30, 2020, the Company had $74.7 million of letters of credit issued under the secured facility.</w:t>
      </w:r>
    </w:p>
    <w:p>
      <w:pPr>
        <w:spacing w:after="0" w:line="75"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$212.5 million unsecured revolving facility to meet the working capital needs of the Company. All unpaid principal on the revolver is due at maturity. Interest accrues quarterly and is payable in arrears at 3-month LIBOR plus a margin which is currently 1.625% and is subject to change according to terms in the credit agreement. At June 30, 2020, the Company had a drawn balance of $163.3 million outstanding on the unsecured revolver. We drew $60.0 million on this credit facility in the three months ended March 31, 2020 as a precautionary measure to increase our cash position and preserve financial flexibility in light of current uncertainty in the global markets resulting from the coronavirus (COVID-19) outbreak. $30.0 million was repaid in the three months ended June 30, 2020.</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2013 Facility has been amended from time to time since its inception in 2013. On November 8, 2019, the Company entered into a Second Amended and Restated Credit Agreement for the 2013 Facility which, among other things, extended the maturity date of the 2013 Facility until November 8, 2024, increased the amount available under the unsecured revolving credit facility to $212.5 million, lowered the applicable interest rate and letter of credit fees, and modified certain negative covenants to be less restrictive.</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2013 Facility contains certain financial and other covenants (including minimum net worth, maximum ratio of total adjusted debt outstanding to total capitalization, and financial strength ratings) with which the Company was in compliance at June 30, 2020.</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August 2, 2017, the Company, and its wholly-owned subsidiary, JRG Re, together as borrowers, entered into a credit agreement (the "2017 Facility") that provides the Company with a revolving line of credit of up to $100 million, which may be used for loans and letters of credit made or issued, at the borrowers' option, on a secured or unsecured basis. Obligations under the 2017 Facility carry a variable rate of interest subject to terms in the credit agreement and will mature 30 days after notice of termination from the lender. The 2017 Facility contains certain financial and other covenants with which we are in compliance at June 30, 2020. The loans and letters of credit made or issued under the revolving line of credit of the 2017 Facility may be used to finance the borrowers' general corporate purposes. On November 8, 2019, the Company entered into a First Amendment to Credit Agreement which, among other things, lowered the applicable interest rate and modified certain negative covenants to be less restrictive. Interest accrues quarterly and is payable in arrears at variable rates which are subject to change according to terms in the credit agreement. At June 30, 2020, unsecured loans of $39.0 million and secured letters of credit totaling $17.8 million were outstanding on the 2017 Facility. We drew $59.0 million of unsecured capacity on this credit facility in the three months ended March 31, 2020 as a precautionary measure to increase our cash position and preserve financial flexibility in light of current uncertainty in the global markets resulting from the coronavirus (COVID-19) outbreak. $30.0 million was repaid in the three months ended June 30, 2020.</w:t>
      </w:r>
    </w:p>
    <w:p>
      <w:pPr>
        <w:spacing w:after="0" w:line="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May 2004, we issued $15.0 million of senior debt due April 29, 2034. The senior debt is not redeemable by the holder or subject to sinking fund requirements. Interest accrues quarterly and is payable in arrears at a floating rate per annum equal to the 3-month LIBOR plus 3.85%. This senior debt is redeemable at par prior to its stated maturity at our option in whole or in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part. The terms of the senior debt contain certain covenants, with which we are in compliance at June 30, 2020, and which, among other things, restrict our ability to assume senior indebtedness secured by our U.S. holding company’s common stock or its subsidiaries’ capital stock or to issue shares of its subsidiaries’ capital stock.</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nature and terms of the junior subordinated debt and trust preferred securities outstanding at June 30, 2020 (including the Company’s repurchases of a portion of these trust preferred securities):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9"/>
              </w:rPr>
              <w:t>Franklin</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54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2"/>
              </w:rPr>
              <w:t>James River</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Holdings II</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(Bermuda)</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54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8"/>
              </w:rPr>
              <w:t>Capital Trust</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Capital Trust</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5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I</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II</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III</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IV</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0"/>
              </w:rPr>
              <w:t>($ in thousands)</w:t>
            </w: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 date</w:t>
            </w:r>
          </w:p>
        </w:tc>
        <w:tc>
          <w:tcPr>
            <w:tcW w:w="154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3"/>
              </w:rPr>
              <w:t>May 26,</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December 15,</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June 15,</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11,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10,</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center"/>
              <w:ind w:right="54"/>
              <w:spacing w:after="0"/>
              <w:rPr>
                <w:sz w:val="20"/>
                <w:szCs w:val="20"/>
                <w:color w:val="auto"/>
              </w:rPr>
            </w:pPr>
            <w:r>
              <w:rPr>
                <w:rFonts w:ascii="Arial" w:cs="Arial" w:eastAsia="Arial" w:hAnsi="Arial"/>
                <w:sz w:val="18"/>
                <w:szCs w:val="18"/>
                <w:color w:val="auto"/>
                <w:w w:val="89"/>
              </w:rPr>
              <w:t>2004</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Principal amount of trust preferred securities</w:t>
            </w:r>
          </w:p>
        </w:tc>
        <w:tc>
          <w:tcPr>
            <w:tcW w:w="1540" w:type="dxa"/>
            <w:vAlign w:val="bottom"/>
          </w:tcPr>
          <w:p>
            <w:pPr>
              <w:jc w:val="center"/>
              <w:ind w:right="54"/>
              <w:spacing w:after="0"/>
              <w:rPr>
                <w:sz w:val="20"/>
                <w:szCs w:val="20"/>
                <w:color w:val="auto"/>
              </w:rPr>
            </w:pPr>
            <w:r>
              <w:rPr>
                <w:rFonts w:ascii="Arial" w:cs="Arial" w:eastAsia="Arial" w:hAnsi="Arial"/>
                <w:sz w:val="18"/>
                <w:szCs w:val="18"/>
                <w:color w:val="auto"/>
                <w:w w:val="87"/>
              </w:rPr>
              <w:t>$7,000</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$15,000</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$20,000</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$54,000</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$30,000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amount of junior subordinated debt</w:t>
            </w:r>
          </w:p>
        </w:tc>
        <w:tc>
          <w:tcPr>
            <w:tcW w:w="1540" w:type="dxa"/>
            <w:vAlign w:val="bottom"/>
            <w:tcBorders>
              <w:bottom w:val="single" w:sz="8" w:color="CCEEFF"/>
            </w:tcBorders>
            <w:shd w:val="clear" w:color="auto" w:fill="CCEEFF"/>
          </w:tcPr>
          <w:p>
            <w:pPr>
              <w:jc w:val="center"/>
              <w:ind w:right="54"/>
              <w:spacing w:after="0"/>
              <w:rPr>
                <w:sz w:val="20"/>
                <w:szCs w:val="20"/>
                <w:color w:val="auto"/>
              </w:rPr>
            </w:pPr>
            <w:r>
              <w:rPr>
                <w:rFonts w:ascii="Arial" w:cs="Arial" w:eastAsia="Arial" w:hAnsi="Arial"/>
                <w:sz w:val="18"/>
                <w:szCs w:val="18"/>
                <w:color w:val="auto"/>
                <w:w w:val="87"/>
              </w:rPr>
              <w:t>$7,217</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$15,464</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$20,619</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$55,670</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$30,928</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w w:val="96"/>
              </w:rPr>
              <w:t>Carrying amount of junior subordinated debt net</w:t>
            </w:r>
          </w:p>
        </w:tc>
        <w:tc>
          <w:tcPr>
            <w:tcW w:w="1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of repurchases</w:t>
            </w:r>
          </w:p>
        </w:tc>
        <w:tc>
          <w:tcPr>
            <w:tcW w:w="1540" w:type="dxa"/>
            <w:vAlign w:val="bottom"/>
          </w:tcPr>
          <w:p>
            <w:pPr>
              <w:jc w:val="center"/>
              <w:ind w:right="54"/>
              <w:spacing w:after="0"/>
              <w:rPr>
                <w:sz w:val="20"/>
                <w:szCs w:val="20"/>
                <w:color w:val="auto"/>
              </w:rPr>
            </w:pPr>
            <w:r>
              <w:rPr>
                <w:rFonts w:ascii="Arial" w:cs="Arial" w:eastAsia="Arial" w:hAnsi="Arial"/>
                <w:sz w:val="18"/>
                <w:szCs w:val="18"/>
                <w:color w:val="auto"/>
                <w:w w:val="87"/>
              </w:rPr>
              <w:t>$7,217</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$15,464</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$20,619</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$44,827</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$15,928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Maturity date of junior subordinated debt, unless</w:t>
            </w:r>
          </w:p>
        </w:tc>
        <w:tc>
          <w:tcPr>
            <w:tcW w:w="154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3"/>
              </w:rPr>
              <w:t>May 24,</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December 15,</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June 15,</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15,</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15,</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accelerated earlier</w:t>
            </w:r>
          </w:p>
        </w:tc>
        <w:tc>
          <w:tcPr>
            <w:tcW w:w="1540" w:type="dxa"/>
            <w:vAlign w:val="bottom"/>
            <w:tcBorders>
              <w:bottom w:val="single" w:sz="8" w:color="CCEEFF"/>
            </w:tcBorders>
            <w:shd w:val="clear" w:color="auto" w:fill="CCEEFF"/>
          </w:tcPr>
          <w:p>
            <w:pPr>
              <w:jc w:val="center"/>
              <w:ind w:right="54"/>
              <w:spacing w:after="0"/>
              <w:rPr>
                <w:sz w:val="20"/>
                <w:szCs w:val="20"/>
                <w:color w:val="auto"/>
              </w:rPr>
            </w:pPr>
            <w:r>
              <w:rPr>
                <w:rFonts w:ascii="Arial" w:cs="Arial" w:eastAsia="Arial" w:hAnsi="Arial"/>
                <w:sz w:val="18"/>
                <w:szCs w:val="18"/>
                <w:color w:val="auto"/>
                <w:w w:val="89"/>
              </w:rPr>
              <w:t>2034</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2034</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2036</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2037</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2038</w:t>
            </w: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Trust common stock</w:t>
            </w:r>
          </w:p>
        </w:tc>
        <w:tc>
          <w:tcPr>
            <w:tcW w:w="1540" w:type="dxa"/>
            <w:vAlign w:val="bottom"/>
          </w:tcPr>
          <w:p>
            <w:pPr>
              <w:jc w:val="center"/>
              <w:ind w:right="54"/>
              <w:spacing w:after="0"/>
              <w:rPr>
                <w:sz w:val="20"/>
                <w:szCs w:val="20"/>
                <w:color w:val="auto"/>
              </w:rPr>
            </w:pPr>
            <w:r>
              <w:rPr>
                <w:rFonts w:ascii="Arial" w:cs="Arial" w:eastAsia="Arial" w:hAnsi="Arial"/>
                <w:sz w:val="18"/>
                <w:szCs w:val="18"/>
                <w:color w:val="auto"/>
                <w:w w:val="89"/>
              </w:rPr>
              <w:t>$217</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$464</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$619</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$1,670</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$928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per annum</w:t>
            </w:r>
          </w:p>
        </w:tc>
        <w:tc>
          <w:tcPr>
            <w:tcW w:w="15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6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3"/>
              </w:rPr>
              <w:t>Three-Month</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LIBOR plus</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p>
        </w:tc>
        <w:tc>
          <w:tcPr>
            <w:tcW w:w="1540" w:type="dxa"/>
            <w:vAlign w:val="bottom"/>
            <w:shd w:val="clear" w:color="auto" w:fill="CCEEFF"/>
          </w:tcPr>
          <w:p>
            <w:pPr>
              <w:jc w:val="center"/>
              <w:ind w:right="34"/>
              <w:spacing w:after="0"/>
              <w:rPr>
                <w:sz w:val="20"/>
                <w:szCs w:val="20"/>
                <w:color w:val="auto"/>
              </w:rPr>
            </w:pPr>
            <w:r>
              <w:rPr>
                <w:rFonts w:ascii="Arial" w:cs="Arial" w:eastAsia="Arial" w:hAnsi="Arial"/>
                <w:sz w:val="18"/>
                <w:szCs w:val="18"/>
                <w:color w:val="auto"/>
                <w:w w:val="94"/>
              </w:rPr>
              <w:t>LIBOR plus 4.0%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3.4%</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3.0%</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LIBOR plus 3.1%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4.0%</w:t>
            </w:r>
          </w:p>
        </w:tc>
        <w:tc>
          <w:tcPr>
            <w:tcW w:w="0" w:type="dxa"/>
            <w:vAlign w:val="bottom"/>
          </w:tcPr>
          <w:p>
            <w:pPr>
              <w:spacing w:after="0"/>
              <w:rPr>
                <w:sz w:val="1"/>
                <w:szCs w:val="1"/>
                <w:color w:val="auto"/>
              </w:rPr>
            </w:pPr>
          </w:p>
        </w:tc>
      </w:tr>
      <w:tr>
        <w:trPr>
          <w:trHeight w:val="27"/>
        </w:trPr>
        <w:tc>
          <w:tcPr>
            <w:tcW w:w="37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junior subordinated debt is currently redeemable at 100.0% of the unpaid principal amount at our option.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junior subordinated debt contains certain covenants with which we are in compliance as of June 30, 2020.</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June 30, 2020 and December 31, 2019, the ratio of total debt outstanding, including both senior debt and junior subordinated debt, to total capitalization (defined as total debt plus total stockholders’ equity) was 28.8% and 25.2%, respectively. Having debt as part of our capital structure allows us to generate a higher return on equity and greater book value per share results than we could by using equity capital alone.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Ceded Reinsurance</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color w:val="auto"/>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quota share reinsurance, the reinsurer agrees to assume a specified percentage of the ceding company’s losses arising out of a defined class of business in exchange for a corresponding percentage of premiums. For the three months ended June 30, 2020 and 2019, our net premium retention was 55.0% and 63.1%, respectively (51.3% and 63.3% for the six month periods, respectively).</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Excess and Surplus Lines segment’s net retention after reinsurance as of June 30, 2020:</w:t>
      </w:r>
    </w:p>
    <w:p>
      <w:pPr>
        <w:sectPr>
          <w:pgSz w:w="11900" w:h="16838" w:orient="portrait"/>
          <w:cols w:equalWidth="0" w:num="1">
            <w:col w:w="11240"/>
          </w:cols>
          <w:pgMar w:left="320" w:top="125" w:right="339" w:bottom="1440" w:gutter="0" w:footer="0" w:header="0"/>
        </w:sect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Casualty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26917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30" w:lineRule="exact"/>
        <w:rPr>
          <w:sz w:val="20"/>
          <w:szCs w:val="20"/>
          <w:color w:val="auto"/>
        </w:rPr>
      </w:pPr>
    </w:p>
    <w:p>
      <w:pPr>
        <w:ind w:left="440" w:right="20" w:hanging="161"/>
        <w:spacing w:after="0" w:line="235" w:lineRule="auto"/>
        <w:rPr>
          <w:sz w:val="20"/>
          <w:szCs w:val="20"/>
          <w:color w:val="auto"/>
        </w:rPr>
      </w:pPr>
      <w:r>
        <w:rPr>
          <w:rFonts w:ascii="Arial" w:cs="Arial" w:eastAsia="Arial" w:hAnsi="Arial"/>
          <w:sz w:val="18"/>
          <w:szCs w:val="18"/>
          <w:color w:val="auto"/>
        </w:rPr>
        <w:t>Primary Specialty Casualty, including Professional Liability</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Primary Casualty</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Excess Casualty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2620"/>
        <w:spacing w:after="0"/>
        <w:rPr>
          <w:sz w:val="20"/>
          <w:szCs w:val="20"/>
          <w:color w:val="auto"/>
        </w:rPr>
      </w:pPr>
      <w:r>
        <w:rPr>
          <w:rFonts w:ascii="Arial" w:cs="Arial" w:eastAsia="Arial" w:hAnsi="Arial"/>
          <w:sz w:val="14"/>
          <w:szCs w:val="14"/>
          <w:b w:val="1"/>
          <w:bCs w:val="1"/>
          <w:color w:val="auto"/>
        </w:rPr>
        <w:t>Company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203835</wp:posOffset>
            </wp:positionV>
            <wp:extent cx="7106285" cy="257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6285" cy="25717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41573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15734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Up to $1.0 million per occurrence, subject to a $1.0 million aggregate deductible. </w:t>
      </w:r>
      <w:r>
        <w:rPr>
          <w:rFonts w:ascii="Arial" w:cs="Arial" w:eastAsia="Arial" w:hAnsi="Arial"/>
          <w:sz w:val="12"/>
          <w:szCs w:val="12"/>
          <w:i w:val="1"/>
          <w:iCs w:val="1"/>
          <w:color w:val="auto"/>
        </w:rPr>
        <w:t>(1)</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Up to $2.0 million per occurrence. </w:t>
      </w:r>
      <w:r>
        <w:rPr>
          <w:rFonts w:ascii="Arial" w:cs="Arial" w:eastAsia="Arial" w:hAnsi="Arial"/>
          <w:sz w:val="14"/>
          <w:szCs w:val="14"/>
          <w:i w:val="1"/>
          <w:i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14605</wp:posOffset>
            </wp:positionV>
            <wp:extent cx="710628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Up to $1.0 million per occurrence. </w:t>
      </w:r>
      <w:r>
        <w:rPr>
          <w:rFonts w:ascii="Arial" w:cs="Arial" w:eastAsia="Arial" w:hAnsi="Arial"/>
          <w:sz w:val="14"/>
          <w:szCs w:val="14"/>
          <w:i w:val="1"/>
          <w:iCs w:val="1"/>
          <w:color w:val="auto"/>
        </w:rPr>
        <w:t>(3)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Up to $5.0 million per event. </w:t>
      </w:r>
      <w:r>
        <w:rPr>
          <w:rFonts w:ascii="Arial" w:cs="Arial" w:eastAsia="Arial" w:hAnsi="Arial"/>
          <w:sz w:val="14"/>
          <w:szCs w:val="14"/>
          <w:i w:val="1"/>
          <w:iCs w:val="1"/>
          <w:color w:val="auto"/>
        </w:rPr>
        <w:t>(4)</w:t>
      </w:r>
    </w:p>
    <w:p>
      <w:pPr>
        <w:spacing w:after="0" w:line="198" w:lineRule="exact"/>
        <w:rPr>
          <w:sz w:val="20"/>
          <w:szCs w:val="20"/>
          <w:color w:val="auto"/>
        </w:rPr>
      </w:pPr>
    </w:p>
    <w:p>
      <w:pPr>
        <w:sectPr>
          <w:pgSz w:w="11900" w:h="16838" w:orient="portrait"/>
          <w:cols w:equalWidth="0" w:num="2">
            <w:col w:w="3960" w:space="720"/>
            <w:col w:w="6560"/>
          </w:cols>
          <w:pgMar w:left="320" w:top="125" w:right="3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(1) Except for Life Sciences quota share carve out, which is up to $2.0 million per occurrence</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Total exposure to any one claim is generally $1.0 million.</w:t>
      </w:r>
    </w:p>
    <w:p>
      <w:pPr>
        <w:spacing w:after="0" w:line="63" w:lineRule="exact"/>
        <w:rPr>
          <w:rFonts w:ascii="Arial" w:cs="Arial" w:eastAsia="Arial" w:hAnsi="Arial"/>
          <w:sz w:val="18"/>
          <w:szCs w:val="18"/>
          <w:i w:val="1"/>
          <w:iCs w:val="1"/>
          <w:color w:val="auto"/>
        </w:rPr>
      </w:pPr>
    </w:p>
    <w:p>
      <w:pPr>
        <w:ind w:left="320" w:hanging="312"/>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For policies with an occurrence limit up to $10.0 million, the excess casualty treaty is set such that our retention is no more than $1.0 million.</w:t>
      </w:r>
    </w:p>
    <w:p>
      <w:pPr>
        <w:spacing w:after="0" w:line="74" w:lineRule="exact"/>
        <w:rPr>
          <w:rFonts w:ascii="Arial" w:cs="Arial" w:eastAsia="Arial" w:hAnsi="Arial"/>
          <w:sz w:val="17"/>
          <w:szCs w:val="17"/>
          <w:color w:val="auto"/>
        </w:rPr>
      </w:pPr>
    </w:p>
    <w:p>
      <w:pPr>
        <w:ind w:left="320" w:hanging="312"/>
        <w:spacing w:after="0"/>
        <w:tabs>
          <w:tab w:leader="none" w:pos="3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The property catastrophe reinsurance treaty has a limit of $40.0 million with one reinstatement.</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spacing w:after="0" w:line="4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our Excess and Surplus Lines segment, we write a small book of excess property insurance, but we do not write primary property insurance. The Excess and Surplus Lines segment has a surplus share reinsurance treaty in effect that was specifically designed to cover property risks. The surplus share treaty along with facultative reinsurance helps ensure that our net retained limit per risk will be $5.0 million or less.</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Based upon the modeling of our Excess and Surplus Lines and Specialty Admitted segments, it would take an event beyond our 1 in 1000 year PML to exhaust our $45.0 million property catastrophe treaty. In the event of a catastrophe loss exhausting our $45.0 million property catastrophe treaty, we estimate our pre-tax cost at approximately $7.3 million, including reinstatement premiums and net retentions. In addition to this retention, we would retain any losses in excess of our reinsurance coverage limits.</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Effective March 1, 2019, Rasier, our largest Commercial Auto account, was subject to an auto liability quota share reinsurance contract that contained a $10.0 million occurrence cap and an annual aggregate of 200% of subject premium. In conjunction with the termination of the Rasier account, effective December 31, 2019, we simultaneously canceled our quota share reinsurance contract that protected this portfolio.</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Specialty Admitted Insurance segment’s ceded reinsurance in place as of June 30,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Line of Business</w:t>
            </w:r>
          </w:p>
        </w:tc>
        <w:tc>
          <w:tcPr>
            <w:tcW w:w="400" w:type="dxa"/>
            <w:vAlign w:val="bottom"/>
          </w:tcPr>
          <w:p>
            <w:pPr>
              <w:spacing w:after="0"/>
              <w:rPr>
                <w:sz w:val="16"/>
                <w:szCs w:val="16"/>
                <w:color w:val="auto"/>
              </w:rPr>
            </w:pPr>
          </w:p>
        </w:tc>
        <w:tc>
          <w:tcPr>
            <w:tcW w:w="7400" w:type="dxa"/>
            <w:vAlign w:val="bottom"/>
            <w:tcBorders>
              <w:bottom w:val="single" w:sz="8" w:color="auto"/>
            </w:tcBorders>
          </w:tcPr>
          <w:p>
            <w:pPr>
              <w:ind w:left="3400"/>
              <w:spacing w:after="0"/>
              <w:rPr>
                <w:sz w:val="20"/>
                <w:szCs w:val="20"/>
                <w:color w:val="auto"/>
              </w:rPr>
            </w:pPr>
            <w:r>
              <w:rPr>
                <w:rFonts w:ascii="Arial" w:cs="Arial" w:eastAsia="Arial" w:hAnsi="Arial"/>
                <w:sz w:val="14"/>
                <w:szCs w:val="14"/>
                <w:b w:val="1"/>
                <w:bCs w:val="1"/>
                <w:color w:val="auto"/>
              </w:rPr>
              <w:t>Coverage</w:t>
            </w:r>
          </w:p>
        </w:tc>
      </w:tr>
      <w:tr>
        <w:trPr>
          <w:trHeight w:val="243"/>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Casualty</w:t>
            </w:r>
          </w:p>
        </w:tc>
        <w:tc>
          <w:tcPr>
            <w:tcW w:w="7400" w:type="dxa"/>
            <w:vAlign w:val="bottom"/>
          </w:tcPr>
          <w:p>
            <w:pPr>
              <w:spacing w:after="0"/>
              <w:rPr>
                <w:sz w:val="21"/>
                <w:szCs w:val="21"/>
                <w:color w:val="auto"/>
              </w:rPr>
            </w:pPr>
          </w:p>
        </w:tc>
      </w:tr>
      <w:tr>
        <w:trPr>
          <w:trHeight w:val="27"/>
        </w:trPr>
        <w:tc>
          <w:tcPr>
            <w:tcW w:w="3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176"/>
        </w:trPr>
        <w:tc>
          <w:tcPr>
            <w:tcW w:w="380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Workers’ Compensation</w:t>
            </w:r>
          </w:p>
        </w:tc>
        <w:tc>
          <w:tcPr>
            <w:tcW w:w="740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Quota share coverage for 70% of the first $1.0 million.</w:t>
            </w:r>
            <w:r>
              <w:rPr>
                <w:rFonts w:ascii="Arial" w:cs="Arial" w:eastAsia="Arial" w:hAnsi="Arial"/>
                <w:sz w:val="20"/>
                <w:szCs w:val="20"/>
                <w:color w:val="auto"/>
                <w:vertAlign w:val="superscript"/>
              </w:rPr>
              <w:t>(1)(2)</w:t>
            </w:r>
          </w:p>
        </w:tc>
      </w:tr>
      <w:tr>
        <w:trPr>
          <w:trHeight w:val="229"/>
        </w:trPr>
        <w:tc>
          <w:tcPr>
            <w:tcW w:w="3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Excess of loss coverage for $29.0 million in excess of $1.0 million.</w:t>
            </w:r>
            <w:r>
              <w:rPr>
                <w:rFonts w:ascii="Arial" w:cs="Arial" w:eastAsia="Arial" w:hAnsi="Arial"/>
                <w:sz w:val="23"/>
                <w:szCs w:val="23"/>
                <w:color w:val="auto"/>
                <w:vertAlign w:val="superscript"/>
              </w:rPr>
              <w:t>(1)(2)</w:t>
            </w:r>
          </w:p>
        </w:tc>
      </w:tr>
      <w:tr>
        <w:trPr>
          <w:trHeight w:val="229"/>
        </w:trPr>
        <w:tc>
          <w:tcPr>
            <w:tcW w:w="3800" w:type="dxa"/>
            <w:vAlign w:val="bottom"/>
            <w:gridSpan w:val="2"/>
          </w:tcPr>
          <w:p>
            <w:pPr>
              <w:ind w:left="180"/>
              <w:spacing w:after="0"/>
              <w:rPr>
                <w:sz w:val="20"/>
                <w:szCs w:val="20"/>
                <w:color w:val="auto"/>
              </w:rPr>
            </w:pPr>
            <w:r>
              <w:rPr>
                <w:rFonts w:ascii="Arial" w:cs="Arial" w:eastAsia="Arial" w:hAnsi="Arial"/>
                <w:sz w:val="18"/>
                <w:szCs w:val="18"/>
                <w:color w:val="auto"/>
              </w:rPr>
              <w:t>Auto Programs</w:t>
            </w:r>
          </w:p>
        </w:tc>
        <w:tc>
          <w:tcPr>
            <w:tcW w:w="7400" w:type="dxa"/>
            <w:vAlign w:val="bottom"/>
          </w:tcPr>
          <w:p>
            <w:pPr>
              <w:ind w:left="20"/>
              <w:spacing w:after="0"/>
              <w:rPr>
                <w:sz w:val="20"/>
                <w:szCs w:val="20"/>
                <w:color w:val="auto"/>
              </w:rPr>
            </w:pPr>
            <w:r>
              <w:rPr>
                <w:rFonts w:ascii="Arial" w:cs="Arial" w:eastAsia="Arial" w:hAnsi="Arial"/>
                <w:sz w:val="18"/>
                <w:szCs w:val="18"/>
                <w:color w:val="auto"/>
                <w:w w:val="99"/>
              </w:rPr>
              <w:t>Quota share coverage for 85-90% of limits up to $1.5 million liability and $5.0 million physical</w:t>
            </w:r>
          </w:p>
        </w:tc>
      </w:tr>
      <w:tr>
        <w:trPr>
          <w:trHeight w:val="230"/>
        </w:trPr>
        <w:tc>
          <w:tcPr>
            <w:tcW w:w="3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damage per occurrence.</w:t>
            </w:r>
          </w:p>
        </w:tc>
      </w:tr>
      <w:tr>
        <w:trPr>
          <w:trHeight w:val="27"/>
        </w:trPr>
        <w:tc>
          <w:tcPr>
            <w:tcW w:w="3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29"/>
        </w:trPr>
        <w:tc>
          <w:tcPr>
            <w:tcW w:w="3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General Liability &amp; Professional Liability –</w:t>
            </w: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Quota share coverage for 70% - 100% of limits up to $3.0 million per occurrence.</w:t>
            </w:r>
          </w:p>
        </w:tc>
      </w:tr>
      <w:tr>
        <w:trPr>
          <w:trHeight w:val="237"/>
        </w:trPr>
        <w:tc>
          <w:tcPr>
            <w:tcW w:w="38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Programs</w:t>
            </w:r>
          </w:p>
        </w:tc>
        <w:tc>
          <w:tcPr>
            <w:tcW w:w="7400" w:type="dxa"/>
            <w:vAlign w:val="bottom"/>
            <w:tcBorders>
              <w:bottom w:val="single" w:sz="8" w:color="CCEEFF"/>
            </w:tcBorders>
            <w:shd w:val="clear" w:color="auto" w:fill="CCEEFF"/>
          </w:tcPr>
          <w:p>
            <w:pPr>
              <w:spacing w:after="0"/>
              <w:rPr>
                <w:sz w:val="20"/>
                <w:szCs w:val="20"/>
                <w:color w:val="auto"/>
              </w:rPr>
            </w:pPr>
          </w:p>
        </w:tc>
      </w:tr>
      <w:tr>
        <w:trPr>
          <w:trHeight w:val="229"/>
        </w:trPr>
        <w:tc>
          <w:tcPr>
            <w:tcW w:w="3800" w:type="dxa"/>
            <w:vAlign w:val="bottom"/>
            <w:gridSpan w:val="2"/>
          </w:tcPr>
          <w:p>
            <w:pPr>
              <w:ind w:left="120"/>
              <w:spacing w:after="0"/>
              <w:rPr>
                <w:sz w:val="20"/>
                <w:szCs w:val="20"/>
                <w:color w:val="auto"/>
              </w:rPr>
            </w:pPr>
            <w:r>
              <w:rPr>
                <w:rFonts w:ascii="Arial" w:cs="Arial" w:eastAsia="Arial" w:hAnsi="Arial"/>
                <w:sz w:val="18"/>
                <w:szCs w:val="18"/>
                <w:color w:val="auto"/>
              </w:rPr>
              <w:t>Umbrella and Excess Casualty - Programs</w:t>
            </w:r>
          </w:p>
        </w:tc>
        <w:tc>
          <w:tcPr>
            <w:tcW w:w="7400" w:type="dxa"/>
            <w:vAlign w:val="bottom"/>
          </w:tcPr>
          <w:p>
            <w:pPr>
              <w:ind w:left="20"/>
              <w:spacing w:after="0"/>
              <w:rPr>
                <w:sz w:val="20"/>
                <w:szCs w:val="20"/>
                <w:color w:val="auto"/>
              </w:rPr>
            </w:pPr>
            <w:r>
              <w:rPr>
                <w:rFonts w:ascii="Arial" w:cs="Arial" w:eastAsia="Arial" w:hAnsi="Arial"/>
                <w:sz w:val="18"/>
                <w:szCs w:val="18"/>
                <w:color w:val="auto"/>
                <w:w w:val="94"/>
              </w:rPr>
              <w:t>Quota share coverage for 92.5%-100% of limits up to $10.0 million per occurrence, and excess of</w:t>
            </w:r>
          </w:p>
        </w:tc>
      </w:tr>
      <w:tr>
        <w:trPr>
          <w:trHeight w:val="230"/>
        </w:trPr>
        <w:tc>
          <w:tcPr>
            <w:tcW w:w="3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loss coverage for $5.0 million in excess of $10.0 million.</w:t>
            </w:r>
          </w:p>
        </w:tc>
      </w:tr>
      <w:tr>
        <w:trPr>
          <w:trHeight w:val="27"/>
        </w:trPr>
        <w:tc>
          <w:tcPr>
            <w:tcW w:w="3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w:t>
            </w:r>
          </w:p>
        </w:tc>
        <w:tc>
          <w:tcPr>
            <w:tcW w:w="7400" w:type="dxa"/>
            <w:vAlign w:val="bottom"/>
            <w:tcBorders>
              <w:bottom w:val="single" w:sz="8" w:color="CCEEFF"/>
            </w:tcBorders>
            <w:shd w:val="clear" w:color="auto" w:fill="CCEEFF"/>
          </w:tcPr>
          <w:p>
            <w:pPr>
              <w:spacing w:after="0"/>
              <w:rPr>
                <w:sz w:val="21"/>
                <w:szCs w:val="21"/>
                <w:color w:val="auto"/>
              </w:rPr>
            </w:pPr>
          </w:p>
        </w:tc>
      </w:tr>
      <w:tr>
        <w:trPr>
          <w:trHeight w:val="229"/>
        </w:trPr>
        <w:tc>
          <w:tcPr>
            <w:tcW w:w="3800" w:type="dxa"/>
            <w:vAlign w:val="bottom"/>
            <w:gridSpan w:val="2"/>
          </w:tcPr>
          <w:p>
            <w:pPr>
              <w:ind w:left="180"/>
              <w:spacing w:after="0"/>
              <w:rPr>
                <w:sz w:val="20"/>
                <w:szCs w:val="20"/>
                <w:color w:val="auto"/>
              </w:rPr>
            </w:pPr>
            <w:r>
              <w:rPr>
                <w:rFonts w:ascii="Arial" w:cs="Arial" w:eastAsia="Arial" w:hAnsi="Arial"/>
                <w:sz w:val="18"/>
                <w:szCs w:val="18"/>
                <w:color w:val="auto"/>
              </w:rPr>
              <w:t>Property within Package - Programs</w:t>
            </w:r>
          </w:p>
        </w:tc>
        <w:tc>
          <w:tcPr>
            <w:tcW w:w="7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Quota share coverage for 100% of limits up to $25.0 million per occurrence. </w:t>
            </w:r>
            <w:r>
              <w:rPr>
                <w:rFonts w:ascii="Arial" w:cs="Arial" w:eastAsia="Arial" w:hAnsi="Arial"/>
                <w:sz w:val="23"/>
                <w:szCs w:val="23"/>
                <w:color w:val="auto"/>
                <w:vertAlign w:val="superscript"/>
              </w:rPr>
              <w:t>(3)</w:t>
            </w:r>
          </w:p>
        </w:tc>
      </w:tr>
      <w:tr>
        <w:trPr>
          <w:trHeight w:val="243"/>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Catastrophe Coverage</w:t>
            </w: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of Loss coverage for $44.0 million in excess of $1.0 million per occurrence.</w:t>
            </w:r>
          </w:p>
        </w:tc>
      </w:tr>
      <w:tr>
        <w:trPr>
          <w:trHeight w:val="27"/>
        </w:trPr>
        <w:tc>
          <w:tcPr>
            <w:tcW w:w="3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left="340" w:right="20" w:hanging="332"/>
        <w:spacing w:after="0" w:line="277" w:lineRule="auto"/>
        <w:tabs>
          <w:tab w:leader="none" w:pos="29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Excluding one program which has quota share coverage for 81.25% of the first $1.0 million per occurrence and excess of loss coverage for $49.0 million in excess of $1.0 million per occurrence.</w:t>
      </w:r>
    </w:p>
    <w:p>
      <w:pPr>
        <w:spacing w:after="0" w:line="8" w:lineRule="exact"/>
        <w:rPr>
          <w:rFonts w:ascii="Arial" w:cs="Arial" w:eastAsia="Arial" w:hAnsi="Arial"/>
          <w:sz w:val="18"/>
          <w:szCs w:val="18"/>
          <w:i w:val="1"/>
          <w:iCs w:val="1"/>
          <w:color w:val="auto"/>
        </w:rPr>
      </w:pPr>
    </w:p>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any residual market pools.</w:t>
      </w:r>
    </w:p>
    <w:p>
      <w:pPr>
        <w:spacing w:after="0" w:line="117" w:lineRule="exact"/>
        <w:rPr>
          <w:rFonts w:ascii="Arial" w:cs="Arial" w:eastAsia="Arial" w:hAnsi="Arial"/>
          <w:sz w:val="18"/>
          <w:szCs w:val="18"/>
          <w:i w:val="1"/>
          <w:iCs w:val="1"/>
          <w:color w:val="auto"/>
        </w:rPr>
      </w:pPr>
    </w:p>
    <w:p>
      <w:pPr>
        <w:ind w:left="340" w:right="20" w:hanging="332"/>
        <w:spacing w:after="0" w:line="277" w:lineRule="auto"/>
        <w:tabs>
          <w:tab w:leader="none" w:pos="29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Excluding one program which has quota share coverage for 80% of the first $500,000 and excess of loss coverage for $39.5 million in excess of $500,000 per risk per occurrence.</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Specialty Admitted Insurance segment purchases reinsurance for at least 70% of the exposed limits on specialty admitted property-casualty business. The segment enters into reinsurance contracts for the individual risk workers’ compensation business as well as fronting and program business. While the segment focuses on casualty business, incidental property risk is incurred in the fronting and program business. The segment is covered for $44.0 million in excess of $1.0 million per occurrence to manage its property exposure to an approximate 1 in 1,000 year PML.</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our Casualty Reinsurance segment, we also have limited property catastrophe exposure, primarily through auto physical damage coverage. In the aggregate, we believe our pre-tax group-wide PML from a 1 in 1,000 year property catastrophe event would not exceed $10.0 million, inclusive of reinstatement premiums payable.</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also have a clash and contingency reinsurance treaty to cover both the Excess and Surplus Lines and Specialty Admitted Insurance segments in the event of a claims incident involving more than one of our insureds. The treaty covers $10.0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million in excess of a $2.0 million retention for loss occurrences within the treaty term. This coverage has two reinstatements in the event we exhaust any of the coverage. As of June 30, 2020, our average net retained limit per risk is $2.5 million.</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Effective January 1, 2020, we purchased an additional $10.0 million in claims made coverage for excess policy limits and extra contractual obligations exposures above the clash and contingency treaty for the period 2014 to present. This treaty has one reinstatement.</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Company’s insurance segments remain liable to policyholders if its reinsurers are unable to meet their contractual obligations under applicable reinsurance agreements. We establish allowances for amounts considered uncollectible. At June 30, 2020, the allowance for such uncollectible reinsurance recoverables was $337,000.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customarily require a collateral trust arrangement to secure the obligations of the insurance entity for whom we are fronting.</w:t>
      </w:r>
    </w:p>
    <w:p>
      <w:pPr>
        <w:spacing w:after="0" w:line="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June 30, 2020, we had reinsurance recoverables on unpaid losses of $727.1 million and reinsurance recoverables on paid losses of $43.3 million, and all material recoverable amounts were from companies with A.M. Best ratings of “A-” or better or collateral had been posted by the reinsurer for our benefit.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Recoverable from an Indemnifying Party</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previously issued a set of insurance contracts to Rasier under which the Company pays losses and loss adjustment expenses on the contracts. The Company has indemnity agreements with Rasier (non-insurance entities) and is contractually entitled to receive reimbursement for a significant portion of the losses and loss adjustment expenses paid on behalf of Rasier and other expenses incurred by the Company. Rasier is required to collateralize all amounts currently due to the Company and to provide additional collateral sufficient to cover the amounts that may be recoverable under the indemnity agreements, including, among other things, case loss and loss adjustment expense reserves, IBNR loss and loss adjustment expense reserves, extra contractual obligations and excess of policy limits liabilities. The collateral is provided through a collateral trust arrangement established in favor of the Company by a captive insurance company affiliate of Rasier.</w:t>
      </w:r>
    </w:p>
    <w:p>
      <w:pPr>
        <w:spacing w:after="0" w:line="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permitted under our indemnification agreements with Rasier and the associated trust agreement, we have withdrawn the collateral posted to the trust account. At June 30, 2020, the Company held collateral funds of $1,020.9 million. The funds withdrawn from the trust account, currently invested in short term securities and included in restricted cash equivalents on the Company's consolidated balance sheet, will be used to reimburse the Company for the losses and loss adjustment expenses paid on behalf of Rasier and other related expenses incurred by the Company to the extent not paid as required under the indemnity agreements.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sources of funds consist primarily of premiums written, investment income, reinsurance recoveries, proceeds from sales and redemptions of investments, borrowings on our credit facilities, and the issuance of common shares. We use operating cash flows primarily to pay operating expenses, losses and loss adjustment expenses, reinsurance premiums, and income taxes. The following table summarizes our cash flows: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196"/>
        </w:trPr>
        <w:tc>
          <w:tcPr>
            <w:tcW w:w="8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40" w:type="dxa"/>
            <w:vAlign w:val="bottom"/>
          </w:tcPr>
          <w:p>
            <w:pPr>
              <w:spacing w:after="0"/>
              <w:rPr>
                <w:sz w:val="17"/>
                <w:szCs w:val="17"/>
                <w:color w:val="auto"/>
              </w:rPr>
            </w:pPr>
          </w:p>
        </w:tc>
      </w:tr>
      <w:tr>
        <w:trPr>
          <w:trHeight w:val="256"/>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equivalents (used in) provided by:</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846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(136,231)</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68,123</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(83,810)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(37,470)</w:t>
            </w:r>
          </w:p>
        </w:tc>
      </w:tr>
      <w:tr>
        <w:trPr>
          <w:trHeight w:val="243"/>
        </w:trPr>
        <w:tc>
          <w:tcPr>
            <w:tcW w:w="84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1000" w:type="dxa"/>
            <w:vAlign w:val="bottom"/>
          </w:tcPr>
          <w:p>
            <w:pPr>
              <w:jc w:val="right"/>
              <w:ind w:right="58"/>
              <w:spacing w:after="0"/>
              <w:rPr>
                <w:sz w:val="20"/>
                <w:szCs w:val="20"/>
                <w:color w:val="auto"/>
              </w:rPr>
            </w:pPr>
            <w:r>
              <w:rPr>
                <w:rFonts w:ascii="Arial" w:cs="Arial" w:eastAsia="Arial" w:hAnsi="Arial"/>
                <w:sz w:val="18"/>
                <w:szCs w:val="18"/>
                <w:color w:val="auto"/>
              </w:rPr>
              <w:t>39,130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(33,985)</w:t>
            </w:r>
          </w:p>
        </w:tc>
      </w:tr>
      <w:tr>
        <w:trPr>
          <w:trHeight w:val="27"/>
        </w:trPr>
        <w:tc>
          <w:tcPr>
            <w:tcW w:w="8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cash, cash equivalents, and restricted cash equivalents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(180,911)</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(3,332)</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Cash used in operating activities for the six months ended June 30, 2020 primarily reflects decreasing amounts of restricted cash equivalents as the collateral funds required on the terminated Rasier account declines as the outstanding claims on this business are settled (see </w:t>
      </w:r>
      <w:r>
        <w:rPr>
          <w:rFonts w:ascii="Arial" w:cs="Arial" w:eastAsia="Arial" w:hAnsi="Arial"/>
          <w:sz w:val="17"/>
          <w:szCs w:val="17"/>
          <w:i w:val="1"/>
          <w:iCs w:val="1"/>
          <w:color w:val="auto"/>
        </w:rPr>
        <w:t>Amounts Recoverable from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Indemnifying Party </w:t>
      </w:r>
      <w:r>
        <w:rPr>
          <w:rFonts w:ascii="Arial" w:cs="Arial" w:eastAsia="Arial" w:hAnsi="Arial"/>
          <w:sz w:val="17"/>
          <w:szCs w:val="17"/>
          <w:color w:val="auto"/>
        </w:rPr>
        <w:t>above). In the six months ended June 30, 2020, the Company returned $178.3 million to its former insured, per the terms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collateral trust. Excluding the reduction in the collateral funds, cash provided by operating activities was $42.1 million for the six months ended June 30, 2020. Cash provided by operating activities for the six months ended June 30, 2019 reflected growth in our U.S. segments and the collection of premiums receivable at a quicker rate than payments of loss and loss adjustment expenses.</w:t>
      </w:r>
    </w:p>
    <w:p>
      <w:pPr>
        <w:spacing w:after="0" w:line="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Cash used in investing activities reflects our efforts to enhance the yield in our investment portfolio by investing available cash and cash equivalents into higher yielding investments. Cash and cash equivalents (excluding restricted cash equivalents) comprised 8.9% and 8.7% of total cash and invested assets at June 30, 2020 and 2019, respectively.</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used in financing activities for the six months ended June 30, 2020 and 2019 included $18.6 million and $18.3 million of dividends paid to shareholders, respectively. In addition, we drew a net $59.0 million on our senior credit facilities in the six months ended June 30, 2020 as a precautionary measure to increase our cash position and preserve financial flexibility in light of uncertainty in the global markets resulting from the coronavirus (COVID-19) outbreak. We repaid $20.0 million on our 2017 Facility in the six months ended June 30,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Ratings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A.M. Best financial strength rating for our group’s regulated insurance subsidiaries is “A” (Excellent). This rating reflects A.M. Best’s opinion of our insurance subsidiaries’ financial strength, operating performance and ability to meet obligations to policyholders and is not an evaluation directed towards the protection of investors. The rating for our operating insurance and reinsurance companies of “A” (Excellent) is the third highest rating of the thirteen ratings issued by A.M. Best and is assigned to insurers that have, in A.M. Best’s opinion, an excellent ability to meet their ongoing obligations to policyholders.</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financial strength ratings assigned by A.M. Best have an impact on the ability of our regulated subsidiaries to attract and retain agents and brokers and on the risk profiles of the submissions for insurance that our subsidiaries receive. The “A” (Excellent) ratings assigned to our insurance and reinsurance subsidiaries are consistent with our business plans and we believe allow our subsidiaries to actively pursue relationships with the agents and brokers identified in their marketing plans.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2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Company issued 128,787 common shares in the six months ended June 30, 2020. The new shares were related to stock option exercises and vesting RSUs. The total common shares outstanding increased from 30,424,391 at December 31, 2019 to 30,553,178 at June 30, 2020.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Based Compensation Expense</w:t>
      </w:r>
    </w:p>
    <w:p>
      <w:pPr>
        <w:spacing w:after="0" w:line="117" w:lineRule="exact"/>
        <w:rPr>
          <w:sz w:val="20"/>
          <w:szCs w:val="20"/>
          <w:color w:val="auto"/>
        </w:rPr>
      </w:pPr>
    </w:p>
    <w:p>
      <w:pPr>
        <w:jc w:val="both"/>
        <w:ind w:right="20" w:firstLine="324"/>
        <w:spacing w:after="0" w:line="270" w:lineRule="auto"/>
        <w:rPr>
          <w:sz w:val="20"/>
          <w:szCs w:val="20"/>
          <w:color w:val="auto"/>
        </w:rPr>
      </w:pPr>
      <w:r>
        <w:rPr>
          <w:rFonts w:ascii="Arial" w:cs="Arial" w:eastAsia="Arial" w:hAnsi="Arial"/>
          <w:sz w:val="17"/>
          <w:szCs w:val="17"/>
          <w:color w:val="auto"/>
        </w:rPr>
        <w:t>For the three months ended June 30, 2020 and 2019, the Company recognized $1.9 million and $1.8 million of share based compensation expense, respectively ($3.8 million and $3.5 million for the respective six month periods). As of June 30, 2020, the Company had $11.9 million of unrecognized share based compensation expense expected to be charged to earnings over a weighted-average period of 2.0 years.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option activity: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2020</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2019</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Weighted-</w:t>
            </w: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2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1220" w:type="dxa"/>
            <w:vAlign w:val="bottom"/>
          </w:tcPr>
          <w:p>
            <w:pPr>
              <w:jc w:val="right"/>
              <w:spacing w:after="0"/>
              <w:rPr>
                <w:sz w:val="20"/>
                <w:szCs w:val="20"/>
                <w:color w:val="auto"/>
              </w:rPr>
            </w:pPr>
            <w:r>
              <w:rPr>
                <w:rFonts w:ascii="Arial" w:cs="Arial" w:eastAsia="Arial" w:hAnsi="Arial"/>
                <w:sz w:val="18"/>
                <w:szCs w:val="18"/>
                <w:color w:val="auto"/>
              </w:rPr>
              <w:t>643,851</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8"/>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1,115,324</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220" w:type="dxa"/>
            <w:vAlign w:val="bottom"/>
          </w:tcPr>
          <w:p>
            <w:pPr>
              <w:jc w:val="right"/>
              <w:spacing w:after="0"/>
              <w:rPr>
                <w:sz w:val="20"/>
                <w:szCs w:val="20"/>
                <w:color w:val="auto"/>
              </w:rPr>
            </w:pPr>
            <w:r>
              <w:rPr>
                <w:rFonts w:ascii="Arial" w:cs="Arial" w:eastAsia="Arial" w:hAnsi="Arial"/>
                <w:sz w:val="18"/>
                <w:szCs w:val="18"/>
                <w:color w:val="auto"/>
              </w:rPr>
              <w:t>(29,141)</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8"/>
              <w:spacing w:after="0"/>
              <w:rPr>
                <w:sz w:val="20"/>
                <w:szCs w:val="20"/>
                <w:color w:val="auto"/>
              </w:rPr>
            </w:pPr>
            <w:r>
              <w:rPr>
                <w:rFonts w:ascii="Arial" w:cs="Arial" w:eastAsia="Arial" w:hAnsi="Arial"/>
                <w:sz w:val="18"/>
                <w:szCs w:val="18"/>
                <w:color w:val="auto"/>
              </w:rPr>
              <w:t>28.78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(336,350)</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(5,395)</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64"/>
        </w:trPr>
        <w:tc>
          <w:tcPr>
            <w:tcW w:w="562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614,710</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8"/>
              <w:spacing w:after="0"/>
              <w:rPr>
                <w:sz w:val="20"/>
                <w:szCs w:val="20"/>
                <w:color w:val="auto"/>
              </w:rPr>
            </w:pPr>
            <w:r>
              <w:rPr>
                <w:rFonts w:ascii="Arial" w:cs="Arial" w:eastAsia="Arial" w:hAnsi="Arial"/>
                <w:sz w:val="18"/>
                <w:szCs w:val="18"/>
                <w:color w:val="auto"/>
              </w:rPr>
              <w:t>30.49</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773,579</w:t>
            </w:r>
          </w:p>
        </w:tc>
        <w:tc>
          <w:tcPr>
            <w:tcW w:w="80" w:type="dxa"/>
            <w:vAlign w:val="bottom"/>
            <w:tcBorders>
              <w:top w:val="single" w:sz="8" w:color="auto"/>
              <w:bottom w:val="single" w:sz="8" w:color="auto"/>
            </w:tcBorders>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end of period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614,710</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30.49</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717,610</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outstanding options vest over three or four years and have a contractual life of seven years from the original 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activity: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2020</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2019</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Weighted-</w:t>
            </w: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18"/>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2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69"/>
        </w:trPr>
        <w:tc>
          <w:tcPr>
            <w:tcW w:w="5620" w:type="dxa"/>
            <w:vAlign w:val="bottom"/>
            <w:tcBorders>
              <w:top w:val="single" w:sz="8" w:color="CCEEFF"/>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Unvested, beginning of period</w:t>
            </w:r>
          </w:p>
        </w:tc>
        <w:tc>
          <w:tcPr>
            <w:tcW w:w="1220" w:type="dxa"/>
            <w:vAlign w:val="bottom"/>
          </w:tcPr>
          <w:p>
            <w:pPr>
              <w:jc w:val="right"/>
              <w:spacing w:after="0"/>
              <w:rPr>
                <w:sz w:val="20"/>
                <w:szCs w:val="20"/>
                <w:color w:val="auto"/>
              </w:rPr>
            </w:pPr>
            <w:r>
              <w:rPr>
                <w:rFonts w:ascii="Arial" w:cs="Arial" w:eastAsia="Arial" w:hAnsi="Arial"/>
                <w:sz w:val="18"/>
                <w:szCs w:val="18"/>
                <w:color w:val="auto"/>
              </w:rPr>
              <w:t>340,368</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9"/>
              <w:spacing w:after="0"/>
              <w:rPr>
                <w:sz w:val="20"/>
                <w:szCs w:val="20"/>
                <w:color w:val="auto"/>
              </w:rPr>
            </w:pPr>
            <w:r>
              <w:rPr>
                <w:rFonts w:ascii="Arial" w:cs="Arial" w:eastAsia="Arial" w:hAnsi="Arial"/>
                <w:sz w:val="18"/>
                <w:szCs w:val="18"/>
                <w:color w:val="auto"/>
              </w:rPr>
              <w:t>41.50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300,142</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179,016</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43.55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178,556</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Vested</w:t>
            </w:r>
          </w:p>
        </w:tc>
        <w:tc>
          <w:tcPr>
            <w:tcW w:w="1220" w:type="dxa"/>
            <w:vAlign w:val="bottom"/>
          </w:tcPr>
          <w:p>
            <w:pPr>
              <w:jc w:val="right"/>
              <w:spacing w:after="0"/>
              <w:rPr>
                <w:sz w:val="20"/>
                <w:szCs w:val="20"/>
                <w:color w:val="auto"/>
              </w:rPr>
            </w:pPr>
            <w:r>
              <w:rPr>
                <w:rFonts w:ascii="Arial" w:cs="Arial" w:eastAsia="Arial" w:hAnsi="Arial"/>
                <w:sz w:val="18"/>
                <w:szCs w:val="18"/>
                <w:color w:val="auto"/>
              </w:rPr>
              <w:t>(147,260)</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9"/>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(111,212)</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(16,846)</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42.17</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(9,555)</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40.84</w:t>
            </w:r>
          </w:p>
        </w:tc>
        <w:tc>
          <w:tcPr>
            <w:tcW w:w="0" w:type="dxa"/>
            <w:vAlign w:val="bottom"/>
          </w:tcPr>
          <w:p>
            <w:pPr>
              <w:spacing w:after="0"/>
              <w:rPr>
                <w:sz w:val="1"/>
                <w:szCs w:val="1"/>
                <w:color w:val="auto"/>
              </w:rPr>
            </w:pPr>
          </w:p>
        </w:tc>
      </w:tr>
      <w:tr>
        <w:trPr>
          <w:trHeight w:val="263"/>
        </w:trPr>
        <w:tc>
          <w:tcPr>
            <w:tcW w:w="5620" w:type="dxa"/>
            <w:vAlign w:val="bottom"/>
          </w:tcPr>
          <w:p>
            <w:pPr>
              <w:ind w:left="20"/>
              <w:spacing w:after="0"/>
              <w:rPr>
                <w:sz w:val="20"/>
                <w:szCs w:val="20"/>
                <w:color w:val="auto"/>
              </w:rPr>
            </w:pPr>
            <w:r>
              <w:rPr>
                <w:rFonts w:ascii="Arial" w:cs="Arial" w:eastAsia="Arial" w:hAnsi="Arial"/>
                <w:sz w:val="18"/>
                <w:szCs w:val="18"/>
                <w:color w:val="auto"/>
              </w:rPr>
              <w:t>Unvested, end of period</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355,278</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9"/>
              <w:spacing w:after="0"/>
              <w:rPr>
                <w:sz w:val="20"/>
                <w:szCs w:val="20"/>
                <w:color w:val="auto"/>
              </w:rPr>
            </w:pPr>
            <w:r>
              <w:rPr>
                <w:rFonts w:ascii="Arial" w:cs="Arial" w:eastAsia="Arial" w:hAnsi="Arial"/>
                <w:sz w:val="18"/>
                <w:szCs w:val="18"/>
                <w:color w:val="auto"/>
              </w:rPr>
              <w:t>42.65</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357,931</w:t>
            </w:r>
          </w:p>
        </w:tc>
        <w:tc>
          <w:tcPr>
            <w:tcW w:w="80" w:type="dxa"/>
            <w:vAlign w:val="bottom"/>
            <w:tcBorders>
              <w:top w:val="single" w:sz="8" w:color="auto"/>
              <w:bottom w:val="single" w:sz="8" w:color="auto"/>
            </w:tcBorders>
          </w:tcPr>
          <w:p>
            <w:pPr>
              <w:spacing w:after="0"/>
              <w:rPr>
                <w:sz w:val="22"/>
                <w:szCs w:val="2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vesting period of RSUs granted to employees range from one to three years and vest ratably over the respective vesting period, and the majority vest in three years. All RSUs granted to date to non-employee directors had a one year vesting period.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Underwriting Profit</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Our definition of underwriting profit may not be comparable to that of other companies.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reconciles the underwriting profit (loss) by individual segment and for the entire Company to consolidated (loss) income before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Federal income taxes: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28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96"/>
        </w:trPr>
        <w:tc>
          <w:tcPr>
            <w:tcW w:w="5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196"/>
        </w:trPr>
        <w:tc>
          <w:tcPr>
            <w:tcW w:w="5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Underwriting profit (loss) of the insurance segments: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Excess and Surplus Lines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16,095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15,810</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24,207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28,912</w:t>
            </w:r>
          </w:p>
        </w:tc>
      </w:tr>
      <w:tr>
        <w:trPr>
          <w:trHeight w:val="27"/>
        </w:trPr>
        <w:tc>
          <w:tcPr>
            <w:tcW w:w="5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Specialty Admitted Insurance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1,298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2,921</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Casualty Reinsurance</w:t>
            </w:r>
          </w:p>
        </w:tc>
        <w:tc>
          <w:tcPr>
            <w:tcW w:w="3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(2,637)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(2,430)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227</w:t>
            </w:r>
          </w:p>
        </w:tc>
      </w:tr>
      <w:tr>
        <w:trPr>
          <w:trHeight w:val="27"/>
        </w:trPr>
        <w:tc>
          <w:tcPr>
            <w:tcW w:w="5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underwriting profit of insurance segments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14,888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17,008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22,219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32,060</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3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(7,472)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(7,433)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(15,751)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(15,339)</w:t>
            </w:r>
          </w:p>
        </w:tc>
      </w:tr>
      <w:tr>
        <w:trPr>
          <w:trHeight w:val="27"/>
        </w:trPr>
        <w:tc>
          <w:tcPr>
            <w:tcW w:w="5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color w:val="auto"/>
              </w:rPr>
              <w:t>(1)</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7,416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9,575</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6,468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16,721</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0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15,350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17,535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36,186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36,966</w:t>
            </w:r>
          </w:p>
        </w:tc>
      </w:tr>
      <w:tr>
        <w:trPr>
          <w:trHeight w:val="27"/>
        </w:trPr>
        <w:tc>
          <w:tcPr>
            <w:tcW w:w="5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realized and unrealized gains (losses) on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21,593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2,688</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(298)</w:t>
            </w:r>
          </w:p>
        </w:tc>
      </w:tr>
      <w:tr>
        <w:trPr>
          <w:trHeight w:val="27"/>
        </w:trPr>
        <w:tc>
          <w:tcPr>
            <w:tcW w:w="5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(2,965)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(2,684)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(5,841)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(5,492)</w:t>
            </w:r>
          </w:p>
        </w:tc>
      </w:tr>
      <w:tr>
        <w:trPr>
          <w:trHeight w:val="27"/>
        </w:trPr>
        <w:tc>
          <w:tcPr>
            <w:tcW w:w="5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39,760</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24,962</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(1,458)</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50,453</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right="840" w:hanging="328"/>
        <w:spacing w:after="0" w:line="277" w:lineRule="auto"/>
        <w:tabs>
          <w:tab w:leader="none" w:pos="654"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Included in underwriting results for the three and six months ended June 30, 2020 is gross fee income of $5.7 million </w:t>
      </w:r>
      <w:r>
        <w:rPr>
          <w:rFonts w:ascii="Arial" w:cs="Arial" w:eastAsia="Arial" w:hAnsi="Arial"/>
          <w:sz w:val="18"/>
          <w:szCs w:val="18"/>
          <w:color w:val="auto"/>
        </w:rPr>
        <w:t>and</w:t>
      </w:r>
      <w:r>
        <w:rPr>
          <w:rFonts w:ascii="Arial" w:cs="Arial" w:eastAsia="Arial" w:hAnsi="Arial"/>
          <w:sz w:val="18"/>
          <w:szCs w:val="18"/>
          <w:i w:val="1"/>
          <w:iCs w:val="1"/>
          <w:color w:val="auto"/>
        </w:rPr>
        <w:t xml:space="preserve"> $11.2 million, respectively ($6.2 million and $12.6 million for the same periods in the prior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Adjusted Net Operating Income</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define adjusted net operating income as net income excluding certain non-operating expenses such as net realized and unrealized investment gains and losses, expenses related to due diligence costs for various merger and acquisition activities, professional service fees related to the filing of registration statements for the offering of securities, and severance costs associated with terminated employees. We use adjusted net operating income as an internal performance measure in the management of our operations because we believe it gives our management and other users of our financial information useful insight into our results of operations and our underlying business performance. Adjusted net operating income should not be viewed as a substitute for net income calculated in accordance with GAAP, and our definition of adjusted net operating income may not be comparable to that of other companies.</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income before taxes and net income reconcile to our adjusted net operating income as follows: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89"/>
              </w:rPr>
              <w:t>2020</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89"/>
              </w:rPr>
              <w:t>2019</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3"/>
                <w:szCs w:val="13"/>
                <w:color w:val="auto"/>
              </w:rPr>
            </w:pPr>
          </w:p>
        </w:tc>
        <w:tc>
          <w:tcPr>
            <w:tcW w:w="96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Before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Before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Income</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4"/>
          </w:tcPr>
          <w:p>
            <w:pPr>
              <w:jc w:val="right"/>
              <w:ind w:right="718"/>
              <w:spacing w:after="0"/>
              <w:rPr>
                <w:sz w:val="20"/>
                <w:szCs w:val="20"/>
                <w:color w:val="auto"/>
              </w:rPr>
            </w:pPr>
            <w:r>
              <w:rPr>
                <w:rFonts w:ascii="Arial" w:cs="Arial" w:eastAsia="Arial" w:hAnsi="Arial"/>
                <w:sz w:val="14"/>
                <w:szCs w:val="14"/>
                <w:b w:val="1"/>
                <w:bCs w:val="1"/>
                <w:i w:val="1"/>
                <w:iCs w:val="1"/>
                <w:color w:val="auto"/>
              </w:rPr>
              <w:t>($ in thousands)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as reported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39,760</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35,614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24,962</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20,307</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Net realized and unrealized investment (gains) losses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(19,763)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1,528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63"/>
        </w:trPr>
        <w:tc>
          <w:tcPr>
            <w:tcW w:w="5520" w:type="dxa"/>
            <w:vAlign w:val="bottom"/>
          </w:tcPr>
          <w:p>
            <w:pPr>
              <w:ind w:left="20"/>
              <w:spacing w:after="0"/>
              <w:rPr>
                <w:sz w:val="20"/>
                <w:szCs w:val="20"/>
                <w:color w:val="auto"/>
              </w:rPr>
            </w:pPr>
            <w:r>
              <w:rPr>
                <w:rFonts w:ascii="Arial" w:cs="Arial" w:eastAsia="Arial" w:hAnsi="Arial"/>
                <w:sz w:val="18"/>
                <w:szCs w:val="18"/>
                <w:color w:val="auto"/>
              </w:rPr>
              <w:t>Adjusted net operating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19,899</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rPr>
              <w:t>17,379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24,582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20,177</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58"/>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w w:val="89"/>
              </w:rPr>
              <w:t>2020</w:t>
            </w: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89"/>
              </w:rPr>
              <w:t>2019</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(Loss) Income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Net (Loss)</w:t>
            </w:r>
          </w:p>
        </w:tc>
        <w:tc>
          <w:tcPr>
            <w:tcW w:w="260" w:type="dxa"/>
            <w:vAlign w:val="bottom"/>
          </w:tcPr>
          <w:p>
            <w:pPr>
              <w:spacing w:after="0"/>
              <w:rPr>
                <w:sz w:val="13"/>
                <w:szCs w:val="13"/>
                <w:color w:val="auto"/>
              </w:rPr>
            </w:pPr>
          </w:p>
        </w:tc>
        <w:tc>
          <w:tcPr>
            <w:tcW w:w="96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Before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Before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Income</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gridSpan w:val="4"/>
          </w:tcPr>
          <w:p>
            <w:pPr>
              <w:jc w:val="right"/>
              <w:ind w:right="718"/>
              <w:spacing w:after="0"/>
              <w:rPr>
                <w:sz w:val="20"/>
                <w:szCs w:val="20"/>
                <w:color w:val="auto"/>
              </w:rPr>
            </w:pPr>
            <w:r>
              <w:rPr>
                <w:rFonts w:ascii="Arial" w:cs="Arial" w:eastAsia="Arial" w:hAnsi="Arial"/>
                <w:sz w:val="14"/>
                <w:szCs w:val="14"/>
                <w:b w:val="1"/>
                <w:bCs w:val="1"/>
                <w:i w:val="1"/>
                <w:iCs w:val="1"/>
                <w:color w:val="auto"/>
              </w:rPr>
              <w:t>($ in thousands)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as reported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50,453</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43,035</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Net realized and unrealized investment losses (gains)</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8"/>
                <w:szCs w:val="18"/>
                <w:color w:val="auto"/>
              </w:rPr>
              <w:t>32,470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1,528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64"/>
        </w:trPr>
        <w:tc>
          <w:tcPr>
            <w:tcW w:w="5520" w:type="dxa"/>
            <w:vAlign w:val="bottom"/>
          </w:tcPr>
          <w:p>
            <w:pPr>
              <w:ind w:left="20"/>
              <w:spacing w:after="0"/>
              <w:rPr>
                <w:sz w:val="20"/>
                <w:szCs w:val="20"/>
                <w:color w:val="auto"/>
              </w:rPr>
            </w:pPr>
            <w:r>
              <w:rPr>
                <w:rFonts w:ascii="Arial" w:cs="Arial" w:eastAsia="Arial" w:hAnsi="Arial"/>
                <w:sz w:val="18"/>
                <w:szCs w:val="18"/>
                <w:color w:val="auto"/>
              </w:rPr>
              <w:t>Adjusted net operating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37,088</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rPr>
              <w:t>32,797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48,448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41,890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Tangible Equity (per Share) and Pre Dividend Tangible Equity (per Share)</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Key financial measures that we use to assess our longer term financial performance include the percentage growth in our tangible equity per share and our return on tangible equity. We believe tangible equity is a good measure to evaluate the strength of our balance sheet and to compare returns relative to this measure. For the six months ended June 30, 2020, our tangible equity per share increased by 2.7%. Absent the $18.5 million in dividends to shareholders in the six months ended June 30, 2020, our tangible equity per share increased by 6.0% for the six months ended June 30, 2020. The outbreak of the coronavirus pandemic in the first quarter of 2020 and uncertainty around the extent of its economic impact caused severe declines in financial markets. The significant declines in the fair values of our investments reduced tangible equity through earnings with $9.3 million of net unrealized losses on equity securities and $17.4 million of net unrealized losses on bank loan participations for the six months ended June 30, 2020 (as discussed in Investing Results). Our operating return on tangible shareholders’ equity was 12.0% for the six months ended June 30, 2020.</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define tangible equity as the sum of shareholders’ equity less goodwill and intangible assets (net of amortization). Our definition of tangible equity may not be comparable to that of other companies, and it should not be viewed as a substitute for shareholders’ equity calculated in accordance with GAAP. The following table reconciles shareholders’ equity to tangible equity as of June 30, 2020 and December 31, 2019 and reconciles tangible equity to pre-dividend tangible equity as of June 30, 2020:</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5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Equity</w:t>
            </w:r>
          </w:p>
        </w:tc>
        <w:tc>
          <w:tcPr>
            <w:tcW w:w="1200" w:type="dxa"/>
            <w:vAlign w:val="bottom"/>
            <w:gridSpan w:val="2"/>
          </w:tcPr>
          <w:p>
            <w:pPr>
              <w:jc w:val="right"/>
              <w:ind w:right="173"/>
              <w:spacing w:after="0" w:line="153" w:lineRule="exact"/>
              <w:rPr>
                <w:sz w:val="20"/>
                <w:szCs w:val="20"/>
                <w:color w:val="auto"/>
              </w:rPr>
            </w:pPr>
            <w:r>
              <w:rPr>
                <w:rFonts w:ascii="Arial" w:cs="Arial" w:eastAsia="Arial" w:hAnsi="Arial"/>
                <w:sz w:val="14"/>
                <w:szCs w:val="14"/>
                <w:b w:val="1"/>
                <w:bCs w:val="1"/>
                <w:color w:val="auto"/>
              </w:rPr>
              <w:t>Equity per</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3"/>
                <w:szCs w:val="13"/>
                <w:color w:val="auto"/>
              </w:rPr>
            </w:pPr>
          </w:p>
        </w:tc>
        <w:tc>
          <w:tcPr>
            <w:tcW w:w="1040" w:type="dxa"/>
            <w:vAlign w:val="bottom"/>
          </w:tcPr>
          <w:p>
            <w:pPr>
              <w:jc w:val="right"/>
              <w:ind w:right="196"/>
              <w:spacing w:after="0" w:line="153" w:lineRule="exact"/>
              <w:rPr>
                <w:sz w:val="20"/>
                <w:szCs w:val="20"/>
                <w:color w:val="auto"/>
              </w:rPr>
            </w:pPr>
            <w:r>
              <w:rPr>
                <w:rFonts w:ascii="Arial" w:cs="Arial" w:eastAsia="Arial" w:hAnsi="Arial"/>
                <w:sz w:val="14"/>
                <w:szCs w:val="14"/>
                <w:b w:val="1"/>
                <w:bCs w:val="1"/>
                <w:color w:val="auto"/>
              </w:rPr>
              <w:t>Equity per</w:t>
            </w:r>
          </w:p>
        </w:tc>
        <w:tc>
          <w:tcPr>
            <w:tcW w:w="0" w:type="dxa"/>
            <w:vAlign w:val="bottom"/>
          </w:tcPr>
          <w:p>
            <w:pPr>
              <w:spacing w:after="0"/>
              <w:rPr>
                <w:sz w:val="1"/>
                <w:szCs w:val="1"/>
                <w:color w:val="auto"/>
              </w:rPr>
            </w:pPr>
          </w:p>
        </w:tc>
      </w:tr>
      <w:tr>
        <w:trPr>
          <w:trHeight w:val="192"/>
        </w:trPr>
        <w:tc>
          <w:tcPr>
            <w:tcW w:w="5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gridSpan w:val="6"/>
          </w:tcPr>
          <w:p>
            <w:pPr>
              <w:ind w:left="120"/>
              <w:spacing w:after="0"/>
              <w:rPr>
                <w:sz w:val="20"/>
                <w:szCs w:val="20"/>
                <w:color w:val="auto"/>
              </w:rPr>
            </w:pPr>
            <w:r>
              <w:rPr>
                <w:rFonts w:ascii="Arial" w:cs="Arial" w:eastAsia="Arial" w:hAnsi="Arial"/>
                <w:sz w:val="14"/>
                <w:szCs w:val="14"/>
                <w:b w:val="1"/>
                <w:bCs w:val="1"/>
                <w:i w:val="1"/>
                <w:iCs w:val="1"/>
                <w:color w:val="auto"/>
                <w:w w:val="95"/>
              </w:rPr>
              <w:t>($ in thousands, except share amounts)</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795,711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26.04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778,581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Less: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181,831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181,831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43"/>
        </w:trPr>
        <w:tc>
          <w:tcPr>
            <w:tcW w:w="5980" w:type="dxa"/>
            <w:vAlign w:val="bottom"/>
          </w:tcPr>
          <w:p>
            <w:pPr>
              <w:ind w:left="26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36,642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36,940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Tangible equity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577,238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18.89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559,810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Dividends to shareholders for the six months ended June 30, 2020</w:t>
            </w: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75"/>
              <w:spacing w:after="0"/>
              <w:rPr>
                <w:sz w:val="20"/>
                <w:szCs w:val="20"/>
                <w:color w:val="auto"/>
              </w:rPr>
            </w:pPr>
            <w:r>
              <w:rPr>
                <w:rFonts w:ascii="Arial" w:cs="Arial" w:eastAsia="Arial" w:hAnsi="Arial"/>
                <w:sz w:val="18"/>
                <w:szCs w:val="18"/>
                <w:color w:val="auto"/>
              </w:rPr>
              <w:t>18,523</w:t>
            </w: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ind w:right="53"/>
              <w:spacing w:after="0"/>
              <w:rPr>
                <w:sz w:val="20"/>
                <w:szCs w:val="20"/>
                <w:color w:val="auto"/>
              </w:rPr>
            </w:pPr>
            <w:r>
              <w:rPr>
                <w:rFonts w:ascii="Arial" w:cs="Arial" w:eastAsia="Arial" w:hAnsi="Arial"/>
                <w:sz w:val="18"/>
                <w:szCs w:val="18"/>
                <w:color w:val="auto"/>
              </w:rPr>
              <w:t>0.60</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Pre-dividend tangible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595,761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19.49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material changes in market risk from the information provided in Item 7A of our Annual Report on Form 10-K for the year ended December 31,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connection with the preparation of this quarterly report on Form 10-Q, our management carried out an evaluation, under the supervision and with the participation of our management, including the CEO and CFO, as of June 30, 2020,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June 30, 2020.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our quarter ended June 30, 2020 that have materially affected, or are reasonably likely to materially affect, our internal control over financial reporting.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party to legal proceedings which arise in the ordinary course of business. We believe that the outcome of such matters, individually and in the aggregate, will not have a material adverse effect on our consolidated financial position.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have been no material changes in our risk factors in the quarter ended June 30, 2020 from those disclosed in our Annual Report on Form 10-K for the year ended December 31, 2019, except as follows: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recent global coronavirus outbreak could harm business and results of operations of the Company.</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December 2019, a coronavirus (COVID-19) outbreak was reported in China, and, in March 2020, the World Health Organization declared it a pandemic. The coronavirus has spread throughout the United States, including states in which the Company operates. In response, many governments, including Bermuda, the state and local governments of the States of Virginia and North Carolina, and governments in many other states in which our policyholders are located, have instituted emergency restrictions that have substantially limited the operation of non-essential businesses and the activities of individuals. Many states have extended the expiration date of restrictions and some states that eased restrictions subsequently re-imposed them as the spread of COVID-19 worsened. These restrictions could result in significant adverse effects on our policyholders and many different types of small and mid-sized businesses within the Company’s client base, particularly those in the retail, hospitality and food and beverage industries, among many others. The ultimate effect and severity of COVID-19 on the economy is not known nor is the ultimate length of the restrictions and any accompanying effects caused by it.</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effect of COVID-19 and related events, including those described above and those not yet known or knowable, began to impact our results of operations in March 2020 and could have a negative effect on the stock price, business prospects, financial condition and results of operations of the Company, including as a result of quarantines, market volatility, market downturns, actions of lawmakers and regulators, changes in consumer behavior, business closures, deterioration in the credit quality of policyholders or the inability of policyholders to pay their premium and deductible obligations to the Company, and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deterioration in the credit quality of reinsurers or insurance entities with which we have a fronting arrangement or the inability of reinsurers or the insurance entities for which we are fronting to pay their obligations to the Company.</w:t>
      </w:r>
    </w:p>
    <w:p>
      <w:pPr>
        <w:spacing w:after="0" w:line="6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uncertainty around the extent of the economic impact of COVID-19 caused severe volatility in global financial markets since February 2020. As a result of this volatility, the Company experienced net realized and unrealized losses on investments in its senior secured bank loan portfolio and its equity portfolio in the first quarter. While the investment markets meaningfully recovered since March 31, 2020, further disruptions in global financial markets could result in additional net realized and unrealized investment losses, including potential impairments in our fixed income portfolio. Moreover, the Federal Reserve has taken action to lower the Federal Funds rate, which, along with other factors, has placed pressure on net investment income by causing the yields on many of the types of investments that we make to decline. For further discussion of risks related to our investment portfolio see “</w:t>
      </w:r>
      <w:r>
        <w:rPr>
          <w:rFonts w:ascii="Arial" w:cs="Arial" w:eastAsia="Arial" w:hAnsi="Arial"/>
          <w:sz w:val="16"/>
          <w:szCs w:val="16"/>
          <w:i w:val="1"/>
          <w:iCs w:val="1"/>
          <w:color w:val="auto"/>
        </w:rPr>
        <w:t>Our</w:t>
      </w:r>
      <w:r>
        <w:rPr>
          <w:rFonts w:ascii="Arial" w:cs="Arial" w:eastAsia="Arial" w:hAnsi="Arial"/>
          <w:sz w:val="16"/>
          <w:szCs w:val="16"/>
          <w:color w:val="auto"/>
        </w:rPr>
        <w:t xml:space="preserve"> </w:t>
      </w:r>
      <w:r>
        <w:rPr>
          <w:rFonts w:ascii="Arial" w:cs="Arial" w:eastAsia="Arial" w:hAnsi="Arial"/>
          <w:sz w:val="16"/>
          <w:szCs w:val="16"/>
          <w:i w:val="1"/>
          <w:iCs w:val="1"/>
          <w:color w:val="auto"/>
        </w:rPr>
        <w:t>investment portfolio is subject to significant market and credit risks, which could result in a material adverse impact on our financial condition and results of operations</w:t>
      </w:r>
      <w:r>
        <w:rPr>
          <w:rFonts w:ascii="Arial" w:cs="Arial" w:eastAsia="Arial" w:hAnsi="Arial"/>
          <w:sz w:val="16"/>
          <w:szCs w:val="16"/>
          <w:color w:val="auto"/>
        </w:rPr>
        <w:t>” in “Part I-Item 1A-Risk Factors” in the Company’s Annual Report on Form 10-K for the year ended December 31, 2019.</w:t>
      </w:r>
    </w:p>
    <w:p>
      <w:pPr>
        <w:spacing w:after="0" w:line="5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outbreak has resulted in authorities implementing numerous measures in an attempt to contain the virus, such as quarantines and shelter in place orders. These measures may remain in place for a significant period of time and, even if they are lifted, may be reinstated if conditions deteriorate. These measures and the uncertainty they create may adversely affect the business, operations and financial condition of our policyholders and business partners and therefore our business, operations and financial condition. The Company may be materially affected by a downturn in the economic well-being of policyholders and business partners and the economy in general in numerous ways, including without limitation as follows:</w:t>
      </w:r>
    </w:p>
    <w:p>
      <w:pPr>
        <w:spacing w:after="0" w:line="53" w:lineRule="exact"/>
        <w:rPr>
          <w:sz w:val="20"/>
          <w:szCs w:val="20"/>
          <w:color w:val="auto"/>
        </w:rPr>
      </w:pPr>
    </w:p>
    <w:p>
      <w:pPr>
        <w:ind w:left="660" w:hanging="328"/>
        <w:spacing w:after="0" w:line="30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Collection of premiums, deductibles or self-insured retentions from our policyholders and reinsurance recoverables from our reinsurers may become increasingly difficult. We have incurred, and may continue to incur, increased estimated credit losses on premiums receivable.</w:t>
      </w:r>
    </w:p>
    <w:p>
      <w:pPr>
        <w:spacing w:after="0" w:line="3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material portion of the Company’s premiums are calculated based on policyholder payroll costs or revenues, and therefore such premiums will decrease, perhaps materially so, to the extent that policyholders reduce staffing levels or suffer declines in revenue.</w:t>
      </w:r>
    </w:p>
    <w:p>
      <w:pPr>
        <w:spacing w:after="0" w:line="62"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Declines in certain sectors of the economy may have an especially negative impact on the Company due to the concentration of premiums written in such sectors. For example, a material portion of the Company’s direct written premiums are related in various ways to construction. A decline in construction activity or employment would have a material adverse effect on the Company’s premium volume.</w:t>
      </w:r>
    </w:p>
    <w:p>
      <w:pPr>
        <w:spacing w:after="0" w:line="57"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Demand for the insurance policies that the Company offers is highly dependent upon the business environment in the markets in which the Company operates. Suppressed demand for the Company’s insurance policies may lead to reduced premium rates on new or renewal policies or on reinsurance contracts and such reduced rates may not be appropriate for the risks we insure, which in turn may adversely affect the number of policies or contracts we can write.</w:t>
      </w:r>
    </w:p>
    <w:p>
      <w:pPr>
        <w:spacing w:after="0" w:line="7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Claims frequency and/or severity may increase in certain lines of business, such as, but not exclusively, workers’ compensation, and therefore we may incur increased losses and loss adjustment expenses.</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 reduction in premium volume would increase the Company’s expense ratio and, combined with an increase in losses and loss adjustment expenses, would negatively affect the ability of the Company to earn an underwriting profit. For a further discussion of these risks, see “</w:t>
      </w:r>
      <w:r>
        <w:rPr>
          <w:rFonts w:ascii="Arial" w:cs="Arial" w:eastAsia="Arial" w:hAnsi="Arial"/>
          <w:sz w:val="17"/>
          <w:szCs w:val="17"/>
          <w:i w:val="1"/>
          <w:iCs w:val="1"/>
          <w:color w:val="auto"/>
        </w:rPr>
        <w:t>Adverse economic factors,</w:t>
      </w:r>
      <w:r>
        <w:rPr>
          <w:rFonts w:ascii="Arial" w:cs="Arial" w:eastAsia="Arial" w:hAnsi="Arial"/>
          <w:sz w:val="17"/>
          <w:szCs w:val="17"/>
          <w:color w:val="auto"/>
        </w:rPr>
        <w:t xml:space="preserve"> </w:t>
      </w:r>
      <w:r>
        <w:rPr>
          <w:rFonts w:ascii="Arial" w:cs="Arial" w:eastAsia="Arial" w:hAnsi="Arial"/>
          <w:sz w:val="17"/>
          <w:szCs w:val="17"/>
          <w:i w:val="1"/>
          <w:iCs w:val="1"/>
          <w:color w:val="auto"/>
        </w:rPr>
        <w:t>including recession, inflation, periods of high unemployment or lower economic activity could result in the sale of fewer policies than expected or an increase in frequency or severity in claims and premium defaults or both, which, in turn, could affect our growth and profitability</w:t>
      </w:r>
      <w:r>
        <w:rPr>
          <w:rFonts w:ascii="Arial" w:cs="Arial" w:eastAsia="Arial" w:hAnsi="Arial"/>
          <w:sz w:val="17"/>
          <w:szCs w:val="17"/>
          <w:color w:val="auto"/>
        </w:rPr>
        <w:t>” in “Part I-Item 1A-Risk</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in the Company’s Annual Report on Form 10-K for the year ended December 31, 2019.</w:t>
      </w:r>
    </w:p>
    <w:p>
      <w:pPr>
        <w:spacing w:after="0" w:line="6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Efforts of lawmakers at the federal and state level to address the effects of COVID-19 on businesses may have an adverse effect on the financial condition and results of operations of the Company. At the federal and state level, there have been proposals by lawmakers to retroactively amend business interruption insurance policies to cover claims related to COVID-19 when such insurance policies otherwise would exclude such risks. In addition, a number of states have instituted, and other states are considering instituting, changes designed to effectively expand workers’ compensation coverage by creating presumptions of compensability of claims for certain types of workers. The Company has received both business interruption and workers' compensation claims related to COVID-19, and we expect that we will continue to receive claims related to COVID-19. If the efforts of lawmakers to effectively expand coverage under business interruption, workers' compensation and other policies on a retroactive basis are successful and enforceable, the Company may be forced to pay claims under policies for which it received inadequate premiums to cover such risks, and therefore the Company’s reserves may be inadequate to pay such claims. At the state level, insurance departments throughout the country have issued bulletins and regulations urging or requiring insurers to extend grace periods for the payment of policy premiums and to refrain from canceling or non-renewing policies for the non-payment of policy premiums for policyholders adversely affected by COVID-19. While many of these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requirements and recommendations have expired or are scheduled to expire in the near future, insurance departments could reinstate or extend them as conditions deteriorate and/or the negative impact of the pandemic on policyholders persists. It is uncertain what impact these government mandates may have on our ability to recover unpaid premiums on the affected policies or what our obligations may be for the payment of claims made under policies for which we have not received premium payments. Some state regulators have issued orders requiring insurers to issue premium refunds or credits, and regulators in other states could take similar action. It is not yet clear the extent of impact on the Company these new regulations will have or what other actions may be taken by government bodies, both legislative and regulatory, in reaction to COVID-19. For further discussion on risks related to emerging claim and coverage issues see “</w:t>
      </w:r>
      <w:r>
        <w:rPr>
          <w:rFonts w:ascii="Arial" w:cs="Arial" w:eastAsia="Arial" w:hAnsi="Arial"/>
          <w:sz w:val="16"/>
          <w:szCs w:val="16"/>
          <w:i w:val="1"/>
          <w:iCs w:val="1"/>
          <w:color w:val="auto"/>
        </w:rPr>
        <w:t>The effect of emerging claim and coverage issues on our business is uncertain</w:t>
      </w:r>
      <w:r>
        <w:rPr>
          <w:rFonts w:ascii="Arial" w:cs="Arial" w:eastAsia="Arial" w:hAnsi="Arial"/>
          <w:sz w:val="16"/>
          <w:szCs w:val="16"/>
          <w:color w:val="auto"/>
        </w:rPr>
        <w:t>” and “</w:t>
      </w:r>
      <w:r>
        <w:rPr>
          <w:rFonts w:ascii="Arial" w:cs="Arial" w:eastAsia="Arial" w:hAnsi="Arial"/>
          <w:sz w:val="16"/>
          <w:szCs w:val="16"/>
          <w:i w:val="1"/>
          <w:iCs w:val="1"/>
          <w:color w:val="auto"/>
        </w:rPr>
        <w:t>If we are unable to underwrite risks</w:t>
      </w:r>
      <w:r>
        <w:rPr>
          <w:rFonts w:ascii="Arial" w:cs="Arial" w:eastAsia="Arial" w:hAnsi="Arial"/>
          <w:sz w:val="16"/>
          <w:szCs w:val="16"/>
          <w:color w:val="auto"/>
        </w:rPr>
        <w:t xml:space="preserve"> </w:t>
      </w:r>
      <w:r>
        <w:rPr>
          <w:rFonts w:ascii="Arial" w:cs="Arial" w:eastAsia="Arial" w:hAnsi="Arial"/>
          <w:sz w:val="16"/>
          <w:szCs w:val="16"/>
          <w:i w:val="1"/>
          <w:iCs w:val="1"/>
          <w:color w:val="auto"/>
        </w:rPr>
        <w:t>accurately and charge competitive yet profitable rates to our policyholders, our business, financial condition and results of operations will be materially adversely affected</w:t>
      </w:r>
      <w:r>
        <w:rPr>
          <w:rFonts w:ascii="Arial" w:cs="Arial" w:eastAsia="Arial" w:hAnsi="Arial"/>
          <w:sz w:val="16"/>
          <w:szCs w:val="16"/>
          <w:color w:val="auto"/>
        </w:rPr>
        <w:t>” in “Part I-Item 1A-Risk Factors” in the Company’s Annual Report on Form 10-K for the year ended December 31, 2019.</w:t>
      </w:r>
    </w:p>
    <w:p>
      <w:pPr>
        <w:spacing w:after="0" w:line="5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spread of the virus has caused us to modify our business practices (including employee work locations and cancellation of physical participation in meetings) in ways that might become detrimental to the operation of our business (including working remotely and its attendant cybersecurity risks). We may take further actions as may be required by government authorities or that we determine are in the best interests of our employees and policyholders. There is no certainty that such measures will be sufficient to mitigate the risks posed by the virus or otherwise be satisfactory to government authorities. A return to work in the office environment could result in an outbreak of COVID-19 illness affecting a large number of the Company's employees and/or require a large number of employees to self-quarantine. Our operations could be disrupted if key members of our senior management or a significant percentage of our workforce or the workforce of our agents, brokers or service providers are unable to continue to work because of illness from COVID-19, government directives, loss of childcare or eldercare resulting from the closure of schools and/or child or senior care facilities, or otherwise. For a further discussion of these risks, see “</w:t>
      </w:r>
      <w:r>
        <w:rPr>
          <w:rFonts w:ascii="Arial" w:cs="Arial" w:eastAsia="Arial" w:hAnsi="Arial"/>
          <w:sz w:val="16"/>
          <w:szCs w:val="16"/>
          <w:i w:val="1"/>
          <w:iCs w:val="1"/>
          <w:color w:val="auto"/>
        </w:rPr>
        <w:t>We rely on our systems and employees, and those of certain third-party vendors and service providers in conducting our</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 and certain failures, including internal or external fraud, operational errors, systems malfunctions, or cybersecurity incidents, could materially adversely affect our operations</w:t>
      </w:r>
      <w:r>
        <w:rPr>
          <w:rFonts w:ascii="Arial" w:cs="Arial" w:eastAsia="Arial" w:hAnsi="Arial"/>
          <w:sz w:val="16"/>
          <w:szCs w:val="16"/>
          <w:color w:val="auto"/>
        </w:rPr>
        <w:t>” in “Part I-Item 1A-Risk Factors” in the Company’s Annual Report on Form 10-K for the year ended December 31, 2019.</w:t>
      </w:r>
    </w:p>
    <w:p>
      <w:pPr>
        <w:spacing w:after="0" w:line="64" w:lineRule="exact"/>
        <w:rPr>
          <w:sz w:val="20"/>
          <w:szCs w:val="20"/>
          <w:color w:val="auto"/>
        </w:rPr>
      </w:pPr>
    </w:p>
    <w:p>
      <w:pPr>
        <w:jc w:val="both"/>
        <w:ind w:firstLine="754"/>
        <w:spacing w:after="0" w:line="275" w:lineRule="auto"/>
        <w:rPr>
          <w:sz w:val="20"/>
          <w:szCs w:val="20"/>
          <w:color w:val="auto"/>
        </w:rPr>
      </w:pPr>
      <w:r>
        <w:rPr>
          <w:rFonts w:ascii="Arial" w:cs="Arial" w:eastAsia="Arial" w:hAnsi="Arial"/>
          <w:sz w:val="17"/>
          <w:szCs w:val="17"/>
          <w:color w:val="auto"/>
        </w:rPr>
        <w:t>Given the ongoing and dynamic nature of the circumstances, it is not possible to predict the ultimate impact of the coronavirus outbreak on the stock price, business prospects, financial condition or results of operations of the Company. Notwithstanding any actions by national, state and local governments to mitigate the impact of COVID-19 or by the Company to address the adverse impacts of COVID-19, there can be no assurance that any of the foregoing activities will be successful in mitigating or preventing significant adverse effects on the Company. The Company may also incur additional costs to remedy damages caused by such disruptions, which could adversely affect its financial condition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2255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3.3</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3.4</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3.5</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3.6</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6459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459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16459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459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wp:posOffset>
            </wp:positionV>
            <wp:extent cx="54603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60365" cy="8890"/>
                    </a:xfrm>
                    <a:prstGeom prst="rect">
                      <a:avLst/>
                    </a:prstGeom>
                    <a:noFill/>
                  </pic:spPr>
                </pic:pic>
              </a:graphicData>
            </a:graphic>
          </wp:anchor>
        </w:drawing>
      </w:r>
    </w:p>
    <w:p>
      <w:pPr>
        <w:spacing w:after="0" w:line="30" w:lineRule="exact"/>
        <w:rPr>
          <w:sz w:val="20"/>
          <w:szCs w:val="20"/>
          <w:color w:val="auto"/>
        </w:rPr>
      </w:pPr>
    </w:p>
    <w:p>
      <w:pPr>
        <w:jc w:val="both"/>
        <w:spacing w:after="0" w:line="289" w:lineRule="auto"/>
        <w:rPr>
          <w:rFonts w:ascii="Arial" w:cs="Arial" w:eastAsia="Arial" w:hAnsi="Arial"/>
          <w:sz w:val="16"/>
          <w:szCs w:val="16"/>
          <w:u w:val="single" w:color="auto"/>
          <w:color w:val="0000FF"/>
        </w:rPr>
      </w:pPr>
      <w:hyperlink r:id="rId80">
        <w:r>
          <w:rPr>
            <w:rFonts w:ascii="Arial" w:cs="Arial" w:eastAsia="Arial" w:hAnsi="Arial"/>
            <w:sz w:val="16"/>
            <w:szCs w:val="16"/>
            <w:u w:val="single" w:color="auto"/>
            <w:color w:val="0000FF"/>
          </w:rPr>
          <w:t>Certificate of Incorporation of James River Group Holdings, Ltd. (incorporated by reference to Exhibit 3.1 of the</w:t>
        </w:r>
      </w:hyperlink>
      <w:r>
        <w:rPr>
          <w:rFonts w:ascii="Arial" w:cs="Arial" w:eastAsia="Arial" w:hAnsi="Arial"/>
          <w:sz w:val="16"/>
          <w:szCs w:val="16"/>
          <w:u w:val="single" w:color="auto"/>
          <w:color w:val="0000FF"/>
        </w:rPr>
        <w:t xml:space="preserve"> </w:t>
      </w:r>
      <w:hyperlink r:id="rId80">
        <w:r>
          <w:rPr>
            <w:rFonts w:ascii="Arial" w:cs="Arial" w:eastAsia="Arial" w:hAnsi="Arial"/>
            <w:sz w:val="16"/>
            <w:szCs w:val="16"/>
            <w:u w:val="single" w:color="auto"/>
            <w:color w:val="0000FF"/>
          </w:rPr>
          <w:t>Registration Statement on Form S-1, Registration No. 333-199958, filed with the Commission on November 7, 2014)</w:t>
        </w:r>
      </w:hyperlink>
    </w:p>
    <w:p>
      <w:pPr>
        <w:spacing w:after="0" w:line="16" w:lineRule="exact"/>
        <w:rPr>
          <w:sz w:val="20"/>
          <w:szCs w:val="20"/>
          <w:color w:val="auto"/>
        </w:rPr>
      </w:pPr>
    </w:p>
    <w:p>
      <w:pPr>
        <w:jc w:val="both"/>
        <w:spacing w:after="0" w:line="235" w:lineRule="auto"/>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Certificate of Incorporation on Change of Name (incorporated by reference to Exhibit 3.2 of the Registration</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Statement on Form S-1, Registration No. 333-199958, filed with the Commission on November 7, 2014)</w:t>
        </w:r>
      </w:hyperlink>
    </w:p>
    <w:p>
      <w:pPr>
        <w:spacing w:after="0" w:line="54" w:lineRule="exact"/>
        <w:rPr>
          <w:sz w:val="20"/>
          <w:szCs w:val="20"/>
          <w:color w:val="auto"/>
        </w:rPr>
      </w:pPr>
    </w:p>
    <w:p>
      <w:pPr>
        <w:jc w:val="both"/>
        <w:spacing w:after="0" w:line="289" w:lineRule="auto"/>
        <w:rPr>
          <w:rFonts w:ascii="Arial" w:cs="Arial" w:eastAsia="Arial" w:hAnsi="Arial"/>
          <w:sz w:val="16"/>
          <w:szCs w:val="16"/>
          <w:u w:val="single" w:color="auto"/>
          <w:color w:val="0000FF"/>
        </w:rPr>
      </w:pPr>
      <w:hyperlink r:id="rId82">
        <w:r>
          <w:rPr>
            <w:rFonts w:ascii="Arial" w:cs="Arial" w:eastAsia="Arial" w:hAnsi="Arial"/>
            <w:sz w:val="16"/>
            <w:szCs w:val="16"/>
            <w:u w:val="single" w:color="auto"/>
            <w:color w:val="0000FF"/>
          </w:rPr>
          <w:t>Memorandum of Association of James River Group Holdings, Ltd. (incorporated by reference to Exhibit 3.3 of the</w:t>
        </w:r>
      </w:hyperlink>
      <w:r>
        <w:rPr>
          <w:rFonts w:ascii="Arial" w:cs="Arial" w:eastAsia="Arial" w:hAnsi="Arial"/>
          <w:sz w:val="16"/>
          <w:szCs w:val="16"/>
          <w:u w:val="single" w:color="auto"/>
          <w:color w:val="0000FF"/>
        </w:rPr>
        <w:t xml:space="preserve"> </w:t>
      </w:r>
      <w:hyperlink r:id="rId82">
        <w:r>
          <w:rPr>
            <w:rFonts w:ascii="Arial" w:cs="Arial" w:eastAsia="Arial" w:hAnsi="Arial"/>
            <w:sz w:val="16"/>
            <w:szCs w:val="16"/>
            <w:u w:val="single" w:color="auto"/>
            <w:color w:val="0000FF"/>
          </w:rPr>
          <w:t>Registration Statement on Form S-1, Registration No. 333-199958, filed with the Commission on November 7, 2014)</w:t>
        </w:r>
      </w:hyperlink>
    </w:p>
    <w:p>
      <w:pPr>
        <w:spacing w:after="0" w:line="16" w:lineRule="exact"/>
        <w:rPr>
          <w:sz w:val="20"/>
          <w:szCs w:val="20"/>
          <w:color w:val="auto"/>
        </w:rPr>
      </w:pPr>
    </w:p>
    <w:p>
      <w:pPr>
        <w:jc w:val="both"/>
        <w:spacing w:after="0" w:line="224" w:lineRule="auto"/>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Certificate of Deposit of Memorandum of Increase of Share Capital, dated December 24, 2007 (incorporated by</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reference to Exhibit 3.4 of the Registration Statement on Form S-1, Registration No. 333-199958, filed with the</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Commission on November 7, 2014)</w:t>
        </w:r>
      </w:hyperlink>
    </w:p>
    <w:p>
      <w:pPr>
        <w:spacing w:after="0" w:line="55" w:lineRule="exact"/>
        <w:rPr>
          <w:rFonts w:ascii="Arial" w:cs="Arial" w:eastAsia="Arial" w:hAnsi="Arial"/>
          <w:sz w:val="18"/>
          <w:szCs w:val="18"/>
          <w:u w:val="single" w:color="auto"/>
          <w:color w:val="0000FF"/>
        </w:rPr>
      </w:pPr>
    </w:p>
    <w:p>
      <w:pPr>
        <w:jc w:val="both"/>
        <w:spacing w:after="0" w:line="224" w:lineRule="auto"/>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Certificate of Deposit of Memorandum of Increase of Share Capital, dated October 7, 2009 (incorporated by reference</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to Exhibit 3.5 of the Registration Statement on Form S-1, Registration No. 333-199958, filed with the Commission on</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November 7, 2014)</w:t>
        </w:r>
      </w:hyperlink>
    </w:p>
    <w:p>
      <w:pPr>
        <w:spacing w:after="0" w:line="55" w:lineRule="exact"/>
        <w:rPr>
          <w:rFonts w:ascii="Arial" w:cs="Arial" w:eastAsia="Arial" w:hAnsi="Arial"/>
          <w:sz w:val="18"/>
          <w:szCs w:val="18"/>
          <w:u w:val="single" w:color="auto"/>
          <w:color w:val="0000FF"/>
        </w:rPr>
      </w:pPr>
    </w:p>
    <w:p>
      <w:pPr>
        <w:jc w:val="both"/>
        <w:spacing w:after="0" w:line="235" w:lineRule="auto"/>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Third Amended and Restated Bye-Laws of James River Group Holdings, Ltd. (incorporated by reference to Exhibit</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3.6 to the Annual Report on Form 10-K filed on March 12, 2015, Commission File No. 001-36777)</w:t>
        </w:r>
      </w:hyperlink>
    </w:p>
    <w:p>
      <w:pPr>
        <w:spacing w:after="0" w:line="135" w:lineRule="exact"/>
        <w:rPr>
          <w:sz w:val="20"/>
          <w:szCs w:val="20"/>
          <w:color w:val="auto"/>
        </w:rPr>
      </w:pPr>
    </w:p>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Chief Executive Officer Certification pursuant to Rule 13a-14(a)/15d-14(a)</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Chief Financial Officer Certification pursuant to Rule 13a-14(a)/15d-14(a)</w:t>
        </w:r>
      </w:hyperlink>
    </w:p>
    <w:p>
      <w:pPr>
        <w:spacing w:after="0" w:line="77" w:lineRule="exact"/>
        <w:rPr>
          <w:sz w:val="20"/>
          <w:szCs w:val="20"/>
          <w:color w:val="auto"/>
        </w:rPr>
      </w:pPr>
    </w:p>
    <w:p>
      <w:pPr>
        <w:jc w:val="both"/>
        <w:spacing w:after="0" w:line="235" w:lineRule="auto"/>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Chief Executive Officer and Chief Financial Officer Certification pursuant to 18 U.S.C. Section 1350, as adopted</w:t>
        </w:r>
      </w:hyperlink>
      <w:r>
        <w:rPr>
          <w:rFonts w:ascii="Arial" w:cs="Arial" w:eastAsia="Arial" w:hAnsi="Arial"/>
          <w:sz w:val="18"/>
          <w:szCs w:val="18"/>
          <w:u w:val="single" w:color="auto"/>
          <w:color w:val="0000FF"/>
        </w:rPr>
        <w:t xml:space="preserve"> </w:t>
      </w:r>
      <w:hyperlink w:anchor="page60">
        <w:r>
          <w:rPr>
            <w:rFonts w:ascii="Arial" w:cs="Arial" w:eastAsia="Arial" w:hAnsi="Arial"/>
            <w:sz w:val="18"/>
            <w:szCs w:val="18"/>
            <w:u w:val="single" w:color="auto"/>
            <w:color w:val="0000FF"/>
          </w:rPr>
          <w:t>pursuant to Section 906 of the Sarbanes-Oxley Act of 2002</w:t>
        </w:r>
      </w:hyperlink>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Inline XBRL Instance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Cover Page Interactive Data File - the cover page XBRL tags are embedded within the Inline XBRL document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900" w:space="720"/>
            <w:col w:w="8560"/>
          </w:cols>
          <w:pgMar w:left="320" w:top="125" w:right="39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Signatures</w:t>
      </w: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James River Group Holdings, Ltd.</w:t>
      </w:r>
    </w:p>
    <w:p>
      <w:pPr>
        <w:spacing w:after="0" w:line="333" w:lineRule="exact"/>
        <w:rPr>
          <w:sz w:val="20"/>
          <w:szCs w:val="20"/>
          <w:color w:val="auto"/>
        </w:rPr>
      </w:pPr>
    </w:p>
    <w:p>
      <w:pPr>
        <w:ind w:left="20"/>
        <w:spacing w:after="0"/>
        <w:tabs>
          <w:tab w:leader="none" w:pos="660" w:val="left"/>
          <w:tab w:leader="none" w:pos="5200" w:val="left"/>
          <w:tab w:leader="none" w:pos="5880" w:val="left"/>
        </w:tabs>
        <w:rPr>
          <w:sz w:val="20"/>
          <w:szCs w:val="20"/>
          <w:color w:val="auto"/>
        </w:rPr>
      </w:pPr>
      <w:r>
        <w:rPr>
          <w:rFonts w:ascii="Arial" w:cs="Arial" w:eastAsia="Arial" w:hAnsi="Arial"/>
          <w:sz w:val="18"/>
          <w:szCs w:val="18"/>
          <w:color w:val="auto"/>
        </w:rPr>
        <w:t>Date:</w:t>
        <w:tab/>
        <w:t>July 31,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 Adam Abram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31750</wp:posOffset>
            </wp:positionV>
            <wp:extent cx="26485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 Adam Abram</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Executive Officer and</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Chairman of the Board</w:t>
      </w:r>
    </w:p>
    <w:p>
      <w:pPr>
        <w:spacing w:after="0" w:line="4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20"/>
        <w:spacing w:after="0"/>
        <w:tabs>
          <w:tab w:leader="none" w:pos="660" w:val="left"/>
          <w:tab w:leader="none" w:pos="5200" w:val="left"/>
          <w:tab w:leader="none" w:pos="5880" w:val="left"/>
        </w:tabs>
        <w:rPr>
          <w:sz w:val="20"/>
          <w:szCs w:val="20"/>
          <w:color w:val="auto"/>
        </w:rPr>
      </w:pPr>
      <w:r>
        <w:rPr>
          <w:rFonts w:ascii="Arial" w:cs="Arial" w:eastAsia="Arial" w:hAnsi="Arial"/>
          <w:sz w:val="18"/>
          <w:szCs w:val="18"/>
          <w:color w:val="auto"/>
        </w:rPr>
        <w:t>Date:</w:t>
        <w:tab/>
        <w:t>July 31,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31750</wp:posOffset>
            </wp:positionV>
            <wp:extent cx="26485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Sarah C. Doran</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280"/>
          </w:cols>
          <w:pgMar w:left="320" w:top="125" w:right="129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J. Adam Abram, certify that:</w:t>
      </w:r>
    </w:p>
    <w:p>
      <w:pPr>
        <w:spacing w:after="0" w:line="11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29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7"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320"/>
        <w:spacing w:after="0" w:line="263" w:lineRule="auto"/>
        <w:tabs>
          <w:tab w:leader="none" w:pos="129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320"/>
        <w:spacing w:after="0" w:line="342" w:lineRule="auto"/>
        <w:tabs>
          <w:tab w:leader="none" w:pos="1297"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29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2020</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Adam Abram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566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 Adam Abram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Chairman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Sarah C. Doran, certify that:</w:t>
      </w:r>
    </w:p>
    <w:p>
      <w:pPr>
        <w:spacing w:after="0" w:line="11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29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7"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320"/>
        <w:spacing w:after="0" w:line="263" w:lineRule="auto"/>
        <w:tabs>
          <w:tab w:leader="none" w:pos="129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320"/>
        <w:spacing w:after="0" w:line="342" w:lineRule="auto"/>
        <w:tabs>
          <w:tab w:leader="none" w:pos="1297"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29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2020</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31750</wp:posOffset>
            </wp:positionV>
            <wp:extent cx="35572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Sarah C. Doran</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1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the quarterly report of James River Group Holdings, Ltd. (the “Company”) on Form 10-Q for the period ended June 30, 2020 as filed with the Securities and Exchange Commission on the date hereof (the “Report”), we, J. Adam Abram, Chief Executive Officer and Chairman of the Company, and Sarah C. Doran, Chief Financial Officer of the Company, certify, to the best of our knowledge, pursuant to 18 U.S.C. §1350, as adopted pursuant to §906 of the Sarbanes-Oxley Act of 2002, that:</w:t>
      </w:r>
    </w:p>
    <w:p>
      <w:pPr>
        <w:spacing w:after="0" w:line="79"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40" w:hanging="632"/>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J. Adam Abram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31750</wp:posOffset>
            </wp:positionV>
            <wp:extent cx="35401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 Adam Abram</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Executive Officer and Chairman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July 31, 2020</w:t>
      </w:r>
    </w:p>
    <w:p>
      <w:pPr>
        <w:spacing w:after="0" w:line="33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31750</wp:posOffset>
            </wp:positionV>
            <wp:extent cx="35401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Sarah C. Doran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July 31, 2020</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lowerLetter"/>
      <w:start w:val="2"/>
    </w:lvl>
  </w:abstractNum>
  <w:abstractNum w:abstractNumId="9">
    <w:nsid w:val="519B500D"/>
    <w:multiLevelType w:val="hybridMultilevel"/>
    <w:lvl w:ilvl="0">
      <w:lvlJc w:val="left"/>
      <w:lvlText w:val="%1."/>
      <w:numFmt w:val="decimal"/>
      <w:start w:val="7"/>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2"/>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80" Type="http://schemas.openxmlformats.org/officeDocument/2006/relationships/hyperlink" Target="http://www.sec.gov/Archives/edgar/data/1620459/000157104914005924/t1401933_ex3-1.htm" TargetMode="External"/><Relationship Id="rId81" Type="http://schemas.openxmlformats.org/officeDocument/2006/relationships/hyperlink" Target="http://www.sec.gov/Archives/edgar/data/1620459/000157104914005924/t1401933_ex3-2.htm" TargetMode="External"/><Relationship Id="rId82" Type="http://schemas.openxmlformats.org/officeDocument/2006/relationships/hyperlink" Target="http://www.sec.gov/Archives/edgar/data/1620459/000157104914005924/t1401933_ex3-3.htm" TargetMode="External"/><Relationship Id="rId83" Type="http://schemas.openxmlformats.org/officeDocument/2006/relationships/hyperlink" Target="http://www.sec.gov/Archives/edgar/data/1620459/000157104914005924/t1401933_ex3-4.htm" TargetMode="External"/><Relationship Id="rId84" Type="http://schemas.openxmlformats.org/officeDocument/2006/relationships/hyperlink" Target="http://www.sec.gov/Archives/edgar/data/1620459/000157104914005924/t1401933_ex3-5.htm" TargetMode="External"/><Relationship Id="rId85" Type="http://schemas.openxmlformats.org/officeDocument/2006/relationships/hyperlink" Target="http://www.sec.gov/Archives/edgar/data/1620459/000157104915001874/t1500493_ex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2020-07-31T15:24:19Z</dcterms:created>
  <dcterms:modified xsi:type="dcterms:W3CDTF">2020-07-31T15:24:19Z</dcterms:modified>
</cp:coreProperties>
</file>