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83"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 for the quarterly period</w:t>
      </w:r>
    </w:p>
    <w:p>
      <w:pPr>
        <w:spacing w:after="0" w:line="10"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ended September 30, 2019</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 for the transition period</w:t>
      </w:r>
    </w:p>
    <w:p>
      <w:pPr>
        <w:spacing w:after="0" w:line="1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from _______ to _______</w:t>
      </w:r>
    </w:p>
    <w:p>
      <w:pPr>
        <w:spacing w:after="0" w:line="2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001-36777</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5600" w:type="dxa"/>
            <w:vAlign w:val="bottom"/>
          </w:tcPr>
          <w:p>
            <w:pPr>
              <w:jc w:val="right"/>
              <w:ind w:right="15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594"/>
        </w:trPr>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Bermuda</w:t>
            </w:r>
          </w:p>
        </w:tc>
        <w:tc>
          <w:tcPr>
            <w:tcW w:w="560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98-0585280</w:t>
            </w:r>
          </w:p>
        </w:tc>
      </w:tr>
      <w:tr>
        <w:trPr>
          <w:trHeight w:val="178"/>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600" w:type="dxa"/>
            <w:vAlign w:val="bottom"/>
          </w:tcPr>
          <w:p>
            <w:pPr>
              <w:jc w:val="center"/>
              <w:ind w:left="439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600" w:type="dxa"/>
            <w:vAlign w:val="bottom"/>
          </w:tcPr>
          <w:p>
            <w:pPr>
              <w:jc w:val="center"/>
              <w:ind w:left="439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4" w:lineRule="exact"/>
        <w:rPr>
          <w:sz w:val="24"/>
          <w:szCs w:val="24"/>
          <w:color w:val="auto"/>
        </w:rPr>
      </w:pPr>
    </w:p>
    <w:p>
      <w:pPr>
        <w:jc w:val="center"/>
        <w:ind w:left="420" w:right="2740"/>
        <w:spacing w:after="0" w:line="278" w:lineRule="auto"/>
        <w:rPr>
          <w:sz w:val="20"/>
          <w:szCs w:val="20"/>
          <w:color w:val="auto"/>
        </w:rPr>
      </w:pPr>
      <w:r>
        <w:rPr>
          <w:rFonts w:ascii="Times New Roman" w:cs="Times New Roman" w:eastAsia="Times New Roman" w:hAnsi="Times New Roman"/>
          <w:sz w:val="18"/>
          <w:szCs w:val="18"/>
          <w:b w:val="1"/>
          <w:bCs w:val="1"/>
          <w:color w:val="auto"/>
        </w:rPr>
        <w:t>Wellesley House, 2nd Floor, 90 Pitts Bay Road, Pembroke HM08, Bermuda (Address of principal executive offices) (Zip Code)</w:t>
      </w:r>
    </w:p>
    <w:p>
      <w:pPr>
        <w:spacing w:after="0" w:line="223"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(441) 278-4580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38"/>
        </w:trPr>
        <w:tc>
          <w:tcPr>
            <w:tcW w:w="23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440" w:type="dxa"/>
            <w:vAlign w:val="bottom"/>
          </w:tcPr>
          <w:p>
            <w:pPr>
              <w:spacing w:after="0"/>
              <w:rPr>
                <w:sz w:val="24"/>
                <w:szCs w:val="24"/>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Names of each exchange on which registered</w:t>
            </w:r>
          </w:p>
        </w:tc>
      </w:tr>
      <w:tr>
        <w:trPr>
          <w:trHeight w:val="20"/>
        </w:trPr>
        <w:tc>
          <w:tcPr>
            <w:tcW w:w="2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91"/>
        </w:trPr>
        <w:tc>
          <w:tcPr>
            <w:tcW w:w="51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Common Shares, par value $0.0002 per share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JRVR</w:t>
            </w:r>
          </w:p>
        </w:tc>
        <w:tc>
          <w:tcPr>
            <w:tcW w:w="180" w:type="dxa"/>
            <w:vAlign w:val="bottom"/>
          </w:tcPr>
          <w:p>
            <w:pPr>
              <w:spacing w:after="0"/>
              <w:rPr>
                <w:sz w:val="24"/>
                <w:szCs w:val="24"/>
                <w:color w:val="auto"/>
              </w:rPr>
            </w:pPr>
          </w:p>
        </w:tc>
        <w:tc>
          <w:tcPr>
            <w:tcW w:w="3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1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p>
      <w:pPr>
        <w:ind w:left="40"/>
        <w:spacing w:after="0" w:line="184" w:lineRule="exact"/>
        <w:tabs>
          <w:tab w:leader="none" w:pos="2200" w:val="left"/>
          <w:tab w:leader="none" w:pos="3920" w:val="left"/>
          <w:tab w:leader="none" w:pos="5980" w:val="left"/>
          <w:tab w:leader="none" w:pos="8620" w:val="left"/>
          <w:tab w:leader="none" w:pos="1122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75"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x</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shares outstanding at November 5, 2019: 30,405,422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5"/>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55"/>
        </w:trPr>
        <w:tc>
          <w:tcPr>
            <w:tcW w:w="10640" w:type="dxa"/>
            <w:vAlign w:val="bottom"/>
            <w:gridSpan w:val="27"/>
            <w:shd w:val="clear" w:color="auto" w:fill="CCEEFF"/>
          </w:tcPr>
          <w:p>
            <w:pPr>
              <w:ind w:left="4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PART I. FINANCIAL INFORMATION</w:t>
              </w:r>
            </w:hyperlink>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Statements</w:t>
              </w:r>
            </w:hyperlink>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Sheets—September 30, 2019 and December 31, 2018</w:t>
              </w:r>
            </w:hyperlink>
          </w:p>
        </w:tc>
        <w:tc>
          <w:tcPr>
            <w:tcW w:w="460" w:type="dxa"/>
            <w:vAlign w:val="bottom"/>
            <w:gridSpan w:val="4"/>
            <w:shd w:val="clear" w:color="auto" w:fill="CCEEFF"/>
          </w:tcPr>
          <w:p>
            <w:pPr>
              <w:jc w:val="center"/>
              <w:ind w:left="212"/>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96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80" w:type="dxa"/>
            <w:vAlign w:val="bottom"/>
            <w:tcBorders>
              <w:bottom w:val="single" w:sz="8" w:color="0000EE"/>
            </w:tcBorders>
            <w:gridSpan w:val="20"/>
            <w:shd w:val="clear" w:color="auto" w:fill="CCEEFF"/>
          </w:tcPr>
          <w:p>
            <w:pPr>
              <w:spacing w:after="0" w:line="202"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(Loss) Income and Comprehensive (Loss) Income—Three and Nine Months Ended</w:t>
              </w:r>
            </w:hyperlink>
          </w:p>
        </w:tc>
        <w:tc>
          <w:tcPr>
            <w:tcW w:w="68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6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September 30, 2019 and 2018</w:t>
              </w:r>
            </w:hyperlink>
          </w:p>
        </w:tc>
        <w:tc>
          <w:tcPr>
            <w:tcW w:w="460" w:type="dxa"/>
            <w:vAlign w:val="bottom"/>
            <w:gridSpan w:val="4"/>
            <w:shd w:val="clear" w:color="auto" w:fill="CCEEFF"/>
          </w:tcPr>
          <w:p>
            <w:pPr>
              <w:jc w:val="center"/>
              <w:ind w:left="212"/>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Changes in Shareholders’ Equity—Three and Nine Months Ended September 30, 2019 and</w:t>
              </w:r>
            </w:hyperlink>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2018</w:t>
              </w:r>
            </w:hyperlink>
          </w:p>
        </w:tc>
        <w:tc>
          <w:tcPr>
            <w:tcW w:w="30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30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760" w:type="dxa"/>
            <w:vAlign w:val="bottom"/>
            <w:tcBorders>
              <w:top w:val="single" w:sz="8" w:color="0000EE"/>
            </w:tcBorders>
            <w:shd w:val="clear" w:color="auto" w:fill="CCEEFF"/>
          </w:tcPr>
          <w:p>
            <w:pPr>
              <w:spacing w:after="0"/>
              <w:rPr>
                <w:sz w:val="21"/>
                <w:szCs w:val="21"/>
                <w:color w:val="auto"/>
              </w:rPr>
            </w:pPr>
          </w:p>
        </w:tc>
        <w:tc>
          <w:tcPr>
            <w:tcW w:w="900" w:type="dxa"/>
            <w:vAlign w:val="bottom"/>
            <w:tcBorders>
              <w:top w:val="single" w:sz="8" w:color="0000EE"/>
            </w:tcBorders>
            <w:shd w:val="clear" w:color="auto" w:fill="CCEEFF"/>
          </w:tcPr>
          <w:p>
            <w:pPr>
              <w:spacing w:after="0"/>
              <w:rPr>
                <w:sz w:val="21"/>
                <w:szCs w:val="21"/>
                <w:color w:val="auto"/>
              </w:rPr>
            </w:pPr>
          </w:p>
        </w:tc>
        <w:tc>
          <w:tcPr>
            <w:tcW w:w="36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96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1100" w:type="dxa"/>
            <w:vAlign w:val="bottom"/>
            <w:tcBorders>
              <w:top w:val="single" w:sz="8" w:color="0000EE"/>
            </w:tcBorders>
            <w:shd w:val="clear" w:color="auto" w:fill="CCEEFF"/>
          </w:tcPr>
          <w:p>
            <w:pPr>
              <w:spacing w:after="0"/>
              <w:rPr>
                <w:sz w:val="21"/>
                <w:szCs w:val="21"/>
                <w:color w:val="auto"/>
              </w:rPr>
            </w:pPr>
          </w:p>
        </w:tc>
        <w:tc>
          <w:tcPr>
            <w:tcW w:w="1340" w:type="dxa"/>
            <w:vAlign w:val="bottom"/>
            <w:tcBorders>
              <w:top w:val="single" w:sz="8" w:color="0000EE"/>
            </w:tcBorders>
            <w:shd w:val="clear" w:color="auto" w:fill="CCEEFF"/>
          </w:tcPr>
          <w:p>
            <w:pPr>
              <w:spacing w:after="0"/>
              <w:rPr>
                <w:sz w:val="21"/>
                <w:szCs w:val="21"/>
                <w:color w:val="auto"/>
              </w:rPr>
            </w:pPr>
          </w:p>
        </w:tc>
        <w:tc>
          <w:tcPr>
            <w:tcW w:w="56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gridSpan w:val="4"/>
            <w:shd w:val="clear" w:color="auto" w:fill="CCEEFF"/>
          </w:tcPr>
          <w:p>
            <w:pPr>
              <w:jc w:val="center"/>
              <w:ind w:left="212"/>
              <w:spacing w:after="0" w:line="196"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c>
          <w:tcPr>
            <w:tcW w:w="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Condensed Consolidated Statements of Cash Flows—Nine Months Ended September 30, 2019 and 2018</w:t>
              </w:r>
            </w:hyperlink>
          </w:p>
        </w:tc>
        <w:tc>
          <w:tcPr>
            <w:tcW w:w="480" w:type="dxa"/>
            <w:vAlign w:val="bottom"/>
            <w:gridSpan w:val="5"/>
            <w:shd w:val="clear" w:color="auto" w:fill="CCEEFF"/>
          </w:tcPr>
          <w:p>
            <w:pPr>
              <w:jc w:val="center"/>
              <w:ind w:left="212"/>
              <w:spacing w:after="0" w:line="202"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10</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96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Notes to Condensed Consolidated Financial Statements</w:t>
              </w:r>
            </w:hyperlink>
          </w:p>
        </w:tc>
        <w:tc>
          <w:tcPr>
            <w:tcW w:w="480" w:type="dxa"/>
            <w:vAlign w:val="bottom"/>
            <w:gridSpan w:val="5"/>
            <w:shd w:val="clear" w:color="auto" w:fill="CCEEFF"/>
          </w:tcPr>
          <w:p>
            <w:pPr>
              <w:jc w:val="center"/>
              <w:ind w:left="192"/>
              <w:spacing w:after="0" w:line="202" w:lineRule="exact"/>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11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2.</w:t>
              </w:r>
            </w:hyperlink>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80" w:type="dxa"/>
            <w:vAlign w:val="bottom"/>
            <w:gridSpan w:val="5"/>
            <w:shd w:val="clear" w:color="auto" w:fill="CCEEFF"/>
          </w:tcPr>
          <w:p>
            <w:pPr>
              <w:jc w:val="center"/>
              <w:ind w:left="212"/>
              <w:spacing w:after="0" w:line="202"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31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96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Critical Accounting Policies and Estimates</w:t>
              </w:r>
            </w:hyperlink>
          </w:p>
        </w:tc>
        <w:tc>
          <w:tcPr>
            <w:tcW w:w="480" w:type="dxa"/>
            <w:vAlign w:val="bottom"/>
            <w:gridSpan w:val="5"/>
            <w:shd w:val="clear" w:color="auto" w:fill="CCEEFF"/>
          </w:tcPr>
          <w:p>
            <w:pPr>
              <w:jc w:val="center"/>
              <w:ind w:left="212"/>
              <w:spacing w:after="0" w:line="202"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31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3.</w:t>
              </w:r>
            </w:hyperlink>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Quantitative and Qualitative Disclosures About Market Risk</w:t>
              </w:r>
            </w:hyperlink>
          </w:p>
        </w:tc>
        <w:tc>
          <w:tcPr>
            <w:tcW w:w="480" w:type="dxa"/>
            <w:vAlign w:val="bottom"/>
            <w:gridSpan w:val="5"/>
            <w:shd w:val="clear" w:color="auto" w:fill="CCEEFF"/>
          </w:tcPr>
          <w:p>
            <w:pPr>
              <w:jc w:val="center"/>
              <w:ind w:left="212"/>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53</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4.</w:t>
              </w:r>
            </w:hyperlink>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Controls and Procedures</w:t>
              </w:r>
            </w:hyperlink>
          </w:p>
        </w:tc>
        <w:tc>
          <w:tcPr>
            <w:tcW w:w="480" w:type="dxa"/>
            <w:vAlign w:val="bottom"/>
            <w:gridSpan w:val="5"/>
            <w:shd w:val="clear" w:color="auto" w:fill="CCEEFF"/>
          </w:tcPr>
          <w:p>
            <w:pPr>
              <w:jc w:val="center"/>
              <w:ind w:left="212"/>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53</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640" w:type="dxa"/>
            <w:vAlign w:val="bottom"/>
            <w:gridSpan w:val="2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PART II. OTHER INFORMATION</w:t>
              </w:r>
            </w:hyperlink>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1.</w:t>
              </w:r>
            </w:hyperlink>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Legal Proceedings</w:t>
              </w:r>
            </w:hyperlink>
          </w:p>
        </w:tc>
        <w:tc>
          <w:tcPr>
            <w:tcW w:w="480" w:type="dxa"/>
            <w:vAlign w:val="bottom"/>
            <w:gridSpan w:val="5"/>
            <w:shd w:val="clear" w:color="auto" w:fill="CCEEFF"/>
          </w:tcPr>
          <w:p>
            <w:pPr>
              <w:jc w:val="center"/>
              <w:ind w:left="212"/>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53</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1A.</w:t>
              </w:r>
            </w:hyperlink>
          </w:p>
        </w:tc>
        <w:tc>
          <w:tcPr>
            <w:tcW w:w="9560" w:type="dxa"/>
            <w:vAlign w:val="bottom"/>
            <w:gridSpan w:val="22"/>
          </w:tcPr>
          <w:p>
            <w:pPr>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Risk Factors</w:t>
              </w:r>
            </w:hyperlink>
          </w:p>
        </w:tc>
        <w:tc>
          <w:tcPr>
            <w:tcW w:w="480" w:type="dxa"/>
            <w:vAlign w:val="bottom"/>
            <w:gridSpan w:val="5"/>
          </w:tcPr>
          <w:p>
            <w:pPr>
              <w:jc w:val="center"/>
              <w:ind w:left="212"/>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53</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2.</w:t>
              </w:r>
            </w:hyperlink>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gridSpan w:val="5"/>
            <w:shd w:val="clear" w:color="auto" w:fill="CCEEFF"/>
          </w:tcPr>
          <w:p>
            <w:pPr>
              <w:jc w:val="center"/>
              <w:ind w:left="212"/>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53</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3.</w:t>
              </w:r>
            </w:hyperlink>
          </w:p>
        </w:tc>
        <w:tc>
          <w:tcPr>
            <w:tcW w:w="9560" w:type="dxa"/>
            <w:vAlign w:val="bottom"/>
            <w:gridSpan w:val="22"/>
          </w:tcPr>
          <w:p>
            <w:pPr>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Defaults Upon Senior Securities</w:t>
              </w:r>
            </w:hyperlink>
          </w:p>
        </w:tc>
        <w:tc>
          <w:tcPr>
            <w:tcW w:w="480" w:type="dxa"/>
            <w:vAlign w:val="bottom"/>
            <w:gridSpan w:val="5"/>
          </w:tcPr>
          <w:p>
            <w:pPr>
              <w:jc w:val="center"/>
              <w:ind w:left="212"/>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53</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4.</w:t>
              </w:r>
            </w:hyperlink>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Mine Safety Disclosure</w:t>
              </w:r>
            </w:hyperlink>
          </w:p>
        </w:tc>
        <w:tc>
          <w:tcPr>
            <w:tcW w:w="480" w:type="dxa"/>
            <w:vAlign w:val="bottom"/>
            <w:gridSpan w:val="5"/>
            <w:shd w:val="clear" w:color="auto" w:fill="CCEEFF"/>
          </w:tcPr>
          <w:p>
            <w:pPr>
              <w:jc w:val="center"/>
              <w:ind w:left="212"/>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53</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5.</w:t>
              </w:r>
            </w:hyperlink>
          </w:p>
        </w:tc>
        <w:tc>
          <w:tcPr>
            <w:tcW w:w="9560" w:type="dxa"/>
            <w:vAlign w:val="bottom"/>
            <w:gridSpan w:val="22"/>
          </w:tcPr>
          <w:p>
            <w:pPr>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Other Information</w:t>
              </w:r>
            </w:hyperlink>
          </w:p>
        </w:tc>
        <w:tc>
          <w:tcPr>
            <w:tcW w:w="480" w:type="dxa"/>
            <w:vAlign w:val="bottom"/>
            <w:gridSpan w:val="5"/>
          </w:tcPr>
          <w:p>
            <w:pPr>
              <w:jc w:val="center"/>
              <w:ind w:left="212"/>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53</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6.</w:t>
              </w:r>
            </w:hyperlink>
          </w:p>
        </w:tc>
        <w:tc>
          <w:tcPr>
            <w:tcW w:w="95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Exhibits</w:t>
              </w:r>
            </w:hyperlink>
          </w:p>
        </w:tc>
        <w:tc>
          <w:tcPr>
            <w:tcW w:w="480" w:type="dxa"/>
            <w:vAlign w:val="bottom"/>
            <w:gridSpan w:val="5"/>
            <w:shd w:val="clear" w:color="auto" w:fill="CCEEFF"/>
          </w:tcPr>
          <w:p>
            <w:pPr>
              <w:jc w:val="center"/>
              <w:ind w:left="212"/>
              <w:spacing w:after="0" w:line="202"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54</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Signatures</w:t>
              </w:r>
            </w:hyperlink>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gridSpan w:val="5"/>
            <w:shd w:val="clear" w:color="auto" w:fill="CCEEFF"/>
          </w:tcPr>
          <w:p>
            <w:pPr>
              <w:jc w:val="center"/>
              <w:ind w:left="212"/>
              <w:spacing w:after="0" w:line="202"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55</w:t>
              </w:r>
            </w:hyperlink>
          </w:p>
        </w:tc>
        <w:tc>
          <w:tcPr>
            <w:tcW w:w="300" w:type="dxa"/>
            <w:vAlign w:val="bottom"/>
            <w:shd w:val="clear" w:color="auto" w:fill="CCEEFF"/>
          </w:tcPr>
          <w:p>
            <w:pPr>
              <w:spacing w:after="0"/>
              <w:rPr>
                <w:sz w:val="21"/>
                <w:szCs w:val="21"/>
                <w:color w:val="auto"/>
              </w:rPr>
            </w:pPr>
          </w:p>
        </w:tc>
      </w:tr>
      <w:tr>
        <w:trPr>
          <w:trHeight w:val="675"/>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320" w:type="dxa"/>
            <w:vAlign w:val="bottom"/>
            <w:tcBorders>
              <w:top w:val="single" w:sz="8" w:color="CCEEFF"/>
            </w:tcBorders>
            <w:gridSpan w:val="17"/>
          </w:tcPr>
          <w:p>
            <w:pPr>
              <w:ind w:left="45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16" w:lineRule="exact"/>
        <w:rPr>
          <w:sz w:val="20"/>
          <w:szCs w:val="20"/>
          <w:color w:val="auto"/>
        </w:rPr>
      </w:pPr>
    </w:p>
    <w:p>
      <w:pPr>
        <w:ind w:left="820" w:hanging="488"/>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estimating reserves and the possibility that incurred losses may be greater than our loss and loss adjustment expense reserves;</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and judgments in our risk management may expose us to greater risks than intended;</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members of our management team or key employees and our ability to attract and retain personnel;</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resulting in the sale of fewer policies than expected or an increase in the frequency or severity of claims, or both;</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resulting in a reduction of new or renewal business;</w:t>
      </w:r>
    </w:p>
    <w:p>
      <w:pPr>
        <w:spacing w:after="0" w:line="117" w:lineRule="exact"/>
        <w:rPr>
          <w:rFonts w:ascii="Times New Roman" w:cs="Times New Roman" w:eastAsia="Times New Roman" w:hAnsi="Times New Roman"/>
          <w:sz w:val="18"/>
          <w:szCs w:val="18"/>
          <w:color w:val="auto"/>
        </w:rPr>
      </w:pPr>
    </w:p>
    <w:p>
      <w:pPr>
        <w:ind w:left="820" w:right="280" w:hanging="488"/>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brokers and agents for a significant portion of our business and the impact of our potential failure to maintain such relationships;</w:t>
      </w:r>
    </w:p>
    <w:p>
      <w:pPr>
        <w:spacing w:after="0" w:line="53" w:lineRule="exact"/>
        <w:rPr>
          <w:rFonts w:ascii="Times New Roman" w:cs="Times New Roman" w:eastAsia="Times New Roman" w:hAnsi="Times New Roman"/>
          <w:sz w:val="18"/>
          <w:szCs w:val="18"/>
          <w:color w:val="auto"/>
        </w:rPr>
      </w:pPr>
    </w:p>
    <w:p>
      <w:pPr>
        <w:ind w:left="820" w:right="900" w:hanging="488"/>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customers for a significant portion of our business and the impact of our potential failure to maintain such relationships;</w:t>
      </w:r>
    </w:p>
    <w:p>
      <w:pPr>
        <w:spacing w:after="0" w:line="53" w:lineRule="exact"/>
        <w:rPr>
          <w:rFonts w:ascii="Times New Roman" w:cs="Times New Roman" w:eastAsia="Times New Roman" w:hAnsi="Times New Roman"/>
          <w:sz w:val="18"/>
          <w:szCs w:val="18"/>
          <w:color w:val="auto"/>
        </w:rPr>
      </w:pPr>
    </w:p>
    <w:p>
      <w:pPr>
        <w:ind w:left="820" w:right="40" w:hanging="488"/>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reinsurance counterparties failing to pay us on reinsurance claims, insurance companies with whom we have a fronting arrangement failing to pay us for claims, or an insured group of companies with whom we have an indemnification arrangement failing to perform their reimbursement obligations;</w:t>
      </w:r>
    </w:p>
    <w:p>
      <w:pPr>
        <w:spacing w:after="0" w:line="68"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 and regulations;</w:t>
      </w:r>
    </w:p>
    <w:p>
      <w:pPr>
        <w:spacing w:after="0" w:line="117" w:lineRule="exact"/>
        <w:rPr>
          <w:rFonts w:ascii="Times New Roman" w:cs="Times New Roman" w:eastAsia="Times New Roman" w:hAnsi="Times New Roman"/>
          <w:sz w:val="18"/>
          <w:szCs w:val="18"/>
          <w:color w:val="auto"/>
        </w:rPr>
      </w:pPr>
    </w:p>
    <w:p>
      <w:pPr>
        <w:ind w:left="820" w:right="320" w:hanging="488"/>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 of Public Law No. 115-97, informally titled the Tax Cuts and Jobs Act, which may have a significant effect on us including, among other things, by potentially increasing our tax rate, as well as taxes on our shareholders;</w:t>
      </w:r>
    </w:p>
    <w:p>
      <w:pPr>
        <w:spacing w:after="0" w:line="53" w:lineRule="exact"/>
        <w:rPr>
          <w:rFonts w:ascii="Times New Roman" w:cs="Times New Roman" w:eastAsia="Times New Roman" w:hAnsi="Times New Roman"/>
          <w:sz w:val="18"/>
          <w:szCs w:val="18"/>
          <w:color w:val="auto"/>
        </w:rPr>
      </w:pPr>
    </w:p>
    <w:p>
      <w:pPr>
        <w:ind w:left="820" w:right="260" w:hanging="488"/>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foreign subsidiaries becoming subject to U.S. federal income taxation;</w:t>
      </w:r>
    </w:p>
    <w:p>
      <w:pPr>
        <w:spacing w:after="0" w:line="117" w:lineRule="exact"/>
        <w:rPr>
          <w:rFonts w:ascii="Times New Roman" w:cs="Times New Roman" w:eastAsia="Times New Roman" w:hAnsi="Times New Roman"/>
          <w:sz w:val="18"/>
          <w:szCs w:val="18"/>
          <w:color w:val="auto"/>
        </w:rPr>
      </w:pPr>
    </w:p>
    <w:p>
      <w:pPr>
        <w:ind w:left="820" w:right="720" w:hanging="488"/>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any of the loss limitations or exclusions we utilize to shield us from unanticipated financial losses or legal exposures, or other liabilities;</w:t>
      </w:r>
    </w:p>
    <w:p>
      <w:pPr>
        <w:spacing w:after="0" w:line="80" w:lineRule="exact"/>
        <w:rPr>
          <w:rFonts w:ascii="Times New Roman" w:cs="Times New Roman" w:eastAsia="Times New Roman" w:hAnsi="Times New Roman"/>
          <w:sz w:val="18"/>
          <w:szCs w:val="18"/>
          <w:color w:val="auto"/>
        </w:rPr>
      </w:pPr>
    </w:p>
    <w:p>
      <w:pPr>
        <w:ind w:left="820" w:right="40" w:hanging="488"/>
        <w:spacing w:after="0" w:line="344"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catastrophic events which substantially exceed our expectations and/or exceed the amount of reinsurance we have purchased to protect us from such events;</w:t>
      </w:r>
    </w:p>
    <w:p>
      <w:pPr>
        <w:spacing w:after="0" w:line="14"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on our business of emerging claim and coverage issues;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credit risk, interest rate risk and other market risk in our investment portfolio;</w:t>
      </w:r>
    </w:p>
    <w:p>
      <w:pPr>
        <w:spacing w:after="0" w:line="117" w:lineRule="exact"/>
        <w:rPr>
          <w:rFonts w:ascii="Times New Roman" w:cs="Times New Roman" w:eastAsia="Times New Roman" w:hAnsi="Times New Roman"/>
          <w:sz w:val="18"/>
          <w:szCs w:val="18"/>
          <w:color w:val="auto"/>
        </w:rPr>
      </w:pPr>
    </w:p>
    <w:p>
      <w:pPr>
        <w:ind w:left="820" w:right="40" w:hanging="488"/>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reinsurance coverage at prices and on terms that allow us to transfer risk and adequately protect our company against financial loss;</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internal or external fraud, operational errors, systems malfunctions or cyber security incidents;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3" w:name="page4"/>
    <w:bookmarkEnd w:id="3"/>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premiums we charge to compensate us for our losses incurred;</w:t>
      </w:r>
    </w:p>
    <w:p>
      <w:pPr>
        <w:spacing w:after="0" w:line="15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Sarbanes-Oxley Act of 2002, as amended (“Sarbanes-Oxley”); and</w:t>
      </w:r>
    </w:p>
    <w:p>
      <w:pPr>
        <w:spacing w:after="0" w:line="13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condition, regulations or other factors that may restrict our subsidiaries’ ability to pay us dividends.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filed with the SEC on February 27, 2019.</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1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Invested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available-for-sale, at fair value (amortized cost: 2019 – $1,338,131; 2018 – $1,199,409)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1,377,323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1,184,202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at fair value (cost: 2019 – $78,906; 2018 – $77,152)</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88,840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78,385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Bank loan participations held-for-investment, at amortized cost, net of allowance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249,907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260,972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49,884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81,966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invested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65,864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72,321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invested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1,831,818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1,677,846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256,302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360,587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307,899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Reinsurance recoverable on unpaid losses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614,827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467,371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Reinsurance recoverable on paid losses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40,822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112,498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60,970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54,450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37,537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95,728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95,433</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3,660,916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3,136,776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1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1,941,307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1,661,459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510,109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386,473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Payables to reinsurers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61,662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debt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118,300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debt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104,055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57,637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51,792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49,446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43,794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2,891,947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2,427,535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 2019 and 2018: $0.0002 par value; 200,000,000 shares authorized; 30,401,270 and 29,988,460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 2019 and 2018: $0.00125 par value; 20,000,000 shares authorized; no shares issued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655,998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645,310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78,344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79,753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768,969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709,241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3,660,916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3,136,776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Income and Comprehensive (Loss) Income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5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388,228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279,969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1,095,565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871,463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Ceded written premiums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(424,045)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223,869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173,441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671,520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573,025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40,817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213,374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204,690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602,640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613,842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54,844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8,160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11,841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231,474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224,692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665,975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671,077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214,084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501,064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448,754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132,287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155,714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258,891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202,576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642,939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613,340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before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22,116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23,036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57,737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19,581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17,868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52,198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unrealized gains (losses), net of taxes of $638 and $3,949 in 2019 and</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$(407) and $(1,134) in 2018</w:t>
            </w:r>
          </w:p>
        </w:tc>
        <w:tc>
          <w:tcPr>
            <w:tcW w:w="2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50,449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22,704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Per share data:</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declared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30,382,105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29,935,216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30,230,490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29,861,467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30,382,105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30,380,145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30,659,389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30,290,183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3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June 30, 2019</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30,330,675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653,151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112,729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791,050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9,457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expense under share incentive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30,401,270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655,998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78,344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768,969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December 31, 2018</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29,988,460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645,310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709,241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17,868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50,449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50,449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336,533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of RSUs</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76,277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expense under share incentive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Adoption of ASU No. 2016-02,</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derecognition of build-to-suit lease, (see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 1)</w:t>
            </w: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8,280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30,401,270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655,998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78,344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768,969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2018</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29,917,821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641,290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66,677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689,243</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19,581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32,299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 under share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plans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2018</w:t>
            </w:r>
          </w:p>
        </w:tc>
        <w:tc>
          <w:tcPr>
            <w:tcW w:w="1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29,950,120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643,343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77,178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697,408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2017</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29,696,682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636,149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694,699</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52,198</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210,134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43,304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under share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plans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effect of adoption of ASU No.</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2016-01, net of taxes</w:t>
            </w: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effect of adoption of ASU No.</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2018-02</w:t>
            </w:r>
          </w:p>
        </w:tc>
        <w:tc>
          <w:tcPr>
            <w:tcW w:w="14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2018</w:t>
            </w: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29,950,120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643,343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77,178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697,408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8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213,787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251,913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 fixed maturity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(367,279)</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 fixed maturity securities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102,030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82,498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and calls – fixed maturity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85,921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113,980</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 equity securities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 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(165,878)</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41,707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98,739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34,303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43,139</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invested assets: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Return of capital</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Redemptions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 net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receivable or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3,064</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(205,574)</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debt repayment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shares under equity incentive plans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share repurchases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37"/>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83,845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20,922</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172,457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163,495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256,302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184,417</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8,380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ind w:right="9600" w:firstLine="8"/>
        <w:spacing w:after="0" w:line="378" w:lineRule="auto"/>
        <w:tabs>
          <w:tab w:leader="none" w:pos="30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ind w:firstLine="324"/>
        <w:spacing w:after="0" w:line="282" w:lineRule="auto"/>
        <w:rPr>
          <w:sz w:val="20"/>
          <w:szCs w:val="20"/>
          <w:color w:val="auto"/>
        </w:rPr>
      </w:pPr>
      <w:r>
        <w:rPr>
          <w:rFonts w:ascii="Times New Roman" w:cs="Times New Roman" w:eastAsia="Times New Roman" w:hAnsi="Times New Roman"/>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owns five insurance companies based in the United States (“U.S.”) focused on specialty insurance niches and two Bermuda-based reinsurance companies as described below:</w:t>
      </w:r>
    </w:p>
    <w:p>
      <w:pPr>
        <w:spacing w:after="0" w:line="54"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6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Carolina Re Ltd (“Carolina Re”) was formed in 2018 and as of January 1, 2018 provides reinsurance to the Company’s U.S.-based insurance subsidiaries. Carolina Re is also the cedent on a stop loss reinsurance treaty with JRG 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2018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2018 was derived from the Company’s audited annual consolidated financial statements.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$31.6 million and $29.8 million as of September 30, 2019 and December 31, 2018, respectively, representing the Company’s maximum exposure to loss.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reported by country and the respective tax rates imposed by each tax jurisdiction. For the nine months ended September 30, 2019 and 2018, our U.S. federal income tax expense was 22.4% and 9.6% of income before taxes, respectively.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effective tax rate for the nine months ended September 30, 2019 was elevated due to changes in reserve estimates between accident years in the commercial auto business, and the related impact on the mix of income reported by country.</w:t>
      </w:r>
    </w:p>
    <w:p>
      <w:pPr>
        <w:spacing w:after="0" w:line="7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231F20"/>
        </w:rPr>
        <w:t xml:space="preserve">Effective January 1, 2018, the Company adopted ASU </w:t>
      </w:r>
      <w:r>
        <w:rPr>
          <w:rFonts w:ascii="Times New Roman" w:cs="Times New Roman" w:eastAsia="Times New Roman" w:hAnsi="Times New Roman"/>
          <w:sz w:val="18"/>
          <w:szCs w:val="18"/>
          <w:color w:val="000000"/>
        </w:rPr>
        <w:t>2018-02,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Income Statement - Reporting Comprehensive Income (Topic 220): Reclassification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 xml:space="preserve">Certain Tax Effects from Accumulated Other Comprehensive Income. </w:t>
      </w:r>
      <w:r>
        <w:rPr>
          <w:rFonts w:ascii="Times New Roman" w:cs="Times New Roman" w:eastAsia="Times New Roman" w:hAnsi="Times New Roman"/>
          <w:sz w:val="18"/>
          <w:szCs w:val="18"/>
          <w:color w:val="000000"/>
        </w:rPr>
        <w:t>This update was issued as a result of the enactment of the Tax Cuts and Jobs Act of</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2017 ("TCJA"). The ASU allows for the option to reclassify the stranded tax effects resulting from the implementation of the TCJA out of accumulated other comprehensive income and into retained earnings. The reclassification resulted in a $711,000 decrease to the Company's retained earnings with a corresponding increase to accumulated other comprehensive income in the first quarter of 2018 in connection with the Company's adoption of this ASU.</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231F20"/>
        </w:rPr>
        <w:t xml:space="preserve">Effective January 1, 2019, the Company adopted ASU 2016-02, </w:t>
      </w:r>
      <w:r>
        <w:rPr>
          <w:rFonts w:ascii="Times New Roman" w:cs="Times New Roman" w:eastAsia="Times New Roman" w:hAnsi="Times New Roman"/>
          <w:sz w:val="18"/>
          <w:szCs w:val="18"/>
          <w:i w:val="1"/>
          <w:iCs w:val="1"/>
          <w:color w:val="231F20"/>
        </w:rPr>
        <w:t>Leases (Topic 842)</w:t>
      </w:r>
      <w:r>
        <w:rPr>
          <w:rFonts w:ascii="Times New Roman" w:cs="Times New Roman" w:eastAsia="Times New Roman" w:hAnsi="Times New Roman"/>
          <w:sz w:val="18"/>
          <w:szCs w:val="18"/>
          <w:color w:val="231F20"/>
        </w:rPr>
        <w:t xml:space="preserve">. This update requires the recognition of a right-of-use asset and a corresponding lease liability, discounted to the present value, for all leases that extend beyond 12 months. </w:t>
      </w:r>
      <w:r>
        <w:rPr>
          <w:rFonts w:ascii="Times New Roman" w:cs="Times New Roman" w:eastAsia="Times New Roman" w:hAnsi="Times New Roman"/>
          <w:sz w:val="18"/>
          <w:szCs w:val="18"/>
          <w:color w:val="000000"/>
        </w:rPr>
        <w:t>The Company adopted the new standard using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modified retrospective transition method, applying the transition provisions at the beginning of the period of adoption. The Company elected the package of practical expedients permitted under the transition guidance within the new standard and did not elect to use hindsight in determining the lease term. Upon adoption of the new standard, the Company derecognized assets of $22.6 million and liabilities of $30.9 million associated with a lease that was designated as build-to-suit under the previous guidance, and recorded a cumulative-effect adjustment to increase retained earnings by $8.3 million.</w:t>
      </w:r>
    </w:p>
    <w:p>
      <w:pPr>
        <w:spacing w:after="0" w:line="2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right-of-use assets of $17.2 million and lease liabilities of $17.8 million at adoption of the new standard associated with operating leases for office space in Bermuda, North Carolina, Virginia, Arizona, and Georgia. The new standard did not materially impact the Company's results of operations, earnings per share, or cash flows, and did not impact compliance under the covenants of our current credit agreements.</w:t>
      </w:r>
    </w:p>
    <w:p>
      <w:pPr>
        <w:spacing w:after="0" w:line="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At September 30, 2019, right-of-use assets and lease liabilities were $16.2 million and $17.1 million, respectively. Operating lease costs were $1.3 million and $3.8 million in the three and nine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auto"/>
        </w:rPr>
        <w:t xml:space="preserve"> September 30, 2019</w:t>
      </w:r>
      <w:r>
        <w:rPr>
          <w:rFonts w:ascii="Times New Roman" w:cs="Times New Roman" w:eastAsia="Times New Roman" w:hAnsi="Times New Roman"/>
          <w:sz w:val="18"/>
          <w:szCs w:val="18"/>
          <w:color w:val="231F20"/>
        </w:rPr>
        <w:t>, respectively, compared to $1.3 million and $3.5 million in the respective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prior year periods. </w:t>
      </w:r>
      <w:r>
        <w:rPr>
          <w:rFonts w:ascii="Times New Roman" w:cs="Times New Roman" w:eastAsia="Times New Roman" w:hAnsi="Times New Roman"/>
          <w:sz w:val="18"/>
          <w:szCs w:val="18"/>
          <w:color w:val="000000"/>
        </w:rPr>
        <w:t>The weighted-average discount rate and weighted average remaining lease term for operating leases was 4.3% and 5.5 years, respectively,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 of September 30, 2019.</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maturities of the Company’s operating lease liabilities as of September 30, 2019, which reconciles to total lease liabilities included in other liabilities on the Company’s condensed consolidated balance sheet: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959</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3,680</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3,491</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3,293</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3,099</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4,706</w:t>
            </w:r>
          </w:p>
        </w:tc>
      </w:tr>
      <w:tr>
        <w:trPr>
          <w:trHeight w:val="237"/>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19,228</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57"/>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17,069</w:t>
            </w:r>
          </w:p>
        </w:tc>
      </w:tr>
      <w:tr>
        <w:trPr>
          <w:trHeight w:val="20"/>
        </w:trPr>
        <w:tc>
          <w:tcPr>
            <w:tcW w:w="10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Prospective Accounting Standards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In June 2016, the FASB issued ASU 2016-13, </w:t>
      </w:r>
      <w:r>
        <w:rPr>
          <w:rFonts w:ascii="Times New Roman" w:cs="Times New Roman" w:eastAsia="Times New Roman" w:hAnsi="Times New Roman"/>
          <w:sz w:val="18"/>
          <w:szCs w:val="18"/>
          <w:i w:val="1"/>
          <w:iCs w:val="1"/>
          <w:color w:val="231F20"/>
        </w:rPr>
        <w:t>Financial Instruments - Credit Losses (Topic 326): Measurement of Credit Losses on Financial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Instruments. </w:t>
      </w:r>
      <w:r>
        <w:rPr>
          <w:rFonts w:ascii="Times New Roman" w:cs="Times New Roman" w:eastAsia="Times New Roman" w:hAnsi="Times New Roman"/>
          <w:sz w:val="18"/>
          <w:szCs w:val="18"/>
          <w:color w:val="231F20"/>
        </w:rPr>
        <w:t>Current GAAP requires the recognition of credit losses when it is probable a loss has been incurred. The update will require financial assets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measured at amortized cost, such as bank loan participations held for investment, to be presented at the net amount expected to be collected by means of an allowance for credit losses that is reflected in net income. Credit losses relating to available-for-sale debt securities will also be recorded through an allowance for credit losses, with the amount of the allowance limited to the amount by which fair value is below amortized cost. This ASU is effective for annual and interim reporting periods beginning after December 15, 2019. The Company plans to adopt the ASU on January 1, 2020 using the modified-retrospective approach, by which a cumulative-effect adjustment will be made to retained earnings as of the date of adoption. The Company is finalizing its implementation process for the adoption of this ASU and the evaluation of what effects the new standard will have on the Company’s financial statements.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This ASU will have the greatest impact on our portfolio of bank loan participations and on our allowance for uncollectible reinsurance balances. In connection with the adoption of this ASU, we expect to elect the fair value option in accounting for bank loan participations effective January 1, 2020. We also expect to use the targeted transition relief offered by ASU 2019-05, </w:t>
      </w:r>
      <w:r>
        <w:rPr>
          <w:rFonts w:ascii="Times New Roman" w:cs="Times New Roman" w:eastAsia="Times New Roman" w:hAnsi="Times New Roman"/>
          <w:sz w:val="18"/>
          <w:szCs w:val="18"/>
          <w:i w:val="1"/>
          <w:iCs w:val="1"/>
          <w:color w:val="231F20"/>
        </w:rPr>
        <w:t>Financial Instruments - Credit Losses (Topic 326): Targeted Transition Relief</w:t>
      </w:r>
      <w:r>
        <w:rPr>
          <w:rFonts w:ascii="Times New Roman" w:cs="Times New Roman" w:eastAsia="Times New Roman" w:hAnsi="Times New Roman"/>
          <w:sz w:val="18"/>
          <w:szCs w:val="18"/>
          <w:color w:val="231F20"/>
        </w:rPr>
        <w:t xml:space="preserve"> to also elect the fair value option to account for bank loan participations already held at the January 1, 2020 date of adoption. Under the fair value option, bank loan participations will be measured at fair value, and changes in unrealized gains and losses in bank loan participations will be reported in our income statement as net realized and unrealized gains (losses) on investments.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Upon adoption of this ASU, we anticipate that we will establish an allowance for uncollectible reinsurance balances, but because we purchase reinsurance from financially strong reinsurers or we have collateral securing the recoverables, we do not expect that the effect of adoption will be material to our financial position.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4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available-for-sale fixed maturity securities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0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154,387</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245,315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247,213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603,524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625,180</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230,417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235,204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111,834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113,332</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1,338,131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40,955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1,377,323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147,160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149,295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208,869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204,109</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534,024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524,768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197,025</w:t>
            </w:r>
          </w:p>
        </w:tc>
        <w:tc>
          <w:tcPr>
            <w:tcW w:w="0" w:type="dxa"/>
            <w:vAlign w:val="bottom"/>
          </w:tcPr>
          <w:p>
            <w:pPr>
              <w:spacing w:after="0"/>
              <w:rPr>
                <w:sz w:val="1"/>
                <w:szCs w:val="1"/>
                <w:color w:val="auto"/>
              </w:rPr>
            </w:pPr>
          </w:p>
        </w:tc>
      </w:tr>
      <w:tr>
        <w:trPr>
          <w:trHeight w:val="225"/>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w:t>
            </w:r>
          </w:p>
        </w:tc>
        <w:tc>
          <w:tcPr>
            <w:tcW w:w="2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107,803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107,193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1,199,409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1,184,202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available-for-sale investments in fixed maturity securities at September 30, 2019 are summarized, by contractual maturity,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440" w:type="dxa"/>
            <w:vAlign w:val="bottom"/>
          </w:tcPr>
          <w:p>
            <w:pPr>
              <w:spacing w:after="0"/>
              <w:rPr>
                <w:sz w:val="13"/>
                <w:szCs w:val="13"/>
                <w:color w:val="auto"/>
              </w:rPr>
            </w:pPr>
          </w:p>
        </w:tc>
        <w:tc>
          <w:tcPr>
            <w:tcW w:w="9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76,678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77,005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459,889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470,945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205,048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214,952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ten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118,759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245,315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247,213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230,417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235,204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1,338,131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1,377,323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Actual maturities may differ for some securities because borrowers have the right to call or prepay obligations with or without penalties.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Treasury securities and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guaranteed by the U.S. government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16,030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73,520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159,206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232,726</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and municipal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47,018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66,751</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243,384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155,902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25"/>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Treasury securities and obligations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guaranteed by the U.S. government</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54,201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438,150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414,704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852,854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held securities of 76 issuers that were in an unrealized loss position at September 30, 2019 with a total fair value of $232.7 million and gross unrealized losses of $1.8 million. None of the fixed maturity securities with unrealized losses has ever missed, or been delinquent on, a scheduled principal or interest payment.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2019, 99.6% of the Company’s fixed maturity security portfolio was rated “BBB-” or better (“investment grade”) by Standard &amp; Poor’s or received an equivalent rating from another nationally recognized rating agency. Fixed maturity securities with ratings below investment grade by Standard</w:t>
      </w:r>
    </w:p>
    <w:p>
      <w:pPr>
        <w:ind w:firstLine="8"/>
        <w:spacing w:after="0" w:line="261" w:lineRule="auto"/>
        <w:tabs>
          <w:tab w:leader="none" w:pos="1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or another nationally recognized rating agency at September 30, 2019 had an aggregate fair value of $5.3 million and an aggregate net unrealized gain of $79,000.</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At March 31, 2019, management concluded that three fixed maturity securities from one issuer that we intended to sell at a loss in the second quarter were impaired. The Company recorded impairment losses on these securities of $271,000 in the three months ended March 31, 2019. Management concluded that none of the fixed maturity securities with an unrealized loss at </w:t>
      </w:r>
      <w:r>
        <w:rPr>
          <w:rFonts w:ascii="Times New Roman" w:cs="Times New Roman" w:eastAsia="Times New Roman" w:hAnsi="Times New Roman"/>
          <w:sz w:val="18"/>
          <w:szCs w:val="18"/>
          <w:color w:val="000000"/>
        </w:rPr>
        <w:t>September 30, 2019</w:t>
      </w:r>
      <w:r>
        <w:rPr>
          <w:rFonts w:ascii="Times New Roman" w:cs="Times New Roman" w:eastAsia="Times New Roman" w:hAnsi="Times New Roman"/>
          <w:sz w:val="18"/>
          <w:szCs w:val="18"/>
          <w:color w:val="231F20"/>
        </w:rPr>
        <w:t xml:space="preserve"> or December 31, 2018 had experienced an other-than-temporary impairment. For fixed maturity securities available-for-sale that are not other-than-temporarily impaired at September 30, 2019, management does not intend to sell the securities in an unrealized loss position, and it is not “more likely than not” that the Company will be required to sell these securities before a recovery in their value to their amortized cost basis occurs.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Management concluded that five loans from four issuers in the Company's bank loan portfolio were impaired at September 30, 2019. At September 30, 2019, the impaired loans had a carrying value of $6.4 million, unpaid principal of $12.3 million, and an allowance for credit losses of $5.9 million, $4.2 million of which related to two loans from one issuer who is experiencing liquidity concerns resulting from revenue declines and poor growth prospects in its most profitable segment. Management concluded that none of the loans in the Company's bank loan portfolio were impaired at September 30, 2018 or December 31, 2018. The aggregate allowance for credit losses on impaired loans was $3.2 million at December 31, 2017.</w:t>
      </w:r>
    </w:p>
    <w:p>
      <w:pPr>
        <w:sectPr>
          <w:pgSz w:w="11900" w:h="16838" w:orient="portrait"/>
          <w:cols w:equalWidth="0" w:num="1">
            <w:col w:w="11420"/>
          </w:cols>
          <w:pgMar w:left="240" w:top="121"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At December 31, 2017, the Company held a participation in a loan with unpaid principal of $807,000 issued by a company that produces and supplies power to Puerto Rico through a power purchase agreement with Puerto Rico Electric Power Authority, a public corporation and governmental agency of the Commonwealth of Puerto Rico. Management concluded that an allowance for credit losses should be established on the loan at December 31, 2017 to reduce its carrying value to $0. In the first quarter of 2018, the full outstanding principal on the loan was repaid and the Company recognized a realized gain of $807,000 on the repayment.</w:t>
      </w:r>
    </w:p>
    <w:p>
      <w:pPr>
        <w:spacing w:after="0" w:line="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September 30, 2019 or December 31, 2018.</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The allowance for credit losses is maintained at a level believed adequate by management to absorb estimated probable credit losses. Management’s periodic evaluation of the adequacy of the allowance is based on consultations and a</w:t>
      </w:r>
      <w:r>
        <w:rPr>
          <w:rFonts w:ascii="Times New Roman" w:cs="Times New Roman" w:eastAsia="Times New Roman" w:hAnsi="Times New Roman"/>
          <w:sz w:val="18"/>
          <w:szCs w:val="18"/>
          <w:color w:val="000000"/>
        </w:rPr>
        <w:t>dvice</w:t>
      </w:r>
      <w:r>
        <w:rPr>
          <w:rFonts w:ascii="Times New Roman" w:cs="Times New Roman" w:eastAsia="Times New Roman" w:hAnsi="Times New Roman"/>
          <w:sz w:val="18"/>
          <w:szCs w:val="18"/>
          <w:color w:val="231F20"/>
        </w:rPr>
        <w:t xml:space="preserve"> of the Company’s independent investment manager, known and inherent risks in the portfolio, adverse situations that may affect the borrower’s ability to repay, the estimated value of any underlying collateral, current economic conditions, and other relevant factors. When an observable market price for a loan is available, the Company has recorded an allowance equal to the difference between the fair value and the amortized cost of bank loans that it has determined to be impaired as a practical expedient for an estimate of probable future cash flows to be collected on those bank loans. Bank loans are charged off against the allowance after all means of collection have been exhausted and the potential for recovery is considered remote.</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The average recorded investment in impaired bank loans was $3.2 million and $2.6 million during the nine months ended September 30, 2019 and 2018, respectively. Investment income of $23,000 and $125,000, respectively, was recognized during the time within those periods that the loans were impaired. The Company recorded net realized investment losses of $5.9 million and $7.7 million in the three and nine months ended September 30, 2019, respectively, for changes in the fair value of impaired bank loans (net realized investment gains of $42,000 and net realized investment losses of $851,000 in three and nine months ended September 30, 2018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net realized and unrealized gains and losses on investments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21"/>
                <w:szCs w:val="21"/>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Bank loan participations: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fair values of equity securities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 and other:</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Realized investment gains or losses are determined on a specific identification basis.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2220" w:type="dxa"/>
            <w:vAlign w:val="bottom"/>
            <w:gridSpan w:val="5"/>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2"/>
                <w:szCs w:val="12"/>
                <w:color w:val="auto"/>
              </w:rPr>
            </w:pPr>
          </w:p>
        </w:tc>
        <w:tc>
          <w:tcPr>
            <w:tcW w:w="2100" w:type="dxa"/>
            <w:vAlign w:val="bottom"/>
            <w:gridSpan w:val="4"/>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7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Renewable energy LLCs </w:t>
            </w:r>
            <w:r>
              <w:rPr>
                <w:rFonts w:ascii="Times New Roman" w:cs="Times New Roman" w:eastAsia="Times New Roman" w:hAnsi="Times New Roman"/>
                <w:sz w:val="18"/>
                <w:szCs w:val="18"/>
                <w:i w:val="1"/>
                <w:iCs w:val="1"/>
                <w:color w:val="auto"/>
              </w:rPr>
              <w:t>(a)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31,618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29,795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Renewable energy notes receivable (</w:t>
            </w:r>
            <w:r>
              <w:rPr>
                <w:rFonts w:ascii="Times New Roman" w:cs="Times New Roman" w:eastAsia="Times New Roman" w:hAnsi="Times New Roman"/>
                <w:sz w:val="18"/>
                <w:szCs w:val="18"/>
                <w:i w:val="1"/>
                <w:iCs w:val="1"/>
                <w:color w:val="auto"/>
              </w:rPr>
              <w:t>b)</w:t>
            </w:r>
          </w:p>
        </w:tc>
        <w:tc>
          <w:tcPr>
            <w:tcW w:w="1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Limited partnerships </w:t>
            </w:r>
            <w:r>
              <w:rPr>
                <w:rFonts w:ascii="Times New Roman" w:cs="Times New Roman" w:eastAsia="Times New Roman" w:hAnsi="Times New Roman"/>
                <w:sz w:val="18"/>
                <w:szCs w:val="18"/>
                <w:i w:val="1"/>
                <w:iCs w:val="1"/>
                <w:color w:val="auto"/>
              </w:rPr>
              <w:t>(c)</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20,996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Bank holding companies </w:t>
            </w:r>
            <w:r>
              <w:rPr>
                <w:rFonts w:ascii="Times New Roman" w:cs="Times New Roman" w:eastAsia="Times New Roman" w:hAnsi="Times New Roman"/>
                <w:sz w:val="18"/>
                <w:szCs w:val="18"/>
                <w:i w:val="1"/>
                <w:iCs w:val="1"/>
                <w:color w:val="auto"/>
              </w:rPr>
              <w:t>(d)</w:t>
            </w:r>
          </w:p>
        </w:tc>
        <w:tc>
          <w:tcPr>
            <w:tcW w:w="1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invested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65,864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72,321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5,588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20" w:hanging="202"/>
        <w:spacing w:after="0" w:line="255" w:lineRule="auto"/>
        <w:rPr>
          <w:sz w:val="20"/>
          <w:szCs w:val="20"/>
          <w:color w:val="auto"/>
        </w:rPr>
      </w:pPr>
      <w:r>
        <w:rPr>
          <w:rFonts w:ascii="Times New Roman" w:cs="Times New Roman" w:eastAsia="Times New Roman" w:hAnsi="Times New Roman"/>
          <w:sz w:val="18"/>
          <w:szCs w:val="18"/>
          <w:color w:val="auto"/>
        </w:rPr>
        <w:t>(a)The Company’s Corporate and Other segment owns equity interests ranging from 2.6% to 32.2% in various LLCs whose principal objective is capital appreciation and income generation from owning and operating renewable energy production facilities (wind and solar). The LLCs are managed by an entity for which one of our directors serves as an officer, and the Company’s Chairman and Chief Executive Officer ("CEO")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$687,000 and $2.8 million in the nine months ended September 30, 2019 and 2018, respectively.</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ind w:left="220" w:hanging="215"/>
        <w:spacing w:after="0" w:line="261"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The Company's Corporate and Other segment has invested in notes receivable for renewable energy projects. At</w:t>
      </w:r>
      <w:r>
        <w:rPr>
          <w:rFonts w:ascii="Times New Roman" w:cs="Times New Roman" w:eastAsia="Times New Roman" w:hAnsi="Times New Roman"/>
          <w:sz w:val="18"/>
          <w:szCs w:val="18"/>
          <w:color w:val="auto"/>
        </w:rPr>
        <w:t xml:space="preserve"> September 30, 2019</w:t>
      </w:r>
      <w:r>
        <w:rPr>
          <w:rFonts w:ascii="Times New Roman" w:cs="Times New Roman" w:eastAsia="Times New Roman" w:hAnsi="Times New Roman"/>
          <w:sz w:val="18"/>
          <w:szCs w:val="18"/>
          <w:color w:val="231F20"/>
        </w:rPr>
        <w:t>, the Company holds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an $8.8 million note issued by an </w:t>
      </w:r>
      <w:r>
        <w:rPr>
          <w:rFonts w:ascii="Times New Roman" w:cs="Times New Roman" w:eastAsia="Times New Roman" w:hAnsi="Times New Roman"/>
          <w:sz w:val="18"/>
          <w:szCs w:val="18"/>
          <w:color w:val="000000"/>
        </w:rPr>
        <w:t>entity for which one of our directors serves as an officer</w:t>
      </w:r>
      <w:r>
        <w:rPr>
          <w:rFonts w:ascii="Times New Roman" w:cs="Times New Roman" w:eastAsia="Times New Roman" w:hAnsi="Times New Roman"/>
          <w:sz w:val="18"/>
          <w:szCs w:val="18"/>
          <w:color w:val="231F20"/>
        </w:rPr>
        <w:t>. Interest on the note, which matures in 2021, is fixed at 15.0%. Interest income on the note was $328,000 and $984,000 for the three and nine months ended September 30, 2019, respectively ($328,000 and $954,000 for the three and nine months ended September 30, 2018, respectively).</w:t>
      </w:r>
    </w:p>
    <w:p>
      <w:pPr>
        <w:spacing w:after="0" w:line="72" w:lineRule="exact"/>
        <w:rPr>
          <w:sz w:val="20"/>
          <w:szCs w:val="20"/>
          <w:color w:val="auto"/>
        </w:rPr>
      </w:pPr>
    </w:p>
    <w:p>
      <w:pPr>
        <w:jc w:val="both"/>
        <w:ind w:left="220" w:hanging="202"/>
        <w:spacing w:after="0" w:line="255" w:lineRule="auto"/>
        <w:rPr>
          <w:sz w:val="20"/>
          <w:szCs w:val="20"/>
          <w:color w:val="auto"/>
        </w:rPr>
      </w:pPr>
      <w:r>
        <w:rPr>
          <w:rFonts w:ascii="Times New Roman" w:cs="Times New Roman" w:eastAsia="Times New Roman" w:hAnsi="Times New Roman"/>
          <w:sz w:val="18"/>
          <w:szCs w:val="18"/>
          <w:color w:val="auto"/>
        </w:rPr>
        <w:t>(c)The Company owns investments in limited partnerships that invest in concentrated portfolios including publicly-traded small cap equities, loans of middle market private equity sponsored companies, equity tranches of collateralized loan obligations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CLOs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and tranches of distressed home loans. </w:t>
      </w:r>
      <w:r>
        <w:rPr>
          <w:rFonts w:ascii="Times New Roman" w:cs="Times New Roman" w:eastAsia="Times New Roman" w:hAnsi="Times New Roman"/>
          <w:sz w:val="18"/>
          <w:szCs w:val="18"/>
          <w:color w:val="231F20"/>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w:t>
      </w:r>
      <w:r>
        <w:rPr>
          <w:rFonts w:ascii="Times New Roman" w:cs="Times New Roman" w:eastAsia="Times New Roman" w:hAnsi="Times New Roman"/>
          <w:sz w:val="18"/>
          <w:szCs w:val="18"/>
          <w:color w:val="000000"/>
        </w:rPr>
        <w:t>rom the partnerships is recognized under the equity method of accounting. The Company’s Corporate and Other segment held an investment in a limited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partnership with a carrying value of $3.3 million at September 30, 2019. The Company recognized investment income of $182,000 and $474,000 on the investment for the nine months ended September 30, 2019 and </w:t>
      </w:r>
      <w:r>
        <w:rPr>
          <w:rFonts w:ascii="Times New Roman" w:cs="Times New Roman" w:eastAsia="Times New Roman" w:hAnsi="Times New Roman"/>
          <w:sz w:val="18"/>
          <w:szCs w:val="18"/>
          <w:color w:val="231F20"/>
        </w:rPr>
        <w:t>2018</w:t>
      </w:r>
      <w:r>
        <w:rPr>
          <w:rFonts w:ascii="Times New Roman" w:cs="Times New Roman" w:eastAsia="Times New Roman" w:hAnsi="Times New Roman"/>
          <w:sz w:val="18"/>
          <w:szCs w:val="18"/>
          <w:color w:val="000000"/>
        </w:rPr>
        <w:t xml:space="preserve">, respectively. The Company’s Excess and Surplus Lines segment holds investments in limited partnerships of $17.7 million at September 30, 2019. Investment income of $2.0 million and $1.8 million was recognized on the investments for the nine months ended September 30, 2019 and </w:t>
      </w:r>
      <w:r>
        <w:rPr>
          <w:rFonts w:ascii="Times New Roman" w:cs="Times New Roman" w:eastAsia="Times New Roman" w:hAnsi="Times New Roman"/>
          <w:sz w:val="18"/>
          <w:szCs w:val="18"/>
          <w:color w:val="231F20"/>
        </w:rPr>
        <w:t>2018</w:t>
      </w:r>
      <w:r>
        <w:rPr>
          <w:rFonts w:ascii="Times New Roman" w:cs="Times New Roman" w:eastAsia="Times New Roman" w:hAnsi="Times New Roman"/>
          <w:sz w:val="18"/>
          <w:szCs w:val="18"/>
          <w:color w:val="000000"/>
        </w:rPr>
        <w:t>, respectively. At September 30, 2019, the Company’s Excess and Surplus Lines segment has outstanding commitments to invest another $625,000 in these limited partnerships.</w:t>
      </w:r>
    </w:p>
    <w:p>
      <w:pPr>
        <w:spacing w:after="0" w:line="77" w:lineRule="exact"/>
        <w:rPr>
          <w:sz w:val="20"/>
          <w:szCs w:val="20"/>
          <w:color w:val="auto"/>
        </w:rPr>
      </w:pPr>
    </w:p>
    <w:p>
      <w:pPr>
        <w:jc w:val="both"/>
        <w:ind w:left="220" w:hanging="215"/>
        <w:spacing w:after="0" w:line="261" w:lineRule="auto"/>
        <w:rPr>
          <w:sz w:val="20"/>
          <w:szCs w:val="20"/>
          <w:color w:val="auto"/>
        </w:rPr>
      </w:pPr>
      <w:r>
        <w:rPr>
          <w:rFonts w:ascii="Times New Roman" w:cs="Times New Roman" w:eastAsia="Times New Roman" w:hAnsi="Times New Roman"/>
          <w:sz w:val="18"/>
          <w:szCs w:val="18"/>
          <w:color w:val="auto"/>
        </w:rPr>
        <w:t>(d)The Company's Corporate and Other segment holds $4.5 million of subordinated notes issued by a bank holding company for which the Company’s Chairman and CEO was previously the Lead Independent Director and an investor and for which one of the Company’s directors was an investor and is currently a holder of the subordinated notes (the "Bank Holding Company"). Interest on the notes, which mature on August 12, 2023, is fixed at 7.6% per annum. Interest income on the notes was $257,000 in both the nine months ended September 30, 2019 and 2018,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At September 30, 2019 and December 31, 2018, the Company held an investment in a CLO where one of the underlying loans was issued by the Bank Holding Company. The investment, with a carrying value of $3.4 million at September 30, 2019, is classified as an available-for-sale fixed maturity.</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Goodwill and Intangible Assets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September 30, 2019 and December 31, 2018.</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for each major specifically identifiable intangible asset class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3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1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8,964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8,964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Identifiable intangibles not subject to amortization</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31,164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31,164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Broker relationships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11,611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11,611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Identifiable intangible assets subject to amortization</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11,611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11,611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42,775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42,775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represents a reconciliation of the numerator and denominator of the basic and diluted earnings per share computations contained in the condensed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72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r>
      <w:tr>
        <w:trPr>
          <w:trHeight w:val="275"/>
        </w:trPr>
        <w:tc>
          <w:tcPr>
            <w:tcW w:w="5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to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6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17,868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52,198</w:t>
            </w:r>
          </w:p>
        </w:tc>
      </w:tr>
      <w:tr>
        <w:trPr>
          <w:trHeight w:val="32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30,382,105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29,935,216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30,230,490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29,861,467</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444,929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428,899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428,716</w:t>
            </w:r>
          </w:p>
        </w:tc>
      </w:tr>
      <w:tr>
        <w:trPr>
          <w:trHeight w:val="297"/>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30,382,105</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30,380,145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30,659,389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30,290,183</w:t>
            </w:r>
          </w:p>
        </w:tc>
      </w:tr>
      <w:tr>
        <w:trPr>
          <w:trHeight w:val="311"/>
        </w:trPr>
        <w:tc>
          <w:tcPr>
            <w:tcW w:w="5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6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 equivalents</w:t>
            </w:r>
          </w:p>
        </w:tc>
        <w:tc>
          <w:tcPr>
            <w:tcW w:w="34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Common share equivalents relate to our outstanding equity awards (stock options and restricted share units ("RSUs")). For the three months ended September 30, 2019, common share equivalents of 431,137 were excluded from the calculation of diluted earnings per share as a net loss for the three months ended September 30, 2019 made the effects of all common share equivalents anti-dilutive. For the nine months ended September 30, 2019, all common share equivalents are dilutive. For the three and nine months ended September 30, 2018, common share equivalents of 173,758 and 182,870 shares, respectively, were excluded from the calculations of diluted earnings per share as their effects were anti-dilutive.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Reserve for Losses and Loss Adjustment Expenses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net of reinsurance, to the gross amounts reported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losses and loss adjustment expenses net of reinsurance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recoverables at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1,237,930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1,092,818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1,194,088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989,825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Incurred losses and loss adjustment expenses net of reinsurance: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157,113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138,168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440,810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436,921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56,971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60,254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incurred losses and loss and adjustment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214,084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150,387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501,064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448,754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Deduct: Loss and loss adjustment expense payments net of reinsurance: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46,275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57,903</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104,513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72,695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322,397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235,315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loss and loss adjustment expense payments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125,534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97,844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368,672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293,218</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Reserve for losses and loss adjustment expenses net of reinsurance</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recoverables at end of period</w:t>
            </w:r>
          </w:p>
        </w:tc>
        <w:tc>
          <w:tcPr>
            <w:tcW w:w="3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1,326,480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1,145,361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1,326,480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1,145,361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Reinsurance recoverables on unpaid losses and loss adjustment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 at end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614,827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424,400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614,827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424,400</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Reserve for losses and loss adjustment expenses gross of reinsurance</w:t>
            </w:r>
          </w:p>
        </w:tc>
        <w:tc>
          <w:tcPr>
            <w:tcW w:w="3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1,941,307</w:t>
            </w:r>
          </w:p>
        </w:tc>
        <w:tc>
          <w:tcPr>
            <w:tcW w:w="120" w:type="dxa"/>
            <w:vAlign w:val="bottom"/>
          </w:tcPr>
          <w:p>
            <w:pPr>
              <w:spacing w:after="0"/>
              <w:rPr>
                <w:sz w:val="17"/>
                <w:szCs w:val="17"/>
                <w:color w:val="auto"/>
              </w:rPr>
            </w:pPr>
          </w:p>
        </w:tc>
        <w:tc>
          <w:tcPr>
            <w:tcW w:w="46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1,569,761</w:t>
            </w:r>
          </w:p>
        </w:tc>
        <w:tc>
          <w:tcPr>
            <w:tcW w:w="100" w:type="dxa"/>
            <w:vAlign w:val="bottom"/>
          </w:tcPr>
          <w:p>
            <w:pPr>
              <w:spacing w:after="0"/>
              <w:rPr>
                <w:sz w:val="17"/>
                <w:szCs w:val="17"/>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1,941,307</w:t>
            </w:r>
          </w:p>
        </w:tc>
        <w:tc>
          <w:tcPr>
            <w:tcW w:w="120" w:type="dxa"/>
            <w:vAlign w:val="bottom"/>
          </w:tcPr>
          <w:p>
            <w:pPr>
              <w:spacing w:after="0"/>
              <w:rPr>
                <w:sz w:val="17"/>
                <w:szCs w:val="17"/>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1,569,761</w:t>
            </w:r>
          </w:p>
        </w:tc>
        <w:tc>
          <w:tcPr>
            <w:tcW w:w="0" w:type="dxa"/>
            <w:vAlign w:val="bottom"/>
          </w:tcPr>
          <w:p>
            <w:pPr>
              <w:spacing w:after="0"/>
              <w:rPr>
                <w:sz w:val="1"/>
                <w:szCs w:val="1"/>
                <w:color w:val="auto"/>
              </w:rPr>
            </w:pPr>
          </w:p>
        </w:tc>
      </w:tr>
      <w:tr>
        <w:trPr>
          <w:trHeight w:val="246"/>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recoverables on unpaid losses and loss adjustment expenses at end of period</w:t>
            </w:r>
          </w:p>
        </w:tc>
        <w:tc>
          <w:tcPr>
            <w:tcW w:w="3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Company experienced $57.0 million of adverse reserve development in the three months ended September 30, 2019 on the reserve for losses and loss adjustment expenses held at December 31, 2018. This reserve development included $50.0 million of adverse development in the Excess and Surplus Lines segment primarily related to the 2016 and 2017 accident years for the commercial auto business. The Specialty Admitted Insurance segment experienced $1.0 million of favorable development due to favorable development in the workers' compensation business for prior accident years. The Company also experienced $7.9 million of adverse development in the Casualty Reinsurance segment due to higher than expected levels of reported losses in the quarter.</w:t>
      </w:r>
    </w:p>
    <w:p>
      <w:pPr>
        <w:spacing w:after="0" w:line="2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experienced $12.2 million of adverse reserve development in the three months ended September 30, 2018 on the reserve for losses and loss adjustment expenses held at December 31, 2017. This reserve development included $10.4 million of adverse development in the Excess and Surplus Lines segment, primarily from adverse development in commercial auto business which was partially offset by $3.0 million of favorable development on the property catastrophe losses from the September 2017 storms. The Specialty Admitted Insurance segment experienced $833,000 of favorable development, primarily due to favorable development in the workers' compensation business for prior accident years. The Company also experienced $2.7 million of adverse development in the Casualty Reinsurance segment.</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experienced $60.3 million of adverse reserve development in the nine months ended September 30, 2019 on the reserve for losses and loss adjustment expenses held at December 31, 2018. This reserve development included $51.2 million of adverse development in the Excess and Surplus Lines segment primarily related to the 2016 and 2017 accident years for the commercial auto business. The Specialty Admitted Insurance segment experienced $4.3 million of favorable development due to favorable development in the workers' compensation business for prior accident years. The Company also experienced $13.3 million of adverse development in the Casualty Reinsurance segment due to higher than expected levels of reported losses in the nine months ended September 30, 2019.</w:t>
      </w:r>
    </w:p>
    <w:p>
      <w:pPr>
        <w:spacing w:after="0" w:line="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experienced $11.8 million of adverse reserve development in the nine months ended September 30, 2018 on the reserve for losses and loss adjustment expenses held at December 31, 2017. This reserve development included $9.2 million of adverse development in the Excess and Surplus Lines segment, primarily from adverse development in commercial auto business which was partially offset by favorable development in other core Excess and Surplus Lines including $4.9 million of favorable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on the property catastrophe losses from the September 2017 storms. The Specialty Admitted Insurance segment experienced $2.3 million of favorable development, primarily due to favorable development in the workers' compensation business for prior accident years, partially offset by adverse development on certain terminated program business. The Company also experienced $4.9 million of adverse development in the Casualty Reinsurance segment.</w:t>
      </w:r>
    </w:p>
    <w:p>
      <w:pPr>
        <w:spacing w:after="0" w:line="6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components of other comprehensive income (loss):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gains (losses) arising during the period, before U.S. income taxes $</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10,531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54,937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(30,934)</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income taxes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gains (losses) arising during the period, net of U.S.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9,841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50,892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(29,810)</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reclassification adjustment:</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income taxes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56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Reclassification adjustment for investment gains (losses) realized in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61"/>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50,449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$436,000 and $539,000 of net realized investment gains on available-for-sale fixed maturity securities for the three and nine </w:t>
      </w:r>
      <w:r>
        <w:rPr>
          <w:rFonts w:ascii="Times New Roman" w:cs="Times New Roman" w:eastAsia="Times New Roman" w:hAnsi="Times New Roman"/>
          <w:sz w:val="18"/>
          <w:szCs w:val="18"/>
          <w:color w:val="231F20"/>
        </w:rPr>
        <w:t>months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ended September 30, 2019</w:t>
      </w:r>
      <w:r>
        <w:rPr>
          <w:rFonts w:ascii="Times New Roman" w:cs="Times New Roman" w:eastAsia="Times New Roman" w:hAnsi="Times New Roman"/>
          <w:sz w:val="18"/>
          <w:szCs w:val="18"/>
          <w:color w:val="000000"/>
        </w:rPr>
        <w:t>, respectively ($213,000 and $306,000 of net realized investment losses in the respective prior year periods), the Company also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recognized $6.0 million and $8.8 million of net realized investment losses in the respective periods on its investments in bank loan participations ($186,000 and $660,000 of net realized investment gains in the respective prior year periods), and $3.3 million and $8.7 million of net realized gains in the respective periods for the change in fair values of equity securities ($494,000 of net realized gains and $695,000 of net realized losses in the respective prior year periods).</w:t>
      </w:r>
    </w:p>
    <w:p>
      <w:pPr>
        <w:spacing w:after="0" w:line="76"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JRG Re has entered into three letter of credit facilities with banks as security to third-party reinsureds on reinsurance assumed by JRG Re. JRG Re has established custodial accounts to secure these letters of credit. Under a $75.0 million facility, $48.2 million of letters of credit were issued through September 30, 2019 which were secured by deposits of $60.9 million. Under a $102.5 million facility, $64.1 million of letters of credit were issued through September 30, 2019 which were secured by deposits of $83.3 million. Under a $100.0 million facility, $5.3 million of letters of credit were issued through September 30, 2019 which were secured by deposits of $10.9 million. JRG Re has also established trust accounts to secure its obligations to selected reinsureds. The total amount deposited in the trust accounts for the benefit of third-party reinsureds was $299.1 million at September 30, 2019.</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a party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 including, among other things, case loss and loss adjustment expense reserves, IBNR loss and loss adjustment expense reserves, extra contractual obligations and excess of policy limits liabilities. The collateral is currently provided through a collateral trust arrangement established in favor of the Company by a captive insurance company affiliate of the insured group. At September 30, 2019, the cash equivalent collateral held in the collateral trust arrangement was approximately $1,168.9 million.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9, 2019, the Company withdrew $1,170.7 million from the collateral trust arrangement. See Note 12 for additional information regarding the withdrawal of the collateral.</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less loss and loss adjustment expenses and other operating expenses of the operating segments. Gross fee income of the Excess and Surplus Lines segment is included in that segment’s underwriting profit. Gross fee income of $2.2 million and $3.0 million was included in underwriting profit for the three months ended September 30, 2019 and 2018, respectively ($7.1 million and $11.5 million for the nine months ended September 30, 2019 and 2018, respectively). Segment results are reported prior to the effects of intercompany reinsurance agreements among the Company’s insurance subsidiaries.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segment results: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360" w:type="dxa"/>
            <w:vAlign w:val="bottom"/>
          </w:tcPr>
          <w:p>
            <w:pPr>
              <w:spacing w:after="0"/>
              <w:rPr>
                <w:sz w:val="13"/>
                <w:szCs w:val="13"/>
                <w:color w:val="auto"/>
              </w:rPr>
            </w:pPr>
          </w:p>
        </w:tc>
        <w:tc>
          <w:tcPr>
            <w:tcW w:w="11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80" w:type="dxa"/>
            <w:vAlign w:val="bottom"/>
          </w:tcPr>
          <w:p>
            <w:pPr>
              <w:spacing w:after="0"/>
              <w:rPr>
                <w:sz w:val="13"/>
                <w:szCs w:val="13"/>
                <w:color w:val="auto"/>
              </w:rPr>
            </w:pPr>
          </w:p>
        </w:tc>
        <w:tc>
          <w:tcPr>
            <w:tcW w:w="122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Casualty</w:t>
            </w:r>
          </w:p>
        </w:tc>
        <w:tc>
          <w:tcPr>
            <w:tcW w:w="300" w:type="dxa"/>
            <w:vAlign w:val="bottom"/>
          </w:tcPr>
          <w:p>
            <w:pPr>
              <w:spacing w:after="0"/>
              <w:rPr>
                <w:sz w:val="13"/>
                <w:szCs w:val="13"/>
                <w:color w:val="auto"/>
              </w:rPr>
            </w:pPr>
          </w:p>
        </w:tc>
        <w:tc>
          <w:tcPr>
            <w:tcW w:w="11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Surplus</w:t>
            </w:r>
          </w:p>
        </w:tc>
        <w:tc>
          <w:tcPr>
            <w:tcW w:w="360" w:type="dxa"/>
            <w:vAlign w:val="bottom"/>
          </w:tcPr>
          <w:p>
            <w:pPr>
              <w:spacing w:after="0"/>
              <w:rPr>
                <w:sz w:val="12"/>
                <w:szCs w:val="12"/>
                <w:color w:val="auto"/>
              </w:rPr>
            </w:pPr>
          </w:p>
        </w:tc>
        <w:tc>
          <w:tcPr>
            <w:tcW w:w="1120" w:type="dxa"/>
            <w:vAlign w:val="bottom"/>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Lines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241,045</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100,459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46,724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388,228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164,759</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14,242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34,373</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213,374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Underwriting (loss) profit of insurance segments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(4,288)</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3,467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11,717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1,718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17,878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2,594</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170,734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16,493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42,403</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1,844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231,474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goodwill</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181,831</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1,186,094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773,677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1,631,569</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69,576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3,660,916</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157,237</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98,607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24,125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279,969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141,529</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13,898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49,263</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204,690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Underwriting profit of insurance segments</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11,302</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1,769</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1,576</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4,542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10,031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2,991</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149,807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14,400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59,416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224,692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goodwill</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181,831</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929,408</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630,982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1,393,721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81,323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3,035,434</w:t>
            </w:r>
          </w:p>
        </w:tc>
        <w:tc>
          <w:tcPr>
            <w:tcW w:w="0" w:type="dxa"/>
            <w:vAlign w:val="bottom"/>
          </w:tcPr>
          <w:p>
            <w:pPr>
              <w:spacing w:after="0"/>
              <w:rPr>
                <w:sz w:val="1"/>
                <w:szCs w:val="1"/>
                <w:color w:val="auto"/>
              </w:rPr>
            </w:pPr>
          </w:p>
        </w:tc>
      </w:tr>
      <w:tr>
        <w:trPr>
          <w:trHeight w:val="56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320" w:type="dxa"/>
            <w:vAlign w:val="bottom"/>
          </w:tcPr>
          <w:p>
            <w:pPr>
              <w:spacing w:after="0"/>
              <w:rPr>
                <w:sz w:val="13"/>
                <w:szCs w:val="13"/>
                <w:color w:val="auto"/>
              </w:rPr>
            </w:pPr>
          </w:p>
        </w:tc>
        <w:tc>
          <w:tcPr>
            <w:tcW w:w="11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80" w:type="dxa"/>
            <w:vAlign w:val="bottom"/>
          </w:tcPr>
          <w:p>
            <w:pPr>
              <w:spacing w:after="0"/>
              <w:rPr>
                <w:sz w:val="13"/>
                <w:szCs w:val="13"/>
                <w:color w:val="auto"/>
              </w:rPr>
            </w:pPr>
          </w:p>
        </w:tc>
        <w:tc>
          <w:tcPr>
            <w:tcW w:w="122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Casualty</w:t>
            </w:r>
          </w:p>
        </w:tc>
        <w:tc>
          <w:tcPr>
            <w:tcW w:w="300" w:type="dxa"/>
            <w:vAlign w:val="bottom"/>
          </w:tcPr>
          <w:p>
            <w:pPr>
              <w:spacing w:after="0"/>
              <w:rPr>
                <w:sz w:val="13"/>
                <w:szCs w:val="13"/>
                <w:color w:val="auto"/>
              </w:rPr>
            </w:pPr>
          </w:p>
        </w:tc>
        <w:tc>
          <w:tcPr>
            <w:tcW w:w="11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Surplus</w:t>
            </w:r>
          </w:p>
        </w:tc>
        <w:tc>
          <w:tcPr>
            <w:tcW w:w="320" w:type="dxa"/>
            <w:vAlign w:val="bottom"/>
          </w:tcPr>
          <w:p>
            <w:pPr>
              <w:spacing w:after="0"/>
              <w:rPr>
                <w:sz w:val="12"/>
                <w:szCs w:val="12"/>
                <w:color w:val="auto"/>
              </w:rPr>
            </w:pPr>
          </w:p>
        </w:tc>
        <w:tc>
          <w:tcPr>
            <w:tcW w:w="114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Lines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687,871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292,884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114,810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1,095,565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457,352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39,688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105,600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602,640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Underwriting (loss) profit of insurance segments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3,758</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(4,061)</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13,240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2,791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34,875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3,938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54,844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8,086</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481,745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45,169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134,731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4,330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665,975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goodwill</w:t>
            </w:r>
          </w:p>
        </w:tc>
        <w:tc>
          <w:tcPr>
            <w:tcW w:w="24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181,831</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1,186,094</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773,677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1,631,569</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69,576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3,660,916</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490,121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283,108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98,234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871,463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410,627</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41,504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161,711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613,842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Underwriting profit of insurance segments</w:t>
            </w:r>
          </w:p>
        </w:tc>
        <w:tc>
          <w:tcPr>
            <w:tcW w:w="24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32,718</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4,380</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5,049</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11,934</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2,375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27,710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3,782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45,801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8,459</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434,146</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43,791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189,196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3,944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671,077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goodwill</w:t>
            </w:r>
          </w:p>
        </w:tc>
        <w:tc>
          <w:tcPr>
            <w:tcW w:w="24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181,831</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929,408</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630,982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1,393,721</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81,323</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3,035,434</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the underwriting profit (loss) of the operating segments by individual segment to consolidated income before taxes: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(loss) profit of the insurance segments: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32,718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4,380</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5,049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underwriting (loss) profit of insurance segments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42,147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(loss)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20,883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54,844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45,801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23,036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57,737</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9.  Other Operating Expenses and Other 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56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Other operating expenses consist of the following:</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4"/>
                <w:szCs w:val="24"/>
                <w:color w:val="auto"/>
              </w:rPr>
            </w:pPr>
          </w:p>
        </w:tc>
        <w:tc>
          <w:tcPr>
            <w:tcW w:w="238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21,258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27,511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63,029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86,381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underwriting expenses of the operating segments</w:t>
            </w:r>
          </w:p>
        </w:tc>
        <w:tc>
          <w:tcPr>
            <w:tcW w:w="3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13,132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15,143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46,617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48,069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22,641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21,264</w:t>
            </w: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41,692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49,180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132,287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155,714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expenses of $372,000 and $1.1 million for the three and nine months ended September 30, 2019 consist of employee severance costs. Other expenses of $(131,000) and $(34,000) for the three and nine months ended September 30, 2018, respectively, included employee severance, legal, and other professional services associated with the Company's May 2018 secondary offering, and depreciation expense related to a leased building that the Company was previously deemed to own for accounting purposes, offset by rental income on the building.</w:t>
      </w:r>
    </w:p>
    <w:p>
      <w:pPr>
        <w:spacing w:after="0" w:line="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Three levels of inputs are used to measure fair value of financial instruments: (1) Level 1: quoted price (unadjusted) in active markets for identical assets,</w:t>
      </w:r>
    </w:p>
    <w:p>
      <w:pPr>
        <w:spacing w:after="0" w:line="27" w:lineRule="exact"/>
        <w:rPr>
          <w:sz w:val="20"/>
          <w:szCs w:val="20"/>
          <w:color w:val="auto"/>
        </w:rPr>
      </w:pPr>
    </w:p>
    <w:p>
      <w:pPr>
        <w:jc w:val="both"/>
        <w:ind w:firstLine="8"/>
        <w:spacing w:after="0" w:line="255"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 There have been no changes in the Company’s use of valuation techniques since December 31, 2017.</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reviews fair value prices provided by its outside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September 30, 2019 are summarized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00" w:type="dxa"/>
            <w:vAlign w:val="bottom"/>
          </w:tcPr>
          <w:p>
            <w:pPr>
              <w:spacing w:after="0"/>
              <w:rPr>
                <w:sz w:val="12"/>
                <w:szCs w:val="12"/>
                <w:color w:val="auto"/>
              </w:rPr>
            </w:pPr>
          </w:p>
        </w:tc>
        <w:tc>
          <w:tcPr>
            <w:tcW w:w="12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30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30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154,387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247,213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21"/>
                <w:szCs w:val="21"/>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625,180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235,204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112,826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2,007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112,826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1,264,497</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1,377,323</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tcPr>
          <w:p>
            <w:pPr>
              <w:spacing w:after="0"/>
              <w:rPr>
                <w:sz w:val="21"/>
                <w:szCs w:val="21"/>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69,552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15,065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4,179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15,065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73,731</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88,840</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49,884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2018 are summarized below:</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00" w:type="dxa"/>
            <w:vAlign w:val="bottom"/>
          </w:tcPr>
          <w:p>
            <w:pPr>
              <w:spacing w:after="0"/>
              <w:rPr>
                <w:sz w:val="12"/>
                <w:szCs w:val="12"/>
                <w:color w:val="auto"/>
              </w:rPr>
            </w:pPr>
          </w:p>
        </w:tc>
        <w:tc>
          <w:tcPr>
            <w:tcW w:w="12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30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30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149,295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149,295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204,109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524,768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524,768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192,797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106,651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107,193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106,651</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1,073,323</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4,228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1,184,202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60,740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60,740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16,674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16,674</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61,497</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78,385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80,716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117"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360" w:firstLine="351"/>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available-for-sale fixed maturity securities and equity securities measured at fair value on a recurring basis using significant unobservable inputs (Level 3) is shown below:</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46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64"/>
        </w:trPr>
        <w:tc>
          <w:tcPr>
            <w:tcW w:w="4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22"/>
                <w:szCs w:val="22"/>
                <w:color w:val="auto"/>
              </w:rPr>
            </w:pPr>
          </w:p>
        </w:tc>
        <w:tc>
          <w:tcPr>
            <w:tcW w:w="3140" w:type="dxa"/>
            <w:vAlign w:val="bottom"/>
            <w:gridSpan w:val="4"/>
          </w:tcPr>
          <w:p>
            <w:pPr>
              <w:jc w:val="right"/>
              <w:ind w:right="113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5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4,680</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in to Level 3</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calls and paydowns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Included in earnings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4,364</w:t>
            </w: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The Company held one available-for-sale fixed maturity security at December 31, 2018 for which the fair value was determined using significant unobservable inputs (Level 3). A market approach using prices in trades of comparable securities was utilized to determine a fair value of $4.2 million for the security at December 31, 2018. A principal payment of $456,000 was received on the available-for-sale fixed maturity security in the three months ended March 31, 2019. The Company was able to obtain a quoted price from a pricing vendor for the available-for-sale fixed maturity security at March 31, 2019 and it was transferred to Level 2. In the three months ended June 30, 2019, one equity security was transferred from Level 1 to Level 3 as the security was no longer actively traded. In the three months ended September 30, 2019, one equity security was transferred from Level 3 to Level 2 as the Company was able to obtain a quoted price from a pricing vendor for the equity security at September 30, 2019. At September 30, 2019 and December 31, 2018, the Company held one equity security for which the fair value was determined using significant unobservable inputs (Level 3). A market approach using prices in trades of comparable securities was utilized to determine a fair value for the equity securities of $44,000 at September 30, 2019 and $214,000 at December 31, 2018. There were no purchases or sales of Level 3 securities for the nine months ended September 30, 2019 or 2018. There were no transfers involving Level 3 securities for the nine months ended September 30, 2018.</w:t>
      </w:r>
    </w:p>
    <w:p>
      <w:pPr>
        <w:spacing w:after="0" w:line="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the nine months ended September 30, 2019 or 2018. The Company recognizes transfers between levels at the beginning of the reporting period.</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certain bank loan participations at fair value on a non-recurring basis during the year as part of the Company’s impairment evaluation when loans are determined by management to be impaired.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measured at fair value on a nonrecurring basis are summarized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 participations held-for-investment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6,361</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 participations held-for-investment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Bank loan participations held-for-investment that were determined to be impaired were written down to their fair value of $6.4 million </w:t>
      </w:r>
      <w:r>
        <w:rPr>
          <w:rFonts w:ascii="Times New Roman" w:cs="Times New Roman" w:eastAsia="Times New Roman" w:hAnsi="Times New Roman"/>
          <w:sz w:val="18"/>
          <w:szCs w:val="18"/>
          <w:color w:val="231F20"/>
        </w:rPr>
        <w:t>a</w:t>
      </w:r>
      <w:r>
        <w:rPr>
          <w:rFonts w:ascii="Times New Roman" w:cs="Times New Roman" w:eastAsia="Times New Roman" w:hAnsi="Times New Roman"/>
          <w:sz w:val="18"/>
          <w:szCs w:val="18"/>
          <w:color w:val="auto"/>
        </w:rPr>
        <w:t xml:space="preserve">t September 30, 2019. </w:t>
      </w:r>
      <w:r>
        <w:rPr>
          <w:rFonts w:ascii="Times New Roman" w:cs="Times New Roman" w:eastAsia="Times New Roman" w:hAnsi="Times New Roman"/>
          <w:sz w:val="18"/>
          <w:szCs w:val="18"/>
          <w:color w:val="231F20"/>
        </w:rPr>
        <w:t>Management concluded that none of the bank loan participations held-for-investment were impaired as of</w:t>
      </w:r>
      <w:r>
        <w:rPr>
          <w:rFonts w:ascii="Times New Roman" w:cs="Times New Roman" w:eastAsia="Times New Roman" w:hAnsi="Times New Roman"/>
          <w:sz w:val="18"/>
          <w:szCs w:val="18"/>
          <w:color w:val="auto"/>
        </w:rPr>
        <w:t xml:space="preserve"> December 31, 2018</w:t>
      </w:r>
      <w:r>
        <w:rPr>
          <w:rFonts w:ascii="Times New Roman" w:cs="Times New Roman" w:eastAsia="Times New Roman" w:hAnsi="Times New Roman"/>
          <w:sz w:val="18"/>
          <w:szCs w:val="18"/>
          <w:color w:val="231F20"/>
        </w:rPr>
        <w:t>.</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September 30, 2019 and December 31, 2018, there were no investments for which external sources were unavailable to determine fair value.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and fair values of financial instruments are summarized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33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2"/>
                <w:szCs w:val="12"/>
                <w:color w:val="auto"/>
              </w:rPr>
            </w:pPr>
          </w:p>
        </w:tc>
        <w:tc>
          <w:tcPr>
            <w:tcW w:w="980" w:type="dxa"/>
            <w:vAlign w:val="bottom"/>
          </w:tcPr>
          <w:p>
            <w:pPr>
              <w:jc w:val="right"/>
              <w:ind w:right="335"/>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34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1,377,323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1,377,323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1,184,202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1,184,202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88,840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88,840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78,385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78,385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 participations held-for-investment</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249,907</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242,628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260,972</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250,697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256,302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256,302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172,457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172,457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49,884</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49,884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81,966</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81,966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invested assets – 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13,250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18,767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13,250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18,687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debt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98,300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101,256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118,300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118,317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104,055</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125,008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104,055</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117,057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fixed maturity securities and equity securities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other invested assets-notes receivable, senior debt, and junior subordinated debt at September 30, 2019 and December 31, 2018 were determined by calculating the present value of expected future cash flows under the terms of the note agreements or debt agreements, as applicable, discounted at an estimated market rate of interest at September 30, 2019 and December 31, 2018, respectively.</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bank loan participations held-for-investment, senior debt, and junior subordinated debt at September 30, 2019 and December 31, 2018 were determined using inputs to the valuation methodology that are unobservable (Level 3).</w:t>
      </w:r>
    </w:p>
    <w:p>
      <w:pPr>
        <w:spacing w:after="0" w:line="5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Capital Stock and Equity Awards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issued 412,810 common shares in the nine months ended September 30, 2019 with 336,533 of the new shares related to stock option exercises and 76,277 of the new shares related to vesting of RSUs. The total common shares outstanding increased from 29,988,460 at December 31, 2018 to 30,401,270 at September 30, 2019.</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declared the following dividends during the first nine months of 2019 and 2018:</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Payable to Shareholders of</w:t>
            </w: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Date of Declaration</w:t>
            </w:r>
          </w:p>
        </w:tc>
        <w:tc>
          <w:tcPr>
            <w:tcW w:w="16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on</w:t>
            </w:r>
          </w:p>
        </w:tc>
        <w:tc>
          <w:tcPr>
            <w:tcW w:w="2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200" w:type="dxa"/>
            <w:vAlign w:val="bottom"/>
          </w:tcPr>
          <w:p>
            <w:pPr>
              <w:spacing w:after="0"/>
              <w:rPr>
                <w:sz w:val="18"/>
                <w:szCs w:val="18"/>
                <w:color w:val="auto"/>
              </w:rPr>
            </w:pP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Amount</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03"/>
        </w:trPr>
        <w:tc>
          <w:tcPr>
            <w:tcW w:w="3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February 20,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11, 2019</w:t>
            </w:r>
          </w:p>
        </w:tc>
        <w:tc>
          <w:tcPr>
            <w:tcW w:w="200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March 29,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9,146,357</w:t>
            </w:r>
          </w:p>
        </w:tc>
      </w:tr>
      <w:tr>
        <w:trPr>
          <w:trHeight w:val="237"/>
        </w:trPr>
        <w:tc>
          <w:tcPr>
            <w:tcW w:w="30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April 30, 2019</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10, 2019</w:t>
            </w:r>
          </w:p>
        </w:tc>
        <w:tc>
          <w:tcPr>
            <w:tcW w:w="20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June 28, 2019</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9,204,804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July 30, 2019</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16, 2019</w:t>
            </w:r>
          </w:p>
        </w:tc>
        <w:tc>
          <w:tcPr>
            <w:tcW w:w="200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September 30, 2019</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9,230,801</w:t>
            </w:r>
          </w:p>
        </w:tc>
      </w:tr>
      <w:tr>
        <w:trPr>
          <w:trHeight w:val="284"/>
        </w:trPr>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228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27,581,962</w:t>
            </w:r>
          </w:p>
        </w:tc>
      </w:tr>
      <w:tr>
        <w:trPr>
          <w:trHeight w:val="311"/>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03"/>
        </w:trPr>
        <w:tc>
          <w:tcPr>
            <w:tcW w:w="3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February 22,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12, 2018</w:t>
            </w:r>
          </w:p>
        </w:tc>
        <w:tc>
          <w:tcPr>
            <w:tcW w:w="200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March 30, 2018</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9,049,476</w:t>
            </w:r>
          </w:p>
        </w:tc>
      </w:tr>
      <w:tr>
        <w:trPr>
          <w:trHeight w:val="237"/>
        </w:trPr>
        <w:tc>
          <w:tcPr>
            <w:tcW w:w="30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May 1, 2018</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June 11, 2018</w:t>
            </w:r>
          </w:p>
        </w:tc>
        <w:tc>
          <w:tcPr>
            <w:tcW w:w="20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June 29, 2018</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9,066,023</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August 1, 2018</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10, 2018</w:t>
            </w:r>
          </w:p>
        </w:tc>
        <w:tc>
          <w:tcPr>
            <w:tcW w:w="200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September 28, 2018</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9,080,519</w:t>
            </w:r>
          </w:p>
        </w:tc>
      </w:tr>
      <w:tr>
        <w:trPr>
          <w:trHeight w:val="244"/>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2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27,196,018</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right="20" w:firstLine="351"/>
        <w:spacing w:after="0" w:line="313" w:lineRule="auto"/>
        <w:rPr>
          <w:sz w:val="20"/>
          <w:szCs w:val="20"/>
          <w:color w:val="auto"/>
        </w:rPr>
      </w:pPr>
      <w:r>
        <w:rPr>
          <w:rFonts w:ascii="Times New Roman" w:cs="Times New Roman" w:eastAsia="Times New Roman" w:hAnsi="Times New Roman"/>
          <w:sz w:val="17"/>
          <w:szCs w:val="17"/>
          <w:color w:val="auto"/>
        </w:rPr>
        <w:t>Included in the total dividends for the nine months ended September 30, 2019 and 2018 are $327,000 and $297,000, respectively, of dividend equivalents on unvested RSUs. The balance of dividends payable on unvested RSUs was $651,000 at September 30, 2019 and $557,000 at December 31, 2018.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September 30, 2019, 1,575,359 shares are available for grant.</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Non-employee directors of the Company are eligible to receive non-qualified stock options, share appreciation rights, performance shares, restricted shares, RSUs, and other awards under the 2014 Director Plan. At the 2019 Annual General Meeting of Shareholders of the Company held on April 30, 2019, the Company's shareholders approved an amendment to the 2014 Director Plan. The Board of Directors of the Company had previously approved the amendment. The amendment increased the number of the Company's common shares authorized for issuance under the 2014 Director Plan by 100,000 shares. The maximum number of shares available for issuance under the 2014 Director Plan is 150,000, and at September 30, 2019, 108,594 shares are available for grant.</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activity: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Beginning of period</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1,115,324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1,479,236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(450,514)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(280,683)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652,752</w:t>
            </w:r>
          </w:p>
        </w:tc>
        <w:tc>
          <w:tcPr>
            <w:tcW w:w="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1,156,338</w:t>
            </w:r>
          </w:p>
        </w:tc>
        <w:tc>
          <w:tcPr>
            <w:tcW w:w="3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599,241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841,763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All of the outstanding options vest over three to four years and have a contractual life of seven years from the original date of grant. All of the outstanding options have an exercise price equal to the fair value of the underlying shares at the date of grant. The weighted-average remaining contractual life of the options outstanding and options exercisable at September 30, 2019 was 3.2 years and 3.1 years,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69"/>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300,142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178,882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197,078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218,475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41.32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40.81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363,563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328,277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 based compensation expense is recognized on a straight line basis over the vesting period. The amount of expense and related tax benefit is summarized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340" w:type="dxa"/>
            <w:vAlign w:val="bottom"/>
            <w:gridSpan w:val="3"/>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80" w:type="dxa"/>
            <w:vAlign w:val="bottom"/>
            <w:gridSpan w:val="3"/>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8"/>
              </w:rPr>
              <w:t>1,779</w:t>
            </w:r>
          </w:p>
        </w:tc>
        <w:tc>
          <w:tcPr>
            <w:tcW w:w="94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3"/>
              </w:rPr>
              <w:t>1,681</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5,263</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4,796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tax benefit on share based compensation expense</w:t>
            </w:r>
          </w:p>
        </w:tc>
        <w:tc>
          <w:tcPr>
            <w:tcW w:w="860" w:type="dxa"/>
            <w:vAlign w:val="bottom"/>
          </w:tcPr>
          <w:p>
            <w:pPr>
              <w:spacing w:after="0"/>
              <w:rPr>
                <w:sz w:val="21"/>
                <w:szCs w:val="21"/>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211</w:t>
            </w:r>
          </w:p>
        </w:tc>
        <w:tc>
          <w:tcPr>
            <w:tcW w:w="940" w:type="dxa"/>
            <w:vAlign w:val="bottom"/>
          </w:tcPr>
          <w:p>
            <w:pPr>
              <w:spacing w:after="0"/>
              <w:rPr>
                <w:sz w:val="21"/>
                <w:szCs w:val="21"/>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198</w:t>
            </w:r>
          </w:p>
        </w:tc>
        <w:tc>
          <w:tcPr>
            <w:tcW w:w="56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631</w:t>
            </w:r>
          </w:p>
        </w:tc>
        <w:tc>
          <w:tcPr>
            <w:tcW w:w="5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569</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$10.5 million of unrecognized share based compensation expense expected to be charged to earnings over a weighted-average period of 1.8 years.</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8, 2019, the Company delivered a notice of early cancellation, effective December 31, 2019, of all insurance policies issued to its largest customer, Rasier LLC and its affiliates. All insurance policies related to this customer are included in the Company’s commercial auto line of business within its Excess and Surplus Lines segment, and a majority of the insurance policies were due to expire on February 29, 2020. In addition, as permitted under the indemnity agreements with this group of insured parties (non-insurance entities), the Company withdrew $1,170.7 million from the collateral trust arrangement that was established in favor of the Company by a captive insurance company affiliate of the insured group. The collateral funds may be used to reimburse the Company for a significant portion of the losses and loss adjustment expenses paid on behalf of the insured parties and other related expenses incurred by the Company to the extent not paid under the indemnity agreements. Amounts that may be recoverable under the indemnity agreement include, among other things, case loss and loss adjustment expense reserves, IBNR loss and loss adjustment expense reserves, extra contractual obligations and excess of policy limits liabilities. These funds have been invested in short term U.S. government securities. On November 6, 2019, the Company received a letter from its largest customer requesting redeposit of the collateral withdrawn on October 9, 2019 plus interest. We believe the withdrawal of collateral funds was permitted by the applicable agreements, and we do not intend to redeposit the funds.</w:t>
      </w:r>
    </w:p>
    <w:p>
      <w:pPr>
        <w:spacing w:after="0" w:line="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5, 2019, the Board of Directors declared a cash dividend of $0.30 per common share. The dividend is payable on December 31, 2019 to shareholders of record on December 16,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in this Quarterly Report on Form 10-Q, or “Quarterly Report”, and Part I, Item 1A “Risk Factors” in our Annual Report on Form 10-K for the year ended December 31, 2018. The results of operations for the three and nine months ended September 30, 2019 are not necessarily indicative of the results that may be expected for the full year ending December 31, 2019,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2018.</w:t>
      </w:r>
    </w:p>
    <w:p>
      <w:pPr>
        <w:spacing w:after="0" w:line="77"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organized into four reportable segments, which are separately managed business units:</w:t>
      </w:r>
    </w:p>
    <w:p>
      <w:pPr>
        <w:spacing w:after="0" w:line="117" w:lineRule="exact"/>
        <w:rPr>
          <w:sz w:val="20"/>
          <w:szCs w:val="20"/>
          <w:color w:val="auto"/>
        </w:rPr>
      </w:pPr>
    </w:p>
    <w:p>
      <w:pPr>
        <w:jc w:val="both"/>
        <w:ind w:left="660" w:right="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Specialty Admitted Insurance segment focuses on niche classes within the standard insurance markets, such as workers’ compensation coverage for residential contractors, light manufacturing operations, transportation workers and healthcare workers and fronting business, where we retain a small percentage of the risk and seek to earn fee income by allowing other carriers and producers to use our licensure, ratings, expertise and infrastructure. This segment has admitted licenses and the authority to write excess and surplus lines insurance in 49 states and the District of Columbia;</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Casualty Reinsurance segment primarily provides proportional and working layer casualty reinsurance to third parties (primarily through reinsurance intermediaries) and stop loss reinsurance to Carolina Re Ltd (“Carolina Re”), through JRG Reinsurance Company Ltd. (“JRG Re”), both Bermuda-based reinsurance companies. JRG Re has also in the past provided reinsurance to the Company's U.S. based insurance subsidiaries through a quota-share reinsurance agreement; Carolina Re was formed in 2018 to do this as well; and</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54" w:lineRule="exact"/>
        <w:rPr>
          <w:sz w:val="20"/>
          <w:szCs w:val="20"/>
          <w:color w:val="auto"/>
        </w:rPr>
      </w:pPr>
    </w:p>
    <w:p>
      <w:pPr>
        <w:ind w:right="2020" w:firstLine="324"/>
        <w:spacing w:after="0" w:line="430" w:lineRule="auto"/>
        <w:rPr>
          <w:sz w:val="20"/>
          <w:szCs w:val="20"/>
          <w:color w:val="auto"/>
        </w:rPr>
      </w:pPr>
      <w:r>
        <w:rPr>
          <w:rFonts w:ascii="Times New Roman" w:cs="Times New Roman" w:eastAsia="Times New Roman" w:hAnsi="Times New Roman"/>
          <w:sz w:val="18"/>
          <w:szCs w:val="18"/>
          <w:color w:val="auto"/>
        </w:rPr>
        <w:t xml:space="preserve">All of our insurance and reinsurance subsidiaries have financial strength ratings of “A” (Excellent) from A.M. Best Company. </w:t>
      </w:r>
      <w:r>
        <w:rPr>
          <w:rFonts w:ascii="Times New Roman" w:cs="Times New Roman" w:eastAsia="Times New Roman" w:hAnsi="Times New Roman"/>
          <w:sz w:val="18"/>
          <w:szCs w:val="18"/>
          <w:b w:val="1"/>
          <w:bCs w:val="1"/>
          <w:color w:val="auto"/>
        </w:rPr>
        <w:t>Recent Development</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8, 2019, the Company delivered a notice of early cancellation, effective December 31, 2019, of all insurance policies issued to its largest customer, Rasier LLC and its affiliates. All insurance policies related to this customer are included in the Company’s commercial auto line of business within its Excess and Surplus Lines segment, and a majority of the insurance policies were due to expire on February 29, 2020. Rasier LLC and its affiliates produced $294.3 million of gross written premiums, representing 44.8% of the Excess and Surplus Lines segment’s gross written premiums and 25.2% of our consolidated gross written premiums for the year ended December 31, 2018.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most critical accounting policies involve significant estimates and include those used in determining the reserve for losses and loss adjustment expenses, investment valuation and impairment, and assumed reinsurance premiums. For a detailed discussion of each of these policies, refer to our Annual Report on Form 10-K for the year ended December 31, 2018. There have been no significant changes to any of these policies during the current year.</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c>
          <w:tcPr>
            <w:tcW w:w="260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20" w:type="dxa"/>
            <w:vAlign w:val="bottom"/>
            <w:gridSpan w:val="2"/>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388,228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279,969</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i w:val="1"/>
                <w:iCs w:val="1"/>
                <w:color w:val="auto"/>
              </w:rPr>
              <w:t>38.7 %</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1,095,565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871,463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25.7 %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xml:space="preserve">Net retention </w:t>
            </w:r>
            <w:r>
              <w:rPr>
                <w:rFonts w:ascii="Times New Roman" w:cs="Times New Roman" w:eastAsia="Times New Roman" w:hAnsi="Times New Roman"/>
                <w:sz w:val="14"/>
                <w:szCs w:val="14"/>
                <w:color w:val="auto"/>
              </w:rPr>
              <w:t>(1)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3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223,869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173,441</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i w:val="1"/>
                <w:iCs w:val="1"/>
                <w:color w:val="auto"/>
              </w:rPr>
              <w:t>29.1 %</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671,520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573,025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17.2 %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i w:val="1"/>
                <w:iCs w:val="1"/>
                <w:color w:val="auto"/>
              </w:rPr>
              <w:t>4.2 %</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0" w:type="dxa"/>
            <w:vAlign w:val="bottom"/>
          </w:tcPr>
          <w:p>
            <w:pPr>
              <w:spacing w:after="0" w:line="20" w:lineRule="exact"/>
              <w:rPr>
                <w:sz w:val="1"/>
                <w:szCs w:val="1"/>
                <w:color w:val="auto"/>
              </w:rPr>
            </w:pPr>
          </w:p>
        </w:tc>
      </w:tr>
      <w:tr>
        <w:trPr>
          <w:trHeight w:val="230"/>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213,374</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204,690</w:t>
            </w:r>
          </w:p>
        </w:tc>
        <w:tc>
          <w:tcPr>
            <w:tcW w:w="132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602,640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613,842</w:t>
            </w: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(214,084)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(150,387)</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i w:val="1"/>
                <w:iCs w:val="1"/>
                <w:color w:val="auto"/>
              </w:rPr>
              <w:t>42.4 %</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(501,064)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(448,754)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11.7 %</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(39,394)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(46,182)</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i w:val="1"/>
                <w:iCs w:val="1"/>
                <w:color w:val="auto"/>
              </w:rPr>
              <w:t>(14.7)%</w:t>
            </w: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(124,959)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(144,205)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(13.3)%</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Underwriting (loss) profit </w:t>
            </w:r>
            <w:r>
              <w:rPr>
                <w:rFonts w:ascii="Times New Roman" w:cs="Times New Roman" w:eastAsia="Times New Roman" w:hAnsi="Times New Roman"/>
                <w:sz w:val="14"/>
                <w:szCs w:val="14"/>
                <w:color w:val="auto"/>
              </w:rPr>
              <w:t>(2), (3)</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(40,104)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8,121</w:t>
            </w:r>
          </w:p>
        </w:tc>
        <w:tc>
          <w:tcPr>
            <w:tcW w:w="1320" w:type="dxa"/>
            <w:vAlign w:val="bottom"/>
            <w:shd w:val="clear" w:color="auto" w:fill="CCEEFF"/>
          </w:tcPr>
          <w:p>
            <w:pPr>
              <w:jc w:val="right"/>
              <w:ind w:right="253"/>
              <w:spacing w:after="0"/>
              <w:rPr>
                <w:sz w:val="20"/>
                <w:szCs w:val="20"/>
                <w:color w:val="auto"/>
              </w:rPr>
            </w:pPr>
            <w:r>
              <w:rPr>
                <w:rFonts w:ascii="Arial" w:cs="Arial" w:eastAsia="Arial" w:hAnsi="Arial"/>
                <w:sz w:val="18"/>
                <w:szCs w:val="18"/>
                <w:i w:val="1"/>
                <w:iCs w:val="1"/>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(23,383)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20,883</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17,878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16,410</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i w:val="1"/>
                <w:iCs w:val="1"/>
                <w:color w:val="auto"/>
              </w:rPr>
              <w:t>8.9 %</w:t>
            </w:r>
          </w:p>
        </w:tc>
        <w:tc>
          <w:tcPr>
            <w:tcW w:w="3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54,844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45,801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19.7 %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and unrealized (losses) gains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i w:val="1"/>
                <w:iCs w:val="1"/>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61"/>
        </w:trPr>
        <w:tc>
          <w:tcPr>
            <w:tcW w:w="3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on investments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467</w:t>
            </w:r>
          </w:p>
        </w:tc>
        <w:tc>
          <w:tcPr>
            <w:tcW w:w="1320" w:type="dxa"/>
            <w:vAlign w:val="bottom"/>
            <w:vMerge w:val="continue"/>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and expense</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258</w:t>
            </w:r>
          </w:p>
        </w:tc>
        <w:tc>
          <w:tcPr>
            <w:tcW w:w="1320" w:type="dxa"/>
            <w:vAlign w:val="bottom"/>
          </w:tcPr>
          <w:p>
            <w:pPr>
              <w:jc w:val="right"/>
              <w:ind w:right="253"/>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3"/>
                <w:szCs w:val="23"/>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(2,991)</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i w:val="1"/>
                <w:iCs w:val="1"/>
                <w:color w:val="auto"/>
              </w:rPr>
              <w:t>(13.3)%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(8,459)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1320" w:type="dxa"/>
            <w:vAlign w:val="bottom"/>
            <w:tcBorders>
              <w:bottom w:val="single" w:sz="8" w:color="CCEEFF"/>
            </w:tcBorders>
          </w:tcPr>
          <w:p>
            <w:pPr>
              <w:jc w:val="right"/>
              <w:ind w:right="253"/>
              <w:spacing w:after="0"/>
              <w:rPr>
                <w:sz w:val="20"/>
                <w:szCs w:val="20"/>
                <w:color w:val="auto"/>
              </w:rPr>
            </w:pPr>
            <w:r>
              <w:rPr>
                <w:rFonts w:ascii="Arial" w:cs="Arial" w:eastAsia="Arial" w:hAnsi="Arial"/>
                <w:sz w:val="18"/>
                <w:szCs w:val="18"/>
                <w:i w:val="1"/>
                <w:iCs w:val="1"/>
                <w:color w:val="auto"/>
              </w:rPr>
              <w:t>‒</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64"/>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(27,417)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22,116</w:t>
            </w:r>
          </w:p>
        </w:tc>
        <w:tc>
          <w:tcPr>
            <w:tcW w:w="1320" w:type="dxa"/>
            <w:vAlign w:val="bottom"/>
            <w:shd w:val="clear" w:color="auto" w:fill="CCEEFF"/>
          </w:tcPr>
          <w:p>
            <w:pPr>
              <w:jc w:val="right"/>
              <w:ind w:right="253"/>
              <w:spacing w:after="0"/>
              <w:rPr>
                <w:sz w:val="20"/>
                <w:szCs w:val="20"/>
                <w:color w:val="auto"/>
              </w:rPr>
            </w:pPr>
            <w:r>
              <w:rPr>
                <w:rFonts w:ascii="Arial" w:cs="Arial" w:eastAsia="Arial" w:hAnsi="Arial"/>
                <w:sz w:val="18"/>
                <w:szCs w:val="18"/>
                <w:i w:val="1"/>
                <w:iCs w:val="1"/>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23,036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57,737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(60.1)%</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2,535</w:t>
            </w:r>
          </w:p>
        </w:tc>
        <w:tc>
          <w:tcPr>
            <w:tcW w:w="1320" w:type="dxa"/>
            <w:vAlign w:val="bottom"/>
            <w:tcBorders>
              <w:bottom w:val="single" w:sz="8" w:color="CCEEFF"/>
            </w:tcBorders>
          </w:tcPr>
          <w:p>
            <w:pPr>
              <w:jc w:val="right"/>
              <w:ind w:right="253"/>
              <w:spacing w:after="0"/>
              <w:rPr>
                <w:sz w:val="20"/>
                <w:szCs w:val="20"/>
                <w:color w:val="auto"/>
              </w:rPr>
            </w:pPr>
            <w:r>
              <w:rPr>
                <w:rFonts w:ascii="Arial" w:cs="Arial" w:eastAsia="Arial" w:hAnsi="Arial"/>
                <w:sz w:val="18"/>
                <w:szCs w:val="18"/>
                <w:i w:val="1"/>
                <w:iCs w:val="1"/>
                <w:color w:val="auto"/>
              </w:rPr>
              <w:t>‒</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5,539</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(6.7)%</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(25,167)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19,581</w:t>
            </w:r>
          </w:p>
        </w:tc>
        <w:tc>
          <w:tcPr>
            <w:tcW w:w="13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i w:val="1"/>
                <w:iCs w:val="1"/>
                <w:color w:val="auto"/>
              </w:rPr>
              <w: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17,868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52,198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vMerge w:val="restart"/>
          </w:tcPr>
          <w:p>
            <w:pPr>
              <w:jc w:val="right"/>
              <w:ind w:right="253"/>
              <w:spacing w:after="0"/>
              <w:rPr>
                <w:sz w:val="20"/>
                <w:szCs w:val="20"/>
                <w:color w:val="auto"/>
              </w:rPr>
            </w:pPr>
            <w:r>
              <w:rPr>
                <w:rFonts w:ascii="Arial" w:cs="Arial" w:eastAsia="Arial" w:hAnsi="Arial"/>
                <w:sz w:val="18"/>
                <w:szCs w:val="18"/>
                <w:i w:val="1"/>
                <w:iCs w:val="1"/>
                <w:color w:val="auto"/>
              </w:rPr>
              <w: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xml:space="preserve">Adjusted net operating (loss) income </w:t>
            </w:r>
            <w:r>
              <w:rPr>
                <w:rFonts w:ascii="Times New Roman" w:cs="Times New Roman" w:eastAsia="Times New Roman" w:hAnsi="Times New Roman"/>
                <w:sz w:val="14"/>
                <w:szCs w:val="14"/>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(22,208)</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19,402</w:t>
            </w:r>
          </w:p>
        </w:tc>
        <w:tc>
          <w:tcPr>
            <w:tcW w:w="132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19,682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53,540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(63.2)%</w:t>
            </w:r>
          </w:p>
        </w:tc>
        <w:tc>
          <w:tcPr>
            <w:tcW w:w="0" w:type="dxa"/>
            <w:vAlign w:val="bottom"/>
          </w:tcPr>
          <w:p>
            <w:pPr>
              <w:spacing w:after="0"/>
              <w:rPr>
                <w:sz w:val="1"/>
                <w:szCs w:val="1"/>
                <w:color w:val="auto"/>
              </w:rPr>
            </w:pPr>
          </w:p>
        </w:tc>
      </w:tr>
      <w:tr>
        <w:trPr>
          <w:trHeight w:val="231"/>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ratio</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retention is defined as the ratio of net written premiums to gross written premiums.</w:t>
      </w:r>
    </w:p>
    <w:p>
      <w:pPr>
        <w:spacing w:after="0" w:line="63" w:lineRule="exact"/>
        <w:rPr>
          <w:rFonts w:ascii="Times New Roman" w:cs="Times New Roman" w:eastAsia="Times New Roman" w:hAnsi="Times New Roman"/>
          <w:sz w:val="18"/>
          <w:szCs w:val="18"/>
          <w:i w:val="1"/>
          <w:iCs w:val="1"/>
          <w:color w:val="auto"/>
        </w:rPr>
      </w:pPr>
    </w:p>
    <w:p>
      <w:pPr>
        <w:ind w:left="660" w:right="300" w:hanging="328"/>
        <w:spacing w:after="0" w:line="281"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(loss) profit is a non-GAAP measure. See “Reconciliation of Non-GAAP Measures” for a reconciliation to (loss) income before tax and for additional information.</w:t>
      </w:r>
    </w:p>
    <w:p>
      <w:pPr>
        <w:spacing w:after="0" w:line="1" w:lineRule="exact"/>
        <w:rPr>
          <w:rFonts w:ascii="Times New Roman" w:cs="Times New Roman" w:eastAsia="Times New Roman" w:hAnsi="Times New Roman"/>
          <w:sz w:val="18"/>
          <w:szCs w:val="18"/>
          <w:i w:val="1"/>
          <w:iCs w:val="1"/>
          <w:color w:val="auto"/>
        </w:rPr>
      </w:pPr>
    </w:p>
    <w:p>
      <w:pPr>
        <w:ind w:left="660" w:right="460" w:hanging="328"/>
        <w:spacing w:after="0" w:line="281"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underwriting results for the three and nine months ended September 30, 2019 is gross fee income of $6.1 million and $18.7 million, respectively ($6.8 million and $22.4 million for the same periods in the prior year).</w:t>
      </w:r>
    </w:p>
    <w:p>
      <w:pPr>
        <w:spacing w:after="0" w:line="1" w:lineRule="exact"/>
        <w:rPr>
          <w:rFonts w:ascii="Times New Roman" w:cs="Times New Roman" w:eastAsia="Times New Roman" w:hAnsi="Times New Roman"/>
          <w:sz w:val="18"/>
          <w:szCs w:val="18"/>
          <w:i w:val="1"/>
          <w:iCs w:val="1"/>
          <w:color w:val="auto"/>
        </w:rPr>
      </w:pPr>
    </w:p>
    <w:p>
      <w:pPr>
        <w:ind w:left="660" w:right="140" w:hanging="328"/>
        <w:spacing w:after="0" w:line="284"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operating (loss) income is a non-GAAP measure. See “Reconciliation of Non-GAAP Measures” for reconciliation to net (loss) income and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2019 and 2018</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an underwriting loss of $40.1 million for the three months ended September 30, 2019. This compares to an underwriting profit of $8.1 million for the same period in the prior year. Underwriting results for the three months ended September 30, 2019 were negatively impacted by $57.0 million of net adverse reserve development on prior accident years, including $50.0 million of net adverse reserve development from the Excess and Surplus Lines segment that was primarily related to the 2016 and 2017 accident years for the commercial auto business.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for the three months ended September 30, 2019 and 2018 also include certain non-operating items that are significant to the Company. These items (on a pre-tax basis) include:</w:t>
      </w:r>
    </w:p>
    <w:p>
      <w:pPr>
        <w:spacing w:after="0" w:line="54"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and unrealized investment (losses) gains of $(2.4) million and $467,000 for the three months ended September 30, 2019 and 2018, respectively. See “— Investing Results" for more information on these realized and unrealized investment (losses) gains.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expense of $404,000 for the three months ended September 30, 2018 relating to finance expenses in connection with a minority interest in a real estate partnership pursuant to which we were previously deemed an owner for accounting purposes. Effective with the Company's adoption of </w:t>
      </w:r>
      <w:r>
        <w:rPr>
          <w:rFonts w:ascii="Times New Roman" w:cs="Times New Roman" w:eastAsia="Times New Roman" w:hAnsi="Times New Roman"/>
          <w:sz w:val="18"/>
          <w:szCs w:val="18"/>
          <w:color w:val="231F20"/>
        </w:rPr>
        <w:t xml:space="preserve">ASU 2016-02, </w:t>
      </w:r>
      <w:r>
        <w:rPr>
          <w:rFonts w:ascii="Times New Roman" w:cs="Times New Roman" w:eastAsia="Times New Roman" w:hAnsi="Times New Roman"/>
          <w:sz w:val="18"/>
          <w:szCs w:val="18"/>
          <w:i w:val="1"/>
          <w:iCs w:val="1"/>
          <w:color w:val="231F20"/>
        </w:rPr>
        <w:t>Leases (Topic 842)</w:t>
      </w:r>
      <w:r>
        <w:rPr>
          <w:rFonts w:ascii="Times New Roman" w:cs="Times New Roman" w:eastAsia="Times New Roman" w:hAnsi="Times New Roman"/>
          <w:sz w:val="18"/>
          <w:szCs w:val="18"/>
          <w:color w:val="231F20"/>
        </w:rPr>
        <w:t xml:space="preserve"> on January 1, 2019, the Company</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 xml:space="preserve">is no longer deemed the </w:t>
      </w:r>
      <w:r>
        <w:rPr>
          <w:rFonts w:ascii="Times New Roman" w:cs="Times New Roman" w:eastAsia="Times New Roman" w:hAnsi="Times New Roman"/>
          <w:sz w:val="18"/>
          <w:szCs w:val="18"/>
          <w:color w:val="000000"/>
        </w:rPr>
        <w:t>owner for accounting purposes and there is no comparable expense for the three months ended September 30, 2019.</w:t>
      </w:r>
    </w:p>
    <w:p>
      <w:pPr>
        <w:spacing w:after="0" w:line="131"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define adjusted net operating (loss) income as net (loss) income excluding certain non-operating expenses such as net realized and unrealized investment gains and losses on investments, expenses related to due diligence costs for various merger and acquisition activities, professional service fees related to the filing of registration statements for the offering of securities, severance costs associated with terminated employees, and interest expense and other income and expenses on a leased building that we were previously deemed to own for accounting purposes. We use adjusted net operating (loss) income as an internal performance measure in the management of our operations because we believe it gives our management and other users of our financial information useful insight into our results of operations and our underlying business performance. Adjusted net operating (loss) income should not be viewed as a substitute for net income calculated in accordance with GAAP, and our definition of adjusted net operating (loss) income may not be comparable to that of other companies.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(loss) income before taxes and net (loss) income reconcile to our adjusted net operating (loss) income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44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Pr>
          <w:p>
            <w:pPr>
              <w:spacing w:after="0"/>
              <w:rPr>
                <w:sz w:val="12"/>
                <w:szCs w:val="12"/>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as reported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22,116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19,581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1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on leased building the Company was previously deemed to</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 for accounting purposes</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operating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21,922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19,402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Ratios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combined ratio is a measure of underwriting performance and represents the relationship of incurred losses, loss adjustment expenses and other operating expenses to net earned premiums. Our combined ratio for the three months ended September 30, 2019 was 118.8%. A combined ratio of less than 100% indicates an underwriting profit, while a combined ratio greater than 100% reflects an underwriting loss. The combined ratio for the three months ended September 30, 2019 includes $57.0 million, or 26.7 percentage points, of net adverse reserve development on prior accident years, including $50.0 million of net adverse reserve development from the Excess and Surplus Lines segment, $1.0 million of net favorable reserve development from the Specialty Admitted Insurance segment, and $7.9 million of net adverse reserve development from the Casualty Reinsurance segment.</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combined ratio for the three months ended September 30, 2018 was 96.0%. The combined ratio for the three months ended September 30, 2018 includes $12.2 million, or 6.0 percentage points, of net adverse reserve development on prior accident years, including $10.4 million of net adverse reserve development from the Excess and Surplus Lines segment, $833,000 of net favorable reserve development from the Specialty Admitted Insurance segment, and $2.7 million of net adverse reserve development from the Casualty Reinsurance segment.</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of the Code effective January 1, 2018.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Ratios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expense ratio improved from 22.5% for the three months ended September 30, 2018 to 18.5% for the three months ended September 30, 2019. The improvement is due to a 16.4% increase in the net earned premiums of the Excess and Surplus Lines segment including in lines of business which carry relatively low expenses or that have meaningful ceding commissions. Our Excess and Surplus Lines segment has significant scale and produces a lower expense ratio than our other operating segments. The Excess and Surplus Lines segment is our largest segment and makes up 77.2% of consolidated net earned premiums for the three months ended September 30, 2019 compared to 69.1% for three months ended September 30, 2018. Gross fee income for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0"/>
        <w:spacing w:after="0" w:line="375" w:lineRule="auto"/>
        <w:rPr>
          <w:sz w:val="20"/>
          <w:szCs w:val="20"/>
          <w:color w:val="auto"/>
        </w:rPr>
      </w:pPr>
      <w:r>
        <w:rPr>
          <w:rFonts w:ascii="Times New Roman" w:cs="Times New Roman" w:eastAsia="Times New Roman" w:hAnsi="Times New Roman"/>
          <w:sz w:val="18"/>
          <w:szCs w:val="18"/>
          <w:color w:val="auto"/>
        </w:rPr>
        <w:t xml:space="preserve">the Company declined from $6.8 million for the three months ended September 30, 2018 to $6.1 million for the three months ended September 30, 2019. </w:t>
      </w:r>
      <w:r>
        <w:rPr>
          <w:rFonts w:ascii="Times New Roman" w:cs="Times New Roman" w:eastAsia="Times New Roman" w:hAnsi="Times New Roman"/>
          <w:sz w:val="18"/>
          <w:szCs w:val="18"/>
          <w:b w:val="1"/>
          <w:bCs w:val="1"/>
          <w:i w:val="1"/>
          <w:iCs w:val="1"/>
          <w:color w:val="auto"/>
        </w:rPr>
        <w:t>Nine Months Ended September 30, 2019 and 2018</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an underwriting loss of $23.4 million for the nine months ended September 30, 2019. This compares to an underwriting profit of $20.9 million for the same period in the prior year. Underwriting results for the nine months ended September 30, 2019 were negatively impacted by $60.3 million of net adverse reserve development on prior accident years, including $51.2 million of net adverse reserve development from the Excess and Surplus Lines segment that was primarily related to the 2016 and 2017 accident years for the commercial auto business.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results for the nine months ended September 30, 2019 and 2018 also include certain non-operating items that are significant to the Company. These items (on a pre-tax basis) include:</w:t>
      </w:r>
    </w:p>
    <w:p>
      <w:pPr>
        <w:spacing w:after="0" w:line="54"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and unrealized investment gains (losses) of $331,000 and $(407,000) for the nine months ended September 30, 2019 and 2018, respectively. See “— Investing Results" for more information on these realized and unrealized investment gains (losses).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expense of $1.2 million for the nine months ended September 30, 2018 relating to finance expenses in connection with a minority interest in a real estate partnership pursuant to which we were previously deemed an owner for accounting purposes. Effective with the Company's adoption of </w:t>
      </w:r>
      <w:r>
        <w:rPr>
          <w:rFonts w:ascii="Times New Roman" w:cs="Times New Roman" w:eastAsia="Times New Roman" w:hAnsi="Times New Roman"/>
          <w:sz w:val="18"/>
          <w:szCs w:val="18"/>
          <w:color w:val="231F20"/>
        </w:rPr>
        <w:t xml:space="preserve">ASU 2016-02, </w:t>
      </w:r>
      <w:r>
        <w:rPr>
          <w:rFonts w:ascii="Times New Roman" w:cs="Times New Roman" w:eastAsia="Times New Roman" w:hAnsi="Times New Roman"/>
          <w:sz w:val="18"/>
          <w:szCs w:val="18"/>
          <w:i w:val="1"/>
          <w:iCs w:val="1"/>
          <w:color w:val="231F20"/>
        </w:rPr>
        <w:t>Leases (Topic 842)</w:t>
      </w:r>
      <w:r>
        <w:rPr>
          <w:rFonts w:ascii="Times New Roman" w:cs="Times New Roman" w:eastAsia="Times New Roman" w:hAnsi="Times New Roman"/>
          <w:sz w:val="18"/>
          <w:szCs w:val="18"/>
          <w:color w:val="231F20"/>
        </w:rPr>
        <w:t xml:space="preserve"> on January 1, 2019, the Company is no longer deemed the </w:t>
      </w:r>
      <w:r>
        <w:rPr>
          <w:rFonts w:ascii="Times New Roman" w:cs="Times New Roman" w:eastAsia="Times New Roman" w:hAnsi="Times New Roman"/>
          <w:sz w:val="18"/>
          <w:szCs w:val="18"/>
          <w:color w:val="000000"/>
        </w:rPr>
        <w:t>owner for accounting purposes and there is no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comparable expense for the nine months ended September 30, 2019.</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income before taxes and net income reconcile to our adjusted net operating income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440" w:type="dxa"/>
            <w:vAlign w:val="bottom"/>
          </w:tcPr>
          <w:p>
            <w:pPr>
              <w:spacing w:after="0"/>
              <w:rPr>
                <w:sz w:val="12"/>
                <w:szCs w:val="12"/>
                <w:color w:val="auto"/>
              </w:rPr>
            </w:pPr>
          </w:p>
        </w:tc>
        <w:tc>
          <w:tcPr>
            <w:tcW w:w="84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17,868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52,198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on leased building the Company was previously deemed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 for accounting purposes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19,682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59,289</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53,540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Ratios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combined ratio for the nine months ended September 30, 2019 was 103.9%. The combined ratio for the nine months ended September 30, 2019 includes $60.3 million, or 10.0 percentage points, of net adverse reserve development on prior accident years, including $51.2 million of net adverse reserve development from the Excess and Surplus Lines segment, $4.3 million of net favorable reserve development from the Specialty Admitted Insurance segment, and $13.3 million of net adverse reserve development from the Casualty Reinsurance segment.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combined ratio for the nine months ended September 30, 2018 was 96.6%. The combined ratio for the nine months ended September 30, 2018 includes $11.8 million, or 1.9 percentage points, of net adverse reserve development on prior accident years, including $9.2 million of net adverse reserve development from the Excess and Surplus Lines segment, $2.3 million of net favorable reserve development from the Specialty Admitted Insurance segment, and $4.9 million of net adverse reserve development from the Casualty Reinsurance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Ratios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expense ratio improved from 23.5% for the nine months ended September 30, 2018 to 20.8% for the nine months ended September 30, 2019. The improvement is due to an 11.4% increase in the net earned premiums of the Excess and Surplus Lines segment including in lines of business which carry relatively low expenses or that have meaningful ceding commissions. Our Excess and Surplus Lines segment has significant scale and produces a lower expense ratio than our other operating segments. The Excess and Surplus Lines segment is our largest segment and makes up 75.9% of consolidated net earned premiums for the nine months ended September 30, 2019 compared to 66.9% for the nine months ended September 30, 2018. Gross fee income for the Company declined from $22.4 million for the nine months ended September 30, 2018 to $18.7 million for the nine months ended September 30, 2019.</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 in premium volume by component and business segment: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vMerge w:val="restart"/>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20" w:type="dxa"/>
            <w:vAlign w:val="bottom"/>
          </w:tcPr>
          <w:p>
            <w:pPr>
              <w:spacing w:after="0"/>
              <w:rPr>
                <w:sz w:val="13"/>
                <w:szCs w:val="13"/>
                <w:color w:val="auto"/>
              </w:rPr>
            </w:pPr>
          </w:p>
        </w:tc>
        <w:tc>
          <w:tcPr>
            <w:tcW w:w="250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4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4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40" w:type="dxa"/>
            <w:vAlign w:val="bottom"/>
          </w:tcPr>
          <w:p>
            <w:pPr>
              <w:jc w:val="center"/>
              <w:ind w:left="54"/>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241,045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157,237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53.3 %</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687,871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490,121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40.3 %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100,459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98,607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1.9 %</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292,884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283,108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Casualty Reinsurance</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46,724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93.7 %</w:t>
            </w:r>
          </w:p>
        </w:tc>
        <w:tc>
          <w:tcPr>
            <w:tcW w:w="4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114,810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98,234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388,228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279,969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38.7 %</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1,095,565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871,463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25.7 %</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171,715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135,141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27.1 %</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522,200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432,307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20.8 %</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4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43,625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42,327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24,278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54.8 %</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105,695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98,391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223,869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173,441</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29.1 %</w:t>
            </w:r>
          </w:p>
        </w:tc>
        <w:tc>
          <w:tcPr>
            <w:tcW w:w="4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671,520</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573,025</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17.2 %</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164,759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141,529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16.4 %</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457,352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410,627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11.4 %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13,898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39,688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41,504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Casualty Reinsurance</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34,373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49,263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(30.2)%</w:t>
            </w:r>
          </w:p>
        </w:tc>
        <w:tc>
          <w:tcPr>
            <w:tcW w:w="4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105,600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161,711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(34.7)%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213,374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204,690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602,640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613,842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written premiums for the Excess and Surplus Lines segment (which represents 62.8% of our consolidated gross written premiums in the nine months ended September 30, 2019) increased 53.3% and 40.3% over the corresponding three and nine month periods in the prior year. Excluding commercial auto policies, gross written premiums increased 72.1% and 51.0% over the corresponding three and nine month periods in the prior year. Policy submissions excluding commercial auto policies were 21.8% higher and 25.5% more policies were bound in the nine months ended September 30, 2019 than in the nine months ended September 30, 2018. Rates for the Excess and Surplus Lines segment were up 3.9% compared to the nine months ended September 30, 2018. The change in gross written premiums compared to the same periods in 2018 was notable in several divisions as shown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0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Auto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108,368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80,159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35.2%</w:t>
            </w:r>
          </w:p>
        </w:tc>
        <w:tc>
          <w:tcPr>
            <w:tcW w:w="6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307,913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238,498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29.1 %</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Casualty</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24,917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148.6%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89,897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41,302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117.7 %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Casualty</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32,062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17,098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78,708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41,764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88.5 %</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Manufacturers &amp; Contractors</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25,320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20,980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76,857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60,614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26.8 %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18,632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9,778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27,905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28.1 %</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Property</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83.3%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24,085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13,258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81.7 %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Allied Health</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26,933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(18.8)%</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divisions</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17,686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12,085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52,792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39,847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32.5 %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Excess and Surplus Lines gross written</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241,045</w:t>
            </w:r>
          </w:p>
        </w:tc>
        <w:tc>
          <w:tcPr>
            <w:tcW w:w="1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157,237</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53.3%</w:t>
            </w:r>
          </w:p>
        </w:tc>
        <w:tc>
          <w:tcPr>
            <w:tcW w:w="62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687,871</w:t>
            </w:r>
          </w:p>
        </w:tc>
        <w:tc>
          <w:tcPr>
            <w:tcW w:w="1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490,121</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40.3 %</w:t>
            </w:r>
          </w:p>
        </w:tc>
        <w:tc>
          <w:tcPr>
            <w:tcW w:w="0" w:type="dxa"/>
            <w:vAlign w:val="bottom"/>
          </w:tcPr>
          <w:p>
            <w:pPr>
              <w:spacing w:after="0"/>
              <w:rPr>
                <w:sz w:val="1"/>
                <w:szCs w:val="1"/>
                <w:color w:val="auto"/>
              </w:rPr>
            </w:pPr>
          </w:p>
        </w:tc>
      </w:tr>
      <w:tr>
        <w:trPr>
          <w:trHeight w:val="241"/>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premium</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620" w:type="dxa"/>
            <w:vAlign w:val="bottom"/>
            <w:tcBorders>
              <w:bottom w:val="single" w:sz="8" w:color="auto"/>
            </w:tcBorders>
            <w:gridSpan w:val="2"/>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The Commercial Auto division is focused on underwriting the hired and non-owned auto liability exposures for a variety of industry segments with a particular niche for insuring organizations that operate networks connecting independent contractors with customers. On October 8, 2019, the Company delivered a notice of early cancellation, effective December 31, 2019, of all insurance policies issued to its largest customer, Rasier LLC and its affiliates. All insurance policies related to this customer are included in the Company’s commercial auto line of business within its Excess and Surplus Lines segment, and a majority of the insurance policies were due to expire on February 29, 2020. See “Recent Development” for additional information regarding this termination.</w:t>
      </w:r>
    </w:p>
    <w:p>
      <w:pPr>
        <w:spacing w:after="0" w:line="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gross written premiums for the Specialty Admitted Insurance segment (which represents 26.7% of our consolidated gross written premiums for the nine months ended September 30, 2019)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4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Individual risk workers’ compensation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23.8%</w:t>
            </w:r>
          </w:p>
        </w:tc>
        <w:tc>
          <w:tcPr>
            <w:tcW w:w="0" w:type="dxa"/>
            <w:vAlign w:val="bottom"/>
          </w:tcPr>
          <w:p>
            <w:pPr>
              <w:spacing w:after="0"/>
              <w:rPr>
                <w:sz w:val="1"/>
                <w:szCs w:val="1"/>
                <w:color w:val="auto"/>
              </w:rPr>
            </w:pPr>
          </w:p>
        </w:tc>
      </w:tr>
      <w:tr>
        <w:trPr>
          <w:trHeight w:val="241"/>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premium</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15,618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13,848</w:t>
            </w: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48,599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39,243</w:t>
            </w: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Fronting and program premium</w:t>
            </w:r>
          </w:p>
        </w:tc>
        <w:tc>
          <w:tcPr>
            <w:tcW w:w="34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84,841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84,759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244,285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243,865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Admitted gross written premium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100,459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98,607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60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292,884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283,108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Individual risk workers’ compensation premium growth was driven by exposure growth from higher payrolls of our insureds in a strong economy and increased submission flow.</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fronting business saw growth in four new fronting relationships that generated $36.4 million and $86.0 million of gross written premium in the three and nine months ended September 30, 2019, respectively, compared to $17.0 million and $20.8 million for the three and nine months ended September 30, 2018, respectively. Our largest fronted relationship experienced a decline in production in 2019 producing $36.2 million and $113.9 million of gross written premium for the three and nine months ended September 30, 2019, respectively, (down from $50.2 million and $156.9 million for the three and nine months ended September 30, 2018) and representing 38.9% of the segment's gross written premium in the nine months ended September 30, 2019 down from 55.4% in the nine months ended September 30, 2018. Gross written premiums for terminated programs were $255,000 and $1.8 million in the three and nine months ended September 30, 2019, respectively, compared to $5.4 million and $24.7 million for the three and nine months ended September 30, 2018, respectively.</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Gross written premiums for the Casualty Reinsurance segment (which represents 10.5% of our consolidated gross written premiums in the first nine months of 2019) increased 93.7% and 16.9% from the corresponding three and nine month periods in the prior year. The increase in gross written premium in this segment was due to new business written, including $9.1 million of gross written premiums for the three and nine months ended September 30, 2019 related to a new retrocessional/fronting arrangement under which 100% of the premiums are ceded. The growth was also due to higher subject business and signed lines on treaties renewed, and increases in written premiums for prior year treaties.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w:t>
      </w:r>
    </w:p>
    <w:p>
      <w:pPr>
        <w:spacing w:after="0" w:line="12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ratio of net written premiums to gross written premiums is referred to as our net premium retention. Our net premium retention is summarized by segment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0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4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43"/>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43"/>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bl>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premium retention for the Excess and Surplus Lines segment decreased for the three and nine months ended September 30, 2019 as compared to the prior year periods due to growth in written premium in the Excess Casualty and Excess Property underwriting divisions, which have higher percentages of ceded premium than our other divisions, and due to the segment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ceding $26.3 million and $63.9 million of commercial auto written premium in the three and nine months ended September 30, 2019, respectively, compared to $699,000 and $3.1 million in the three and nine months ended September 30, 2018, respectively.</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net premium retention for the Specialty Admitted Insurance segment has been relatively stable for the three and nine months ended September 30, 2019 as compared to the respective periods in the prior year. The fronting business generally has much lower net premium retention than our workers’ compensation business. The net retention on the segment’s fronting business was 8.7% and 8.9% for the three and nine months ended September 30, 2019, respectively (9.2% and 9.9% for the three and nine months ended September 30, 2018, respectively), while the net retention on the workers’ compensation business was 46.1% and 45.0% for the three and nine months ended September 30, 2019 (45.2% and 46.6% for the three and nine months ended September 30, 2018, respectively).</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premium retention for the Casualty Reinsurance segment decreased for the three and nine months ended September 30, 2019 as compared to the prior year periods due to a new retrocessional treaty/fronting arrangement entered into during the three months ended September 30, 2019 under which 100% of the premiums are ceded. Ceded written premiums under the new treaty were $9.1 million in the three and nine months ended September 30,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Results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compares our combined ratios by segment: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400" w:type="dxa"/>
            <w:vAlign w:val="bottom"/>
            <w:gridSpan w:val="4"/>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440" w:type="dxa"/>
            <w:vAlign w:val="bottom"/>
          </w:tcPr>
          <w:p>
            <w:pPr>
              <w:spacing w:after="0"/>
              <w:rPr>
                <w:sz w:val="16"/>
                <w:szCs w:val="16"/>
                <w:color w:val="auto"/>
              </w:rPr>
            </w:pPr>
          </w:p>
        </w:tc>
        <w:tc>
          <w:tcPr>
            <w:tcW w:w="2000" w:type="dxa"/>
            <w:vAlign w:val="bottom"/>
            <w:tcBorders>
              <w:bottom w:val="single" w:sz="8" w:color="auto"/>
            </w:tcBorders>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87.3%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7"/>
        </w:trPr>
        <w:tc>
          <w:tcPr>
            <w:tcW w:w="5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96.0%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 and Surplus Lines Segment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for the Excess and Surplus Lines segment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3"/>
                <w:szCs w:val="13"/>
                <w:color w:val="auto"/>
              </w:rPr>
            </w:pPr>
          </w:p>
        </w:tc>
        <w:tc>
          <w:tcPr>
            <w:tcW w:w="244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241,045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157,237</w:t>
            </w: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i w:val="1"/>
                <w:iCs w:val="1"/>
                <w:color w:val="auto"/>
              </w:rPr>
              <w:t>53.3 %</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687,871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490,121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171,715</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135,141</w:t>
            </w:r>
          </w:p>
        </w:tc>
        <w:tc>
          <w:tcPr>
            <w:tcW w:w="1320" w:type="dxa"/>
            <w:vAlign w:val="bottom"/>
            <w:tcBorders>
              <w:bottom w:val="single" w:sz="8" w:color="CCEEFF"/>
            </w:tcBorders>
          </w:tcPr>
          <w:p>
            <w:pPr>
              <w:jc w:val="right"/>
              <w:ind w:right="76"/>
              <w:spacing w:after="0"/>
              <w:rPr>
                <w:sz w:val="20"/>
                <w:szCs w:val="20"/>
                <w:color w:val="auto"/>
              </w:rPr>
            </w:pPr>
            <w:r>
              <w:rPr>
                <w:rFonts w:ascii="Times New Roman" w:cs="Times New Roman" w:eastAsia="Times New Roman" w:hAnsi="Times New Roman"/>
                <w:sz w:val="18"/>
                <w:szCs w:val="18"/>
                <w:i w:val="1"/>
                <w:iCs w:val="1"/>
                <w:color w:val="auto"/>
              </w:rPr>
              <w:t>27.1 %</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522,200</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432,307</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20.8%</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164,759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141,529</w:t>
            </w: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i w:val="1"/>
                <w:iCs w:val="1"/>
                <w:color w:val="auto"/>
              </w:rPr>
              <w:t>16.4 %</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457,352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410,627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(176,154)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(111,292)</w:t>
            </w: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8"/>
                <w:szCs w:val="18"/>
                <w:i w:val="1"/>
                <w:iCs w:val="1"/>
                <w:color w:val="auto"/>
              </w:rPr>
              <w:t>58.3 %</w:t>
            </w:r>
          </w:p>
        </w:tc>
        <w:tc>
          <w:tcPr>
            <w:tcW w:w="48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(399,996)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(321,518)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(17,956)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(18,935)</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(5.2)%</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(57,795)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(56,391)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Underwriting (loss) profit </w:t>
            </w:r>
            <w:r>
              <w:rPr>
                <w:rFonts w:ascii="Times New Roman" w:cs="Times New Roman" w:eastAsia="Times New Roman" w:hAnsi="Times New Roman"/>
                <w:sz w:val="14"/>
                <w:szCs w:val="14"/>
                <w:i w:val="1"/>
                <w:iCs w:val="1"/>
                <w:color w:val="auto"/>
              </w:rPr>
              <w:t>(1), (2)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(29,351)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11,302</w:t>
            </w:r>
          </w:p>
        </w:tc>
        <w:tc>
          <w:tcPr>
            <w:tcW w:w="1320" w:type="dxa"/>
            <w:vAlign w:val="bottom"/>
          </w:tcPr>
          <w:p>
            <w:pPr>
              <w:jc w:val="right"/>
              <w:ind w:right="256"/>
              <w:spacing w:after="0"/>
              <w:rPr>
                <w:sz w:val="20"/>
                <w:szCs w:val="20"/>
                <w:color w:val="auto"/>
              </w:rPr>
            </w:pPr>
            <w:r>
              <w:rPr>
                <w:rFonts w:ascii="Arial" w:cs="Arial" w:eastAsia="Arial" w:hAnsi="Arial"/>
                <w:sz w:val="18"/>
                <w:szCs w:val="18"/>
                <w:i w:val="1"/>
                <w:iCs w:val="1"/>
                <w:color w:val="auto"/>
              </w:rPr>
              <w:t>‒</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32,718</w:t>
            </w:r>
          </w:p>
        </w:tc>
        <w:tc>
          <w:tcPr>
            <w:tcW w:w="1160" w:type="dxa"/>
            <w:vAlign w:val="bottom"/>
          </w:tcPr>
          <w:p>
            <w:pPr>
              <w:jc w:val="right"/>
              <w:ind w:right="9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Ratios:</w:t>
            </w:r>
          </w:p>
        </w:tc>
        <w:tc>
          <w:tcPr>
            <w:tcW w:w="24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2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106.9%</w:t>
            </w:r>
          </w:p>
        </w:tc>
        <w:tc>
          <w:tcPr>
            <w:tcW w:w="20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78.6%</w:t>
            </w:r>
          </w:p>
        </w:tc>
        <w:tc>
          <w:tcPr>
            <w:tcW w:w="21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87.5%</w:t>
            </w:r>
          </w:p>
        </w:tc>
        <w:tc>
          <w:tcPr>
            <w:tcW w:w="21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78.3%</w:t>
            </w:r>
          </w:p>
        </w:tc>
      </w:tr>
      <w:tr>
        <w:trPr>
          <w:trHeight w:val="27"/>
        </w:trPr>
        <w:tc>
          <w:tcPr>
            <w:tcW w:w="2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ratio</w:t>
            </w:r>
          </w:p>
        </w:tc>
        <w:tc>
          <w:tcPr>
            <w:tcW w:w="24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10.9%</w:t>
            </w:r>
          </w:p>
        </w:tc>
        <w:tc>
          <w:tcPr>
            <w:tcW w:w="206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13.4%</w:t>
            </w:r>
          </w:p>
        </w:tc>
        <w:tc>
          <w:tcPr>
            <w:tcW w:w="21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12.6%</w:t>
            </w:r>
          </w:p>
        </w:tc>
        <w:tc>
          <w:tcPr>
            <w:tcW w:w="218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2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117.8%</w:t>
            </w:r>
          </w:p>
        </w:tc>
        <w:tc>
          <w:tcPr>
            <w:tcW w:w="20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92.0%</w:t>
            </w:r>
          </w:p>
        </w:tc>
        <w:tc>
          <w:tcPr>
            <w:tcW w:w="21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100.1%</w:t>
            </w:r>
          </w:p>
        </w:tc>
        <w:tc>
          <w:tcPr>
            <w:tcW w:w="21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92.0%</w:t>
            </w:r>
          </w:p>
        </w:tc>
      </w:tr>
    </w:tbl>
    <w:p>
      <w:pPr>
        <w:spacing w:after="0" w:line="115" w:lineRule="exact"/>
        <w:rPr>
          <w:sz w:val="20"/>
          <w:szCs w:val="20"/>
          <w:color w:val="auto"/>
        </w:rPr>
      </w:pPr>
    </w:p>
    <w:p>
      <w:pPr>
        <w:ind w:left="660" w:right="200" w:hanging="328"/>
        <w:spacing w:after="0" w:line="262"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(Loss) Profit is a non-GAAP Measure. See “Reconciliation of Non-GAAP Measures” for a reconciliation to (loss) income before tax and for additional information.</w:t>
      </w:r>
    </w:p>
    <w:p>
      <w:pPr>
        <w:ind w:left="660" w:right="60" w:hanging="328"/>
        <w:spacing w:after="0" w:line="261"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results include gross fee income of $2.2 million and $7.1 million for the three and nine months ended September 30, 2019, respectively ($3.0 million and $11.5 million for the same periods in the prior year).</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loss ratio of 106.9% and 87.5% for the three and nine months ended September 30, 2019 includes $50.0 million and $51.2 million (30.4 and 11.2 percentage points), respectively of net adverse development in our loss estimates for prior accident years. The loss ratio of 78.6% and 78.3% for the three and nine months ended September 30, 2018 includes $10.4 million and $9.2 million (7.3 and 2.2 percentage points), respectively, of net adverse reserve development in our loss estimates for prior accident years. The net adverse development in all periods was primarily related to the 2016 and 2017 accident years for the commercial auto business.</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expense ratio for this segment decreased from 13.4% and 13.7% for the three and nine months ended September 30, 2018, respectively, to 10.9% and 12.6% for the three and nine months ended September 30, 2019, respectively, as the growth in</w:t>
      </w:r>
    </w:p>
    <w:p>
      <w:pPr>
        <w:sectPr>
          <w:pgSz w:w="11900" w:h="16838" w:orient="portrait"/>
          <w:cols w:equalWidth="0" w:num="1">
            <w:col w:w="11420"/>
          </w:cols>
          <w:pgMar w:left="240" w:top="121"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earned premium in the three and nine months ended September 30, 2019 exceeded the growth in underwriting expenses. Gross fee income contributed to a reduction in the expense ratio of 1.3 and 1.6 percentage points for the three and nine months ended September 30, 2019, respectively (2.1 and 2.8 percentage points for the same periods in the prior year).</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commercial auto business generally has a lower expense ratio and higher loss ratio than the other underwriting divisions in the segment. Commercial auto made up 50.6% and 53.1% of the segment’s net earned premiums for the three and nine months ended September 30, 2019, respectively (55.6% and 56.5% for the same periods in the prior year).</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items discussed above, the underwriting (loss) profit of the Excess and Surplus Lines segment was $(29.4) million and $(439,000) for the three and nine months ended September 30, 2019, respectively, compared to $11.3 million and $32.7 million for the three and nine months ended September 30, 2018,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Admitted Insurance Segment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for the Specialty Admitted Insurance segment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3"/>
                <w:szCs w:val="13"/>
                <w:color w:val="auto"/>
              </w:rPr>
            </w:pPr>
          </w:p>
        </w:tc>
        <w:tc>
          <w:tcPr>
            <w:tcW w:w="24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100,459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98,607</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1.9 %</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292,884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283,108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14,570</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14,022</w:t>
            </w:r>
          </w:p>
        </w:tc>
        <w:tc>
          <w:tcPr>
            <w:tcW w:w="1320" w:type="dxa"/>
            <w:vAlign w:val="bottom"/>
            <w:tcBorders>
              <w:bottom w:val="single" w:sz="8" w:color="CCEEFF"/>
            </w:tcBorders>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3.9 %</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43,625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42,327</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14,242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13,898</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2.5 %</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39,688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41,504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(9,481)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(8,246)</w:t>
            </w: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15.0 %</w:t>
            </w:r>
          </w:p>
        </w:tc>
        <w:tc>
          <w:tcPr>
            <w:tcW w:w="52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(25,085)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(25,283)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(3,883)</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1.1 %</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(10,845)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(11,841)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(8.4)%</w:t>
            </w:r>
          </w:p>
        </w:tc>
        <w:tc>
          <w:tcPr>
            <w:tcW w:w="0" w:type="dxa"/>
            <w:vAlign w:val="bottom"/>
          </w:tcPr>
          <w:p>
            <w:pPr>
              <w:spacing w:after="0"/>
              <w:rPr>
                <w:sz w:val="1"/>
                <w:szCs w:val="1"/>
                <w:color w:val="auto"/>
              </w:rPr>
            </w:pPr>
          </w:p>
        </w:tc>
      </w:tr>
      <w:tr>
        <w:trPr>
          <w:trHeight w:val="257"/>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Underwriting profit </w:t>
            </w:r>
            <w:r>
              <w:rPr>
                <w:rFonts w:ascii="Times New Roman" w:cs="Times New Roman" w:eastAsia="Times New Roman" w:hAnsi="Times New Roman"/>
                <w:sz w:val="14"/>
                <w:szCs w:val="14"/>
                <w:i w:val="1"/>
                <w:iCs w:val="1"/>
                <w:color w:val="auto"/>
              </w:rPr>
              <w:t>(1), (2)</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1,769</w:t>
            </w: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(52.7)%</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4,380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2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66.6%</w:t>
            </w:r>
          </w:p>
        </w:tc>
        <w:tc>
          <w:tcPr>
            <w:tcW w:w="21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59.3%</w:t>
            </w:r>
          </w:p>
        </w:tc>
        <w:tc>
          <w:tcPr>
            <w:tcW w:w="2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63.2%</w:t>
            </w:r>
          </w:p>
        </w:tc>
        <w:tc>
          <w:tcPr>
            <w:tcW w:w="22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60.9%</w:t>
            </w:r>
          </w:p>
        </w:tc>
      </w:tr>
      <w:tr>
        <w:trPr>
          <w:trHeight w:val="27"/>
        </w:trPr>
        <w:tc>
          <w:tcPr>
            <w:tcW w:w="2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ratio</w:t>
            </w:r>
          </w:p>
        </w:tc>
        <w:tc>
          <w:tcPr>
            <w:tcW w:w="23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27.5%</w:t>
            </w:r>
          </w:p>
        </w:tc>
        <w:tc>
          <w:tcPr>
            <w:tcW w:w="212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28.0%</w:t>
            </w:r>
          </w:p>
        </w:tc>
        <w:tc>
          <w:tcPr>
            <w:tcW w:w="21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27.3%</w:t>
            </w:r>
          </w:p>
        </w:tc>
        <w:tc>
          <w:tcPr>
            <w:tcW w:w="224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2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94.1%</w:t>
            </w:r>
          </w:p>
        </w:tc>
        <w:tc>
          <w:tcPr>
            <w:tcW w:w="21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87.3%</w:t>
            </w:r>
          </w:p>
        </w:tc>
        <w:tc>
          <w:tcPr>
            <w:tcW w:w="2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90.5%</w:t>
            </w:r>
          </w:p>
        </w:tc>
        <w:tc>
          <w:tcPr>
            <w:tcW w:w="22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89.4%</w:t>
            </w:r>
          </w:p>
        </w:tc>
      </w:tr>
    </w:tbl>
    <w:p>
      <w:pPr>
        <w:spacing w:after="0" w:line="115" w:lineRule="exact"/>
        <w:rPr>
          <w:sz w:val="20"/>
          <w:szCs w:val="20"/>
          <w:color w:val="auto"/>
        </w:rPr>
      </w:pPr>
    </w:p>
    <w:p>
      <w:pPr>
        <w:ind w:left="660" w:right="580" w:hanging="328"/>
        <w:spacing w:after="0" w:line="262" w:lineRule="auto"/>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is a non-GAAP Measure. See “Reconciliation of Non-GAAP Measures” for a reconciliation to income before tax and for additional information.</w:t>
      </w:r>
    </w:p>
    <w:p>
      <w:pPr>
        <w:ind w:left="660" w:right="880" w:hanging="328"/>
        <w:spacing w:after="0" w:line="261" w:lineRule="auto"/>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results include gross fee income of $4.0 million and $11.6 million for the three and nine months ended September 30, 2019, respectively ($3.8 million and $10.9 million for the same periods in the prior year).</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loss ratio of 66.6% and 63.2% for the three and nine months ended September 30, 2019 includes $1.0 million and $4.3 million (7.0 and 10.7 percentage points), respectively, of net favorable development in our loss estimates for prior accident years. The favorable reserve development in 2019 reflects the fact that actual loss emergence of the workers’ compensation book has been better than expected. The loss ratio of 59.3% and 60.9% for the three and nine months ended September 30, 2018 includes $833,000 and $2.3 million (6.0 and 5.6 percentage points), respectively, of net favorable reserve development in our loss estimates for prior accident years.</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expense ratio of the Specialty Admitted Insurance segment was 27.5% and 27.3% for the three and nine months ended September 30, 2019 compared to the prior year ratios of 28.0% and 28.5%, respectively. Gross fee income from the fronting business increased 3.7% and 6.4% for the three and nine months ended September 30, 2019 compared to the same periods in the prior year.</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items discussed above, the underwriting profit of the Specialty Admitted Insurance segment decreased 52.7% and 14.2% from $1.8 million and $4.4 million for the three and nine months ended September 30, 2018, respectively, to $837,000 and $3.8 million for the three and nine months ended September 30, 2019, respectively.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Casualty Reinsurance Segment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for the Casualty Reinsurance segment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3"/>
                <w:szCs w:val="13"/>
                <w:color w:val="auto"/>
              </w:rPr>
            </w:pPr>
          </w:p>
        </w:tc>
        <w:tc>
          <w:tcPr>
            <w:tcW w:w="24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46,724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24,125</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93.7 %</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114,810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98,234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37,584</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24,278</w:t>
            </w:r>
          </w:p>
        </w:tc>
        <w:tc>
          <w:tcPr>
            <w:tcW w:w="1320" w:type="dxa"/>
            <w:vAlign w:val="bottom"/>
            <w:tcBorders>
              <w:bottom w:val="single" w:sz="8" w:color="CCEEFF"/>
            </w:tcBorders>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54.8 %</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105,695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98,391</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34,373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49,263</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(30.2)%</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105,600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161,711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(34.7)%</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(28,449)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(30,849)</w:t>
            </w: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(7.8)%</w:t>
            </w:r>
          </w:p>
        </w:tc>
        <w:tc>
          <w:tcPr>
            <w:tcW w:w="52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(75,983)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(101,953)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(16,838)</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(39.4)%</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(33,678)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(54,709)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(38.4)%</w:t>
            </w:r>
          </w:p>
        </w:tc>
        <w:tc>
          <w:tcPr>
            <w:tcW w:w="0" w:type="dxa"/>
            <w:vAlign w:val="bottom"/>
          </w:tcPr>
          <w:p>
            <w:pPr>
              <w:spacing w:after="0"/>
              <w:rPr>
                <w:sz w:val="1"/>
                <w:szCs w:val="1"/>
                <w:color w:val="auto"/>
              </w:rPr>
            </w:pPr>
          </w:p>
        </w:tc>
      </w:tr>
      <w:tr>
        <w:trPr>
          <w:trHeight w:val="264"/>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Underwriting (loss) profit </w:t>
            </w:r>
            <w:r>
              <w:rPr>
                <w:rFonts w:ascii="Times New Roman" w:cs="Times New Roman" w:eastAsia="Times New Roman" w:hAnsi="Times New Roman"/>
                <w:sz w:val="14"/>
                <w:szCs w:val="14"/>
                <w:i w:val="1"/>
                <w:iCs w:val="1"/>
                <w:color w:val="auto"/>
              </w:rPr>
              <w:t>(1)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1,576</w:t>
            </w:r>
          </w:p>
        </w:tc>
        <w:tc>
          <w:tcPr>
            <w:tcW w:w="1320" w:type="dxa"/>
            <w:vAlign w:val="bottom"/>
          </w:tcPr>
          <w:p>
            <w:pPr>
              <w:jc w:val="right"/>
              <w:ind w:right="256"/>
              <w:spacing w:after="0"/>
              <w:rPr>
                <w:sz w:val="20"/>
                <w:szCs w:val="20"/>
                <w:color w:val="auto"/>
              </w:rPr>
            </w:pPr>
            <w:r>
              <w:rPr>
                <w:rFonts w:ascii="Arial" w:cs="Arial" w:eastAsia="Arial" w:hAnsi="Arial"/>
                <w:sz w:val="18"/>
                <w:szCs w:val="18"/>
                <w:i w:val="1"/>
                <w:iCs w:val="1"/>
                <w:color w:val="auto"/>
              </w:rPr>
              <w:t>‒</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5,049</w:t>
            </w:r>
          </w:p>
        </w:tc>
        <w:tc>
          <w:tcPr>
            <w:tcW w:w="1220" w:type="dxa"/>
            <w:vAlign w:val="bottom"/>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ratio</w:t>
            </w:r>
          </w:p>
        </w:tc>
        <w:tc>
          <w:tcPr>
            <w:tcW w:w="2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82.8%</w:t>
            </w:r>
          </w:p>
        </w:tc>
        <w:tc>
          <w:tcPr>
            <w:tcW w:w="20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62.6%</w:t>
            </w:r>
          </w:p>
        </w:tc>
        <w:tc>
          <w:tcPr>
            <w:tcW w:w="2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72.0%</w:t>
            </w:r>
          </w:p>
        </w:tc>
        <w:tc>
          <w:tcPr>
            <w:tcW w:w="22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63.0%</w:t>
            </w:r>
          </w:p>
        </w:tc>
      </w:tr>
      <w:tr>
        <w:trPr>
          <w:trHeight w:val="27"/>
        </w:trPr>
        <w:tc>
          <w:tcPr>
            <w:tcW w:w="2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ratio</w:t>
            </w:r>
          </w:p>
        </w:tc>
        <w:tc>
          <w:tcPr>
            <w:tcW w:w="24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29.7%</w:t>
            </w:r>
          </w:p>
        </w:tc>
        <w:tc>
          <w:tcPr>
            <w:tcW w:w="208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34.2%</w:t>
            </w:r>
          </w:p>
        </w:tc>
        <w:tc>
          <w:tcPr>
            <w:tcW w:w="21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31.8%</w:t>
            </w:r>
          </w:p>
        </w:tc>
        <w:tc>
          <w:tcPr>
            <w:tcW w:w="224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2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112.5%</w:t>
            </w:r>
          </w:p>
        </w:tc>
        <w:tc>
          <w:tcPr>
            <w:tcW w:w="20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96.8%</w:t>
            </w:r>
          </w:p>
        </w:tc>
        <w:tc>
          <w:tcPr>
            <w:tcW w:w="2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103.8%</w:t>
            </w:r>
          </w:p>
        </w:tc>
        <w:tc>
          <w:tcPr>
            <w:tcW w:w="22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96.9%</w:t>
            </w:r>
          </w:p>
        </w:tc>
      </w:tr>
    </w:tbl>
    <w:p>
      <w:pPr>
        <w:spacing w:after="0" w:line="115" w:lineRule="exact"/>
        <w:rPr>
          <w:sz w:val="20"/>
          <w:szCs w:val="20"/>
          <w:color w:val="auto"/>
        </w:rPr>
      </w:pPr>
    </w:p>
    <w:p>
      <w:pPr>
        <w:ind w:left="660" w:right="200" w:hanging="328"/>
        <w:spacing w:after="0" w:line="284" w:lineRule="auto"/>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(Loss) Profit is a non-GAAP Measure. See “Reconciliation of Non-GAAP Measures” for a reconciliation to (loss) income before tax and for additional information.</w:t>
      </w:r>
    </w:p>
    <w:p>
      <w:pPr>
        <w:spacing w:after="0" w:line="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loss ratio of 82.8% and 72.0% for the three and nine months ended September 30, 2019 includes $7.9 million and $13.3 million (23.1 and 12.6 percentage points), respectively, of net adverse development in our loss estimates for prior accident years. The loss ratio of 62.6% and 63.0% for the three and nine months ended September 30, 2018 includes $2.7 million and $4.9 million (5.4 and 3.0 percentage points), respectively, of net adverse reserve development in our loss estimates for prior accident years.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expense ratio of the Casualty Reinsurance segment declined to 29.7% and 31.8% for the three and nine months ended September 30, 2019, respectively, compared to the prior year ratios of 34.2% and 33.9%, respectively, principally due to the reduction in sliding scale commission expense as a result of the adverse reserve development in 2019.</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items discussed above, underwriting (loss) profit for the Casualty Reinsurance segment was $(4.3) million and $(4.1) million for the three and nine months ended September 30, 2019 compared to $1.6 million and $5.0 million for the three and nine months ended September 30,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 indicator of reserve strength that we monitor closely is the percentage of our gross and net loss reserves that are comprised of incurred but not reported (“IBNR”) reserves.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gross reserve for losses and loss adjustment expenses at September 30, 2019 was $1,941.3 million. Of this amount, 62.8% relates to amounts that are IBNR. This amount was 62.4% at December 31, 2018. The Company’s gross reserves for losses and loss adjustment expenses by segment are summarized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Gross Reserves at September 30, 2019</w:t>
            </w:r>
          </w:p>
        </w:tc>
        <w:tc>
          <w:tcPr>
            <w:tcW w:w="92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IBNR</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432,618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739,194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1,171,812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178,042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309,653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487,695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111,524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170,276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281,800</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722,184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1,219,123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1,941,307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2019, the amount of net reserves of $1,326.5 million that related to IBNR was 60.2%. This amount was 61.5% at December 31,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reserves for losses and loss adjustment expenses by segment are summarized as follows: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Net Reserves at September 30, 2019</w:t>
            </w:r>
          </w:p>
        </w:tc>
        <w:tc>
          <w:tcPr>
            <w:tcW w:w="9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IBNR</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381,754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576,382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958,136</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54,356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91,481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108,533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168,330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276,863</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527,412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799,068</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1,326,480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underwriting, acquisition, and insurance expenses of the Excess and Surplus Lines segment, the Specialty Admitted Insurance segment, and the Casualty Reinsurance segment discussed previously, other operating expenses also include the expenses of the Corporate and Other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operating expenses of the Corporate and Other segment were $7.3 million and $22.6 million for the three and nine months ended September 30, 2019, respectively, representing increases of 11.9% and 6.5% over the $6.5 million and $21.3 million of operating expenses in the comparable prior year periods. The year-over-year increase was largely driven by compensation costs, including share-based compensation expenses, associated with increases in headcount.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Results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investment income was $17.9 million and $54.8 million for the three and nine months ended September 30, 2019 compared to $16.4 million and $45.8 million for the same periods in the prior year. The change in our net investment income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8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8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5"/>
        </w:trPr>
        <w:tc>
          <w:tcPr>
            <w:tcW w:w="3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3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Renewable energy LLCs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386.9 %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2,070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21.3 %</w:t>
            </w:r>
          </w:p>
        </w:tc>
      </w:tr>
      <w:tr>
        <w:trPr>
          <w:trHeight w:val="270"/>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private investments</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1,402</w:t>
            </w:r>
          </w:p>
        </w:tc>
        <w:tc>
          <w:tcPr>
            <w:tcW w:w="1340" w:type="dxa"/>
            <w:vAlign w:val="bottom"/>
            <w:tcBorders>
              <w:bottom w:val="single" w:sz="8" w:color="CCEEFF"/>
            </w:tcBorders>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3,518</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invested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5,588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5.9 %</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net investment income</w:t>
            </w: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14,679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12.4 %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48,927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40,213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21.7 %</w:t>
            </w:r>
          </w:p>
        </w:tc>
      </w:tr>
      <w:tr>
        <w:trPr>
          <w:trHeight w:val="27"/>
        </w:trPr>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investment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16,410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54,844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45,801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19.7 %</w:t>
            </w:r>
          </w:p>
        </w:tc>
      </w:tr>
      <w:tr>
        <w:trPr>
          <w:trHeight w:val="20"/>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private investments generated income of $1.4 million and $5.9 million for the three and nine months ended September 30, 2019, respectively (compared to income of $1.7 million and $5.6 million in the respective prior year periods). Excluding private investments, our net investment income increased by 12.4% and 21.7% for the three and nine months ending September 30, 2019 over the same periods in the prior year. This increase in net investment income primarily reflects growth in our fixed income portfolio of bonds and bank loans. The average duration of our fixed maturity portfolio was 3.5 years at September 30, 2019.</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Major categories of the Company’s net investment income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80" w:type="dxa"/>
            <w:vAlign w:val="bottom"/>
            <w:gridSpan w:val="6"/>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10,229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24,513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13,265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3,932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invested assets</w:t>
            </w:r>
          </w:p>
        </w:tc>
        <w:tc>
          <w:tcPr>
            <w:tcW w:w="2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short-term investments,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investment income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18,875</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48,944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(997)</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17,878</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45,801</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investment returns: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4"/>
                <w:szCs w:val="24"/>
                <w:color w:val="auto"/>
              </w:rPr>
            </w:pPr>
          </w:p>
        </w:tc>
        <w:tc>
          <w:tcPr>
            <w:tcW w:w="2380" w:type="dxa"/>
            <w:vAlign w:val="bottom"/>
            <w:gridSpan w:val="6"/>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gross investment yield 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fixed maturity securities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Of our total cash and invested assets of $2,088.1 million at September 30, 2019, $256.3 million represents the cash and cash equivalents portion of the portfolio. The majority of the portfolio, or $1,377.3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$249.9 million of bank loan participations, $88.8 million of equity securities, $49.9 million of short-term investments, and $65.9 million of other invested assets.</w:t>
      </w:r>
    </w:p>
    <w:p>
      <w:pPr>
        <w:spacing w:after="0" w:line="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$249.9 million of bank loan participations in our investment portfolio are classified as held-for-investment and reported at amortized cost, net of any allowance for credit losses. Changes in this credit allowance are included in realized gains or losses. At September 30, 2019, there was a $5.9 million allowance for credit losses. These 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September 30, 2019 and December 31, 2018, the fair market value of these securities was $242.6 million and $250.7 million, respectively.</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the Company recognized net realized and unrealized investment gains of $331,000 ($2.4 million of realized and unrealized investment losses for the three months ended September 30, 2019) including $8.7 million of gains for the change in the fair value of equity securities, $7.7 million of realized losses for changes in the allowance for credit losses on impaired bank loans, $1.2 million of net realized investment losses on the sale of bank loan securities, and $809,000 of net realized investment gains on the sale of fixed maturity securities.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2018, the Company recognized net realized and unrealized investment losses of $407,000 ($467,000 of realized and unrealized investment gains for the three months ended September 30, 2018), including $695,000 of losses for the change in the fair value of equity securities, $851,000 of realized losses for changes in the allowance for credit losses on impaired bank loans, $1.5 million of net realized investment gains on the sale of bank loan securities (including an $807,000 realized gain on the repayment of the loan to the producer and supplier of power in Puerto Rico described below), and $306,000 of net realized losses on the sale of fixed maturities.</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its outside investment managers, the Company performs quarterly reviews of all securities within its investment portfolio to determine whether any impairment has occurred.</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Management concluded that five loans from four issuers in the Company's bank loan portfolio were impaired as of September 30, 2019. At September 30, 2019, the impaired loans had a carrying value of $6.4 million, unpaid principal of $12.3 million, and an allowance for credit losses of $5.9 million, $4.2 million of which related to two loans from one issuer who is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experiencing liquidity concerns resulting from revenue declines and poor growth prospects in its most profitable segment. Management concluded that none of the loans in the Company's bank loan portfolio were impaired at December 31, 2018.</w:t>
      </w:r>
    </w:p>
    <w:p>
      <w:pPr>
        <w:spacing w:after="0" w:line="54"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 xml:space="preserve">At December 31, 2017, the Company held a participation in a loan issued by a company that produces and supplies power to Puerto Rico through a power purchase agreement with Puerto Rico Electric Power Authority, a public corporation and governmental agency of the Commonwealth of Puerto Rico. Management concluded that the loan was impaired at December 31, 2017 and established an allowance for credit losses on the loan to reduce the loan's carrying value to zero at December 31, 2017. The unpaid principal on the loan was $807,000 at December 31, 2017. </w:t>
      </w:r>
      <w:r>
        <w:rPr>
          <w:rFonts w:ascii="Times New Roman" w:cs="Times New Roman" w:eastAsia="Times New Roman" w:hAnsi="Times New Roman"/>
          <w:sz w:val="18"/>
          <w:szCs w:val="18"/>
          <w:color w:val="231F20"/>
        </w:rPr>
        <w:t>In the first quarter of 2018, the full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outstanding principal on the loan was repaid and the Company recognized a realized gain of $807,000 on the repayment.</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September 30, 2019, 99.6% of the Company’s fixed maturity security portfolio was rated “BBB-” or better (“investment grade”) by Standard &amp; Poor’s or received an equivalent rating from another nationally recognized rating agency.</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Management does not intend to sell other available-for-sale securities in an unrealized loss position, and it is not “more likely than not” that the Company will be required to sell these other securities before a recovery in their value to their amortized cost basis occurs.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fixed maturity securities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8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8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available-for-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145,016</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154,387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147,160</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149,295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245,315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247,213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208,869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204,109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603,524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625,180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534,024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524,768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230,417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235,204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199,528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197,025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16.6%</w:t>
            </w:r>
          </w:p>
        </w:tc>
        <w:tc>
          <w:tcPr>
            <w:tcW w:w="0" w:type="dxa"/>
            <w:vAlign w:val="bottom"/>
          </w:tcPr>
          <w:p>
            <w:pPr>
              <w:spacing w:after="0"/>
              <w:rPr>
                <w:sz w:val="1"/>
                <w:szCs w:val="1"/>
                <w:color w:val="auto"/>
              </w:rPr>
            </w:pPr>
          </w:p>
        </w:tc>
      </w:tr>
      <w:tr>
        <w:trPr>
          <w:trHeight w:val="225"/>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 and obligations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9.1%</w:t>
            </w: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guaranteed by the U.S. government</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111,834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113,332</w:t>
            </w: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107,803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107,193</w:t>
            </w: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0" w:type="dxa"/>
            <w:vAlign w:val="bottom"/>
          </w:tcPr>
          <w:p>
            <w:pPr>
              <w:spacing w:after="0"/>
              <w:rPr>
                <w:sz w:val="1"/>
                <w:szCs w:val="1"/>
                <w:color w:val="auto"/>
              </w:rPr>
            </w:pPr>
          </w:p>
        </w:tc>
      </w:tr>
      <w:tr>
        <w:trPr>
          <w:trHeight w:val="205"/>
        </w:trPr>
        <w:tc>
          <w:tcPr>
            <w:tcW w:w="324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1,338,131</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1,377,323</w:t>
            </w:r>
          </w:p>
        </w:tc>
        <w:tc>
          <w:tcPr>
            <w:tcW w:w="100" w:type="dxa"/>
            <w:vAlign w:val="bottom"/>
          </w:tcPr>
          <w:p>
            <w:pPr>
              <w:spacing w:after="0"/>
              <w:rPr>
                <w:sz w:val="17"/>
                <w:szCs w:val="17"/>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100.0%</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1,199,409</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1,184,202</w:t>
            </w:r>
          </w:p>
        </w:tc>
        <w:tc>
          <w:tcPr>
            <w:tcW w:w="100" w:type="dxa"/>
            <w:vAlign w:val="bottom"/>
          </w:tcPr>
          <w:p>
            <w:pPr>
              <w:spacing w:after="0"/>
              <w:rPr>
                <w:sz w:val="17"/>
                <w:szCs w:val="17"/>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100.0%</w:t>
            </w:r>
          </w:p>
        </w:tc>
        <w:tc>
          <w:tcPr>
            <w:tcW w:w="0" w:type="dxa"/>
            <w:vAlign w:val="bottom"/>
          </w:tcPr>
          <w:p>
            <w:pPr>
              <w:spacing w:after="0"/>
              <w:rPr>
                <w:sz w:val="1"/>
                <w:szCs w:val="1"/>
                <w:color w:val="auto"/>
              </w:rPr>
            </w:pPr>
          </w:p>
        </w:tc>
      </w:tr>
      <w:tr>
        <w:trPr>
          <w:trHeight w:val="24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composition of the Company’s portfolio of available-for-sale fixed maturity securities by rating as of </w:t>
      </w:r>
      <w:r>
        <w:rPr>
          <w:rFonts w:ascii="Times New Roman" w:cs="Times New Roman" w:eastAsia="Times New Roman" w:hAnsi="Times New Roman"/>
          <w:sz w:val="18"/>
          <w:szCs w:val="18"/>
          <w:color w:val="231F20"/>
        </w:rPr>
        <w:t>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2019</w:t>
      </w:r>
      <w:r>
        <w:rPr>
          <w:rFonts w:ascii="Times New Roman" w:cs="Times New Roman" w:eastAsia="Times New Roman" w:hAnsi="Times New Roman"/>
          <w:sz w:val="18"/>
          <w:szCs w:val="18"/>
          <w:color w:val="000000"/>
        </w:rPr>
        <w:t>:</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Standard &amp; Poor’s or Equivalent Designation</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55"/>
        </w:trPr>
        <w:tc>
          <w:tcPr>
            <w:tcW w:w="8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231,479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8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528,133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475,288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43"/>
        </w:trPr>
        <w:tc>
          <w:tcPr>
            <w:tcW w:w="8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137,094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Below BB and unrated</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5,329</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7"/>
        </w:trPr>
        <w:tc>
          <w:tcPr>
            <w:tcW w:w="8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1,377,323</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At September 30, 2019, our portfolio of fixed maturity securities contained corporate fixed maturity securities (available-for-sale) with a fair value of $625.2 million. A summary of these securities by industry segment is shown below as of </w:t>
      </w:r>
      <w:r>
        <w:rPr>
          <w:rFonts w:ascii="Times New Roman" w:cs="Times New Roman" w:eastAsia="Times New Roman" w:hAnsi="Times New Roman"/>
          <w:sz w:val="18"/>
          <w:szCs w:val="18"/>
          <w:color w:val="231F20"/>
        </w:rPr>
        <w:t>September 30, 2019</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55"/>
        </w:trPr>
        <w:tc>
          <w:tcPr>
            <w:tcW w:w="8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Industrials and Other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143,049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43"/>
        </w:trPr>
        <w:tc>
          <w:tcPr>
            <w:tcW w:w="8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171,630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Discretionary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88,571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8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Care</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88,036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Staples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67,123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8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Utilities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66,771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625,180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Corporate fixed maturity securities (both available-for-sale and trading) include publicly traded securities and privately placed bonds as shown below as of </w:t>
      </w:r>
      <w:r>
        <w:rPr>
          <w:rFonts w:ascii="Times New Roman" w:cs="Times New Roman" w:eastAsia="Times New Roman" w:hAnsi="Times New Roman"/>
          <w:sz w:val="18"/>
          <w:szCs w:val="18"/>
          <w:color w:val="231F20"/>
        </w:rPr>
        <w:t>September 30, 2019</w:t>
      </w:r>
      <w:r>
        <w:rPr>
          <w:rFonts w:ascii="Times New Roman" w:cs="Times New Roman" w:eastAsia="Times New Roman" w:hAnsi="Times New Roman"/>
          <w:sz w:val="18"/>
          <w:szCs w:val="18"/>
          <w:color w:val="auto"/>
        </w:rPr>
        <w: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Public/Private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55"/>
        </w:trPr>
        <w:tc>
          <w:tcPr>
            <w:tcW w:w="8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Publicly traded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560,436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43"/>
        </w:trPr>
        <w:tc>
          <w:tcPr>
            <w:tcW w:w="8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Privately placed</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64,744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625,180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320" w:type="dxa"/>
            <w:vAlign w:val="bottom"/>
            <w:tcBorders>
              <w:bottom w:val="single" w:sz="8" w:color="auto"/>
            </w:tcBorders>
          </w:tcPr>
          <w:p>
            <w:pPr>
              <w:spacing w:after="0"/>
              <w:rPr>
                <w:sz w:val="16"/>
                <w:szCs w:val="16"/>
                <w:color w:val="auto"/>
              </w:rPr>
            </w:pPr>
          </w:p>
        </w:tc>
      </w:tr>
      <w:tr>
        <w:trPr>
          <w:trHeight w:val="149"/>
        </w:trPr>
        <w:tc>
          <w:tcPr>
            <w:tcW w:w="7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320" w:type="dxa"/>
            <w:vAlign w:val="bottom"/>
          </w:tcPr>
          <w:p>
            <w:pPr>
              <w:jc w:val="right"/>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 Value</w:t>
            </w:r>
          </w:p>
        </w:tc>
      </w:tr>
      <w:tr>
        <w:trPr>
          <w:trHeight w:val="196"/>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20" w:type="dxa"/>
            <w:vAlign w:val="bottom"/>
          </w:tcPr>
          <w:p>
            <w:pPr>
              <w:spacing w:after="0"/>
              <w:rPr>
                <w:sz w:val="17"/>
                <w:szCs w:val="17"/>
                <w:color w:val="auto"/>
              </w:rPr>
            </w:pPr>
          </w:p>
        </w:tc>
      </w:tr>
      <w:tr>
        <w:trPr>
          <w:trHeight w:val="255"/>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76,678</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77,005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459,889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470,945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34.2%</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205,048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214,952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15.6%</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129,997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9.4%</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245,315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247,213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17.9%</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230,417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235,204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17.2%</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r>
      <w:tr>
        <w:trPr>
          <w:trHeight w:val="27"/>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1,338,131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1,377,323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840" w:firstLine="351"/>
        <w:spacing w:after="0" w:line="375" w:lineRule="auto"/>
        <w:rPr>
          <w:sz w:val="20"/>
          <w:szCs w:val="20"/>
          <w:color w:val="auto"/>
        </w:rPr>
      </w:pPr>
      <w:r>
        <w:rPr>
          <w:rFonts w:ascii="Times New Roman" w:cs="Times New Roman" w:eastAsia="Times New Roman" w:hAnsi="Times New Roman"/>
          <w:sz w:val="18"/>
          <w:szCs w:val="18"/>
          <w:color w:val="auto"/>
        </w:rPr>
        <w:t xml:space="preserve">At September 30, 2019, the Company had no investments in securitizations of alternative-A mortgages or sub-prime mortgages. </w:t>
      </w:r>
      <w:r>
        <w:rPr>
          <w:rFonts w:ascii="Times New Roman" w:cs="Times New Roman" w:eastAsia="Times New Roman" w:hAnsi="Times New Roman"/>
          <w:sz w:val="18"/>
          <w:szCs w:val="18"/>
          <w:b w:val="1"/>
          <w:bCs w:val="1"/>
          <w:i w:val="1"/>
          <w:iCs w:val="1"/>
          <w:color w:val="auto"/>
        </w:rPr>
        <w:t>Interest Expense</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was $2.6 million and $3.0 million for the three months ended September 30, 2019 and 2018, respectively ($8.1 million and $8.5 million for the respective nine month periods). See “—Liquidity and Capital Resources—Sources and Uses of Funds” for more information regarding our senior bank debt facilities and trust preferred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$149,000 and $447,000 of amortization of intangible assets for each of the three and nine months ended September 30, 2019 and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Our effective tax rate fluctuates from period to period based on the relative mix of income reported by country and the respective tax rates imposed by each tax jurisdiction. For the nine months ended September 30, 2019 and 2018, our U.S. federal income tax expense was 22.4% and 9.6% of our income before taxes, respectively. The effective tax rate for the nine months ended September 30, 2019 was elevated due to the significant adverse development in the 2016 and 2017 accident years for the commercial auto business, and the related impact on the mix of income reported by country. For U.S.-sourced income, the Company’s U.S. federal income tax expense differs from the amounts computed by applying the federal statutory income tax rate to income before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taxes due primarily to interest income on tax-advantaged state and municipal securities, dividends received income, and excess tax benefits on share based compensation.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organized as a Bermuda holding company with our operations conducted by our wholly-owned subsidiaries. Accordingly, our holding company may receive cash through loans from banks, issuance of common shares, borrowings on our credit facilities,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the reduction of statutory surplus to inadequate levels and could refuse to permit the payment of dividends calculated under any applicable formula. The maximum amount of dividends available to the U.S. holding company from our U.S. insurance subsidiaries during 2019 without regulatory approval is $24.2 million.</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The maximum combined amount of dividends and return of capital available to us from our Bermuda insurers in 2019 is calculated to be approximately $109.8 million. However, any dividend payment is contingent upon continued compliance with Bermuda regulatory requirements, including but not limited to the enhanced solvency requirement calculations.</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2019, the Bermuda holding company had $971,000 of cash and cash equivalents. The U.S. holding company had $55.5 million of cash and invested assets, comprised of cash and cash equivalents of $7.4 million and other invested assets of $48.1 million, which are not subject to regulatory restrictions. Additionally, our U.K. intermediate holding company had no invested assets and cash of less than ten thousand dollars at September 30, 2019.</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written premium to equity ratio (defined as the ratio of net written premiums for the previous twelve months to shareholders' equity) is reviewed by management as well as our rating agency as a measure of leverage and efficiency of deployed capital. For September 30, 2019 and 2018, our net written premium (trailing twelve months) to equity ratio was 1.1 to 1.0 and 1.0 to 1.0,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 senior revolving credit facility (as amended or amended and restated, the “2013 Facility”). The 2013 Facility is comprised of the following at September 30, 2019:</w:t>
      </w:r>
    </w:p>
    <w:p>
      <w:pPr>
        <w:spacing w:after="0" w:line="54" w:lineRule="exact"/>
        <w:rPr>
          <w:sz w:val="20"/>
          <w:szCs w:val="20"/>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$102.5 million secured revolving facility used by JRG Re to issue letters of credit for the benefit of third-party reinsureds. This portion of our credit facility is secured by our investment securities. At September 30, 2019, the Company had $64.1 million of letters of credit issued under the secured facility.</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$112.5 million unsecured revolving facility to meet the working capital needs of the Company. All unpaid principal on the revolver is due at maturity. Interest accrues quarterly and is payable in arrears at 3-month LIBOR plus a margin which is currently 1.5% and is subject to change according to terms in the credit agreement. At September 30, 2019, the Company had a drawn balance of $73.3 million outstanding on the unsecured revolver.</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2013 Facility has been amended from time to time since its inception in 2013. On December 7, 2016, the Company entered into an Amended and Restated Credit Agreement for the 2013 Facility which, among other things, extended the maturity date of the 2013 Facility until December 7, 2021 and modified other terms including reducing the rate of interest and reducing the number of financial covenants. On June 8, 2017, the Company entered into a First Amendment to the 2013 Facility, which among other things, modified the financial covenants and increased the amount of additional debt the Company may incur under new financings, subject to compliance with certain conditions.</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2013 Facility contains certain financial and other covenants (including minimum financial strength rating, minimum shareholders’ equity levels, and maximum ratios of total debt outstanding to total capitalization) with which the Company is in compliance at September 30, 2019.</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2, 2017, the Company, and its wholly-owned subsidiary, JRG Re, together as borrowers, entered into a credit agreement (the "2017 Facility") that provides the Company with a revolving line of credit of up to $100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September 30, 2019. The loans and letters of credit made or issued under the revolving line of credit of the 2017 Facility may be used to finance the borrowers' general corporate purposes. At September 30, 2019, unsecured loans of $10.0 million and secured letters of credit totaling $5.3 million were outstanding on the 2017 Facility.</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September 30, 2019, and which, among other things, restrict our ability to assume senior indebtedness secured by our U.S. holding company’s common stock or its subsidiaries’ capital stock or to issue shares of its subsidiaries’ capital stock.</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 outstanding at September 30, 2019 (including the Company’s repurchases of a portion of these trust preferred securities):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Franklin</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Holdings II</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(Bermuda)</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 Trust</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 Trust</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 Trust</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 Trust</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 Trust</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II</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III</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IV</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 date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26,</w:t>
            </w:r>
          </w:p>
        </w:tc>
        <w:tc>
          <w:tcPr>
            <w:tcW w:w="16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15,</w:t>
            </w:r>
          </w:p>
        </w:tc>
        <w:tc>
          <w:tcPr>
            <w:tcW w:w="16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10,</w:t>
            </w: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15, 2004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11, 2007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amount of trust preferred securities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amount of junior subordinated debt</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$7,217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$15,464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$20,619</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$55,670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$30,928</w:t>
            </w:r>
          </w:p>
        </w:tc>
        <w:tc>
          <w:tcPr>
            <w:tcW w:w="0" w:type="dxa"/>
            <w:vAlign w:val="bottom"/>
          </w:tcPr>
          <w:p>
            <w:pPr>
              <w:spacing w:after="0"/>
              <w:rPr>
                <w:sz w:val="1"/>
                <w:szCs w:val="1"/>
                <w:color w:val="auto"/>
              </w:rPr>
            </w:pP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Carrying amount of junior subordinated debt</w:t>
            </w: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repurchases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$7,217</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$15,464</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$20,619</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$44,827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Maturity date of junior subordinated debt,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15,</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15,</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15,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w:t>
            </w: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unless accelerated earlier</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$464</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$619</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per annum</w:t>
            </w:r>
          </w:p>
        </w:tc>
        <w:tc>
          <w:tcPr>
            <w:tcW w:w="15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w:t>
            </w:r>
          </w:p>
        </w:tc>
        <w:tc>
          <w:tcPr>
            <w:tcW w:w="1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LIBOR plus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w:t>
            </w: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LIBOR plus 4.0%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LIBOR plus 3.0%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LIBOR plus 3.1%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LIBOR plus 4.0%</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junior subordinated debt contains certain covenants with which we are in compliance as of September 30, 2019.</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2019 and December 31, 2018, the ratio of total debt outstanding, including both senior debt and junior subordinated debt, to total capitalization (defined as total debt plus total stockholders’ equity) was 20.8% and 23.9%, respectively. Having debt as part of our capital structure allows us to generate a higher return on equity and greater book value per share results than we could by using equity capital alone.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Reinsurance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percentage of premiums. For the three months ended September 30, 2019 and 2018, our net premium retention was 57.7% and 62.0%, respectively (61.3% and 65.8% for the nine month periods,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Excess and Surplus Lines segment’s net retention after reinsurance as of September 30, 2019:</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72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Company Retention</w:t>
            </w:r>
          </w:p>
        </w:tc>
      </w:tr>
      <w:tr>
        <w:trPr>
          <w:trHeight w:val="242"/>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25"/>
        </w:trPr>
        <w:tc>
          <w:tcPr>
            <w:tcW w:w="2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Primary Specialty Casualty,</w:t>
            </w:r>
          </w:p>
        </w:tc>
        <w:tc>
          <w:tcPr>
            <w:tcW w:w="91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including Professional</w:t>
            </w:r>
          </w:p>
        </w:tc>
      </w:tr>
      <w:tr>
        <w:trPr>
          <w:trHeight w:val="241"/>
        </w:trPr>
        <w:tc>
          <w:tcPr>
            <w:tcW w:w="2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Liability</w:t>
            </w:r>
          </w:p>
        </w:tc>
        <w:tc>
          <w:tcPr>
            <w:tcW w:w="1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Up to $1.0 million per occurrence, subject to a $1.0 million aggregate deductible. </w:t>
            </w:r>
            <w:r>
              <w:rPr>
                <w:rFonts w:ascii="Times New Roman" w:cs="Times New Roman" w:eastAsia="Times New Roman" w:hAnsi="Times New Roman"/>
                <w:sz w:val="14"/>
                <w:szCs w:val="14"/>
                <w:i w:val="1"/>
                <w:iCs w:val="1"/>
                <w:color w:val="auto"/>
              </w:rPr>
              <w:t>(1)</w:t>
            </w:r>
          </w:p>
        </w:tc>
      </w:tr>
      <w:tr>
        <w:trPr>
          <w:trHeight w:val="243"/>
        </w:trPr>
        <w:tc>
          <w:tcPr>
            <w:tcW w:w="2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Primary 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Up to $2.0 million per occurrence. </w:t>
            </w:r>
            <w:r>
              <w:rPr>
                <w:rFonts w:ascii="Times New Roman" w:cs="Times New Roman" w:eastAsia="Times New Roman" w:hAnsi="Times New Roman"/>
                <w:sz w:val="14"/>
                <w:szCs w:val="14"/>
                <w:i w:val="1"/>
                <w:iCs w:val="1"/>
                <w:color w:val="auto"/>
              </w:rPr>
              <w:t>(2)</w:t>
            </w:r>
          </w:p>
        </w:tc>
      </w:tr>
      <w:tr>
        <w:trPr>
          <w:trHeight w:val="27"/>
        </w:trPr>
        <w:tc>
          <w:tcPr>
            <w:tcW w:w="2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Excess Casualty</w:t>
            </w:r>
          </w:p>
        </w:tc>
        <w:tc>
          <w:tcPr>
            <w:tcW w:w="1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Up to $1.0 million per occurrence. </w:t>
            </w:r>
            <w:r>
              <w:rPr>
                <w:rFonts w:ascii="Times New Roman" w:cs="Times New Roman" w:eastAsia="Times New Roman" w:hAnsi="Times New Roman"/>
                <w:sz w:val="14"/>
                <w:szCs w:val="14"/>
                <w:i w:val="1"/>
                <w:iCs w:val="1"/>
                <w:color w:val="auto"/>
              </w:rPr>
              <w:t>(3)</w:t>
            </w:r>
          </w:p>
        </w:tc>
      </w:tr>
      <w:tr>
        <w:trPr>
          <w:trHeight w:val="243"/>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Up to $5.0 million per event. </w:t>
            </w:r>
            <w:r>
              <w:rPr>
                <w:rFonts w:ascii="Times New Roman" w:cs="Times New Roman" w:eastAsia="Times New Roman" w:hAnsi="Times New Roman"/>
                <w:sz w:val="14"/>
                <w:szCs w:val="14"/>
                <w:i w:val="1"/>
                <w:iCs w:val="1"/>
                <w:color w:val="auto"/>
              </w:rPr>
              <w:t>(4)</w:t>
            </w:r>
          </w:p>
        </w:tc>
      </w:tr>
    </w:tbl>
    <w:p>
      <w:pPr>
        <w:spacing w:after="0" w:line="11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Except for Life Sciences quota share carve out, which is up to $2.0 million per occurrence</w:t>
      </w:r>
    </w:p>
    <w:p>
      <w:pPr>
        <w:spacing w:after="0" w:line="63"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exposure to any one claim is generally $1.0 million.</w:t>
      </w:r>
    </w:p>
    <w:p>
      <w:pPr>
        <w:spacing w:after="0" w:line="63"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policies with an occurrence limit up to $10.0 million, the excess casualty treaty is set such that our retention is no more than $1.0 million.</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property catastrophe reinsurance treaty has a limit of $40.0 million with one reinstatement.</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upon the modeling of our Excess and Surplus Lines and Specialty Admitted segments, a $45.0 million gross catastrophe loss would exceed our 1 in 1,000 year PML. In the event of a $45.0 million gross property catastrophe loss to these segments, we estimate our pre-tax cost at approximately $11.6 million, including reinstatement premiums and net retentions. In addition to this retention, we would retain any losses in excess of our reinsurance coverage limits.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March 1, 2019, our largest Commercial Auto ride share account is subject to an auto liability quota share reinsurance contract that contains a $10.0 million occurrence cap and an annual aggregate of 200% of subject premium.</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Specialty Admitted Insurance segment’s ceded reinsurance in place as of September 30,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460" w:type="dxa"/>
            <w:vAlign w:val="bottom"/>
          </w:tcPr>
          <w:p>
            <w:pPr>
              <w:spacing w:after="0"/>
              <w:rPr>
                <w:sz w:val="16"/>
                <w:szCs w:val="16"/>
                <w:color w:val="auto"/>
              </w:rPr>
            </w:pPr>
          </w:p>
        </w:tc>
        <w:tc>
          <w:tcPr>
            <w:tcW w:w="7520" w:type="dxa"/>
            <w:vAlign w:val="bottom"/>
            <w:tcBorders>
              <w:bottom w:val="single" w:sz="8" w:color="auto"/>
            </w:tcBorders>
          </w:tcPr>
          <w:p>
            <w:pPr>
              <w:ind w:left="3460"/>
              <w:spacing w:after="0"/>
              <w:rPr>
                <w:sz w:val="20"/>
                <w:szCs w:val="20"/>
                <w:color w:val="auto"/>
              </w:rPr>
            </w:pPr>
            <w:r>
              <w:rPr>
                <w:rFonts w:ascii="Times New Roman" w:cs="Times New Roman" w:eastAsia="Times New Roman" w:hAnsi="Times New Roman"/>
                <w:sz w:val="14"/>
                <w:szCs w:val="14"/>
                <w:b w:val="1"/>
                <w:bCs w:val="1"/>
                <w:color w:val="auto"/>
              </w:rPr>
              <w:t>Coverage</w:t>
            </w:r>
          </w:p>
        </w:tc>
      </w:tr>
      <w:tr>
        <w:trPr>
          <w:trHeight w:val="242"/>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Casualty</w:t>
            </w:r>
          </w:p>
        </w:tc>
        <w:tc>
          <w:tcPr>
            <w:tcW w:w="75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5"/>
        </w:trPr>
        <w:tc>
          <w:tcPr>
            <w:tcW w:w="3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Workers’ Compensation</w:t>
            </w:r>
          </w:p>
        </w:tc>
        <w:tc>
          <w:tcPr>
            <w:tcW w:w="75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Quota share coverage for 50% of the first $600,000.</w:t>
            </w:r>
            <w:r>
              <w:rPr>
                <w:rFonts w:ascii="Times New Roman" w:cs="Times New Roman" w:eastAsia="Times New Roman" w:hAnsi="Times New Roman"/>
                <w:sz w:val="25"/>
                <w:szCs w:val="25"/>
                <w:color w:val="auto"/>
                <w:vertAlign w:val="superscript"/>
              </w:rPr>
              <w:t>(1)(2)</w:t>
            </w:r>
          </w:p>
        </w:tc>
      </w:tr>
      <w:tr>
        <w:trPr>
          <w:trHeight w:val="261"/>
        </w:trPr>
        <w:tc>
          <w:tcPr>
            <w:tcW w:w="34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52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Excess of loss coverage for $29.4 million in excess of $600,000.</w:t>
            </w:r>
            <w:r>
              <w:rPr>
                <w:rFonts w:ascii="Times New Roman" w:cs="Times New Roman" w:eastAsia="Times New Roman" w:hAnsi="Times New Roman"/>
                <w:sz w:val="25"/>
                <w:szCs w:val="25"/>
                <w:color w:val="auto"/>
                <w:vertAlign w:val="superscript"/>
              </w:rPr>
              <w:t>(1)(2)</w:t>
            </w:r>
          </w:p>
        </w:tc>
      </w:tr>
      <w:tr>
        <w:trPr>
          <w:trHeight w:val="225"/>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Auto Programs</w:t>
            </w: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Quota share coverage for 85-90% of limits up to $1.5 million liability and $5.0 million physical</w:t>
            </w:r>
          </w:p>
        </w:tc>
      </w:tr>
      <w:tr>
        <w:trPr>
          <w:trHeight w:val="234"/>
        </w:trPr>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damage per occurrence.</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5"/>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Liability &amp; Professional Liability –</w:t>
            </w: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Quota share coverage for 87.5% - 100% of limits up to $2.0 million per occurrence.</w:t>
            </w:r>
          </w:p>
        </w:tc>
      </w:tr>
      <w:tr>
        <w:trPr>
          <w:trHeight w:val="241"/>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Programs</w:t>
            </w:r>
          </w:p>
        </w:tc>
        <w:tc>
          <w:tcPr>
            <w:tcW w:w="7520" w:type="dxa"/>
            <w:vAlign w:val="bottom"/>
            <w:tcBorders>
              <w:bottom w:val="single" w:sz="8" w:color="CCEEFF"/>
            </w:tcBorders>
            <w:shd w:val="clear" w:color="auto" w:fill="CCEEFF"/>
          </w:tcPr>
          <w:p>
            <w:pPr>
              <w:spacing w:after="0"/>
              <w:rPr>
                <w:sz w:val="20"/>
                <w:szCs w:val="20"/>
                <w:color w:val="auto"/>
              </w:rPr>
            </w:pPr>
          </w:p>
        </w:tc>
      </w:tr>
      <w:tr>
        <w:trPr>
          <w:trHeight w:val="225"/>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Umbrella and Excess Casualty - Programs</w:t>
            </w: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Quota share coverage for 92.5%-100% of limits up to $10.0 million per occurrence, and excess of loss</w:t>
            </w:r>
          </w:p>
        </w:tc>
      </w:tr>
      <w:tr>
        <w:trPr>
          <w:trHeight w:val="234"/>
        </w:trPr>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coverage for $5.0 million in excess of $10.0 million.</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w:t>
            </w:r>
          </w:p>
        </w:tc>
        <w:tc>
          <w:tcPr>
            <w:tcW w:w="7520" w:type="dxa"/>
            <w:vAlign w:val="bottom"/>
            <w:tcBorders>
              <w:bottom w:val="single" w:sz="8" w:color="CCEEFF"/>
            </w:tcBorders>
            <w:shd w:val="clear" w:color="auto" w:fill="CCEEFF"/>
          </w:tcPr>
          <w:p>
            <w:pPr>
              <w:spacing w:after="0"/>
              <w:rPr>
                <w:sz w:val="21"/>
                <w:szCs w:val="21"/>
                <w:color w:val="auto"/>
              </w:rPr>
            </w:pPr>
          </w:p>
        </w:tc>
      </w:tr>
      <w:tr>
        <w:trPr>
          <w:trHeight w:val="225"/>
        </w:trPr>
        <w:tc>
          <w:tcPr>
            <w:tcW w:w="3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Property within Package -</w:t>
            </w:r>
          </w:p>
        </w:tc>
        <w:tc>
          <w:tcPr>
            <w:tcW w:w="75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Quota share coverage for 100% of limits up to $25.0 million per occurrence. </w:t>
            </w:r>
            <w:r>
              <w:rPr>
                <w:rFonts w:ascii="Times New Roman" w:cs="Times New Roman" w:eastAsia="Times New Roman" w:hAnsi="Times New Roman"/>
                <w:sz w:val="25"/>
                <w:szCs w:val="25"/>
                <w:color w:val="auto"/>
                <w:vertAlign w:val="superscript"/>
              </w:rPr>
              <w:t>(3)</w:t>
            </w:r>
          </w:p>
        </w:tc>
      </w:tr>
      <w:tr>
        <w:trPr>
          <w:trHeight w:val="234"/>
        </w:trPr>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Programs</w:t>
            </w:r>
          </w:p>
        </w:tc>
        <w:tc>
          <w:tcPr>
            <w:tcW w:w="752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43"/>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Catastrophe Coverage</w:t>
            </w: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Loss coverage for $44.0 million in excess of $1.0 million per occurrence.</w:t>
            </w:r>
          </w:p>
        </w:tc>
      </w:tr>
      <w:tr>
        <w:trPr>
          <w:trHeight w:val="27"/>
        </w:trPr>
        <w:tc>
          <w:tcPr>
            <w:tcW w:w="3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520" w:type="dxa"/>
            <w:vAlign w:val="bottom"/>
            <w:shd w:val="clear" w:color="auto" w:fill="CCEEFF"/>
          </w:tcPr>
          <w:p>
            <w:pPr>
              <w:spacing w:after="0"/>
              <w:rPr>
                <w:sz w:val="2"/>
                <w:szCs w:val="2"/>
                <w:color w:val="auto"/>
              </w:rPr>
            </w:pPr>
          </w:p>
        </w:tc>
      </w:tr>
    </w:tbl>
    <w:p>
      <w:pPr>
        <w:ind w:left="340" w:hanging="332"/>
        <w:spacing w:after="0" w:line="261" w:lineRule="auto"/>
        <w:tabs>
          <w:tab w:leader="none" w:pos="3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Excluding one program which has quota share coverage for 89% of the first $1.0 million per occurrence and excess of loss coverage for $49.0 million in excess of $1.0 million per occurrence.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any residual market pools.</w:t>
      </w:r>
    </w:p>
    <w:p>
      <w:pPr>
        <w:spacing w:after="0" w:line="117" w:lineRule="exact"/>
        <w:rPr>
          <w:rFonts w:ascii="Times New Roman" w:cs="Times New Roman" w:eastAsia="Times New Roman" w:hAnsi="Times New Roman"/>
          <w:sz w:val="18"/>
          <w:szCs w:val="18"/>
          <w:i w:val="1"/>
          <w:iCs w:val="1"/>
          <w:color w:val="auto"/>
        </w:rPr>
      </w:pPr>
    </w:p>
    <w:p>
      <w:pPr>
        <w:ind w:left="340" w:right="20" w:hanging="332"/>
        <w:spacing w:after="0" w:line="284" w:lineRule="auto"/>
        <w:tabs>
          <w:tab w:leader="none" w:pos="3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Excluding one program which has quota share coverage for 80% of the first $500,000 and excess of loss coverage for $39.5 million in excess of $500,000 per risk per occurrence.</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$10.0 million, inclusive of reinstatement premiums payable.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 As of September 30, 2019, our average net retained limit per risk is $2.5 million.</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insurance segments remain liable to policyholders if its reinsurers are unable to meet their contractual obligations under applicable reinsurance agreements. We establish allowances for amounts considered uncollectible. At September 30, 2019, there was no allowance for such uncollectible reinsurance recoverables.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7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2019, we had reinsurance recoverables on unpaid losses of $614.8 million and reinsurance recoverables on paid losses of $40.8 million, and all material recoverable amounts were from companies with A.M. Best ratings of “A-” or better or collateral had been posted by the reinsurer for our benefit.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is a party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currently provided through a collateral trust arrangement established in favor of the Company by a captive insurance company affiliate of the insured group. At September 30, 2019, the cash equivalent collateral held in the collateral trust arrangement was approximately $1,168.9 million.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8, 2019, the Company delivered a notice of early cancellation, effective December 31, 2019, of all insurance policies issued to the insured group of insured parties. As permitted under the indemnity agreements with this group of insured parties, the Company withdrew $1,170.7 million from the collateral trust account. The collateral funds may be used to reimburse the Company for a significant portion of the losses and loss adjustment expenses paid on behalf of the insured parties and other related expenses incurred by the Company to the extent not paid under the under the indemnity agreements. Amounts that may be recoverable under the indemnity agreement include, among other things, case loss and loss adjustment expense reserves, IBNR loss and loss adjustment expense reserves, extra contractual obligations and excess of policy limits liabilities.</w:t>
      </w:r>
    </w:p>
    <w:p>
      <w:pPr>
        <w:spacing w:after="0" w:line="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additional information regarding the termination of the insurance policies issued to the insured group of companies, see “Recent Developments”.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sources of funds consist primarily of premiums written, investment income, reinsurance recoveries, proceeds from sales and redemptions of investments, borrowings on our credit facilities, and the issuance of common shares. We use operating cash flows primarily to pay operating expenses, losses and loss adjustment expenses, reinsurance premiums, and income taxes. The following table summarizes our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8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80" w:type="dxa"/>
            <w:vAlign w:val="bottom"/>
          </w:tcPr>
          <w:p>
            <w:pPr>
              <w:spacing w:after="0"/>
              <w:rPr>
                <w:sz w:val="17"/>
                <w:szCs w:val="17"/>
                <w:color w:val="auto"/>
              </w:rPr>
            </w:pPr>
          </w:p>
        </w:tc>
      </w:tr>
      <w:tr>
        <w:trPr>
          <w:trHeight w:val="255"/>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213,787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251,913</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(205,574)</w:t>
            </w: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(25,417)</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83,845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20,922</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2019 and 2018 reflects the growth in our U.S. segments and the fact that we are collecting premiums receivable at a quicker rate than we are paying loss and loss adjustment expenses. Cash provided by operating activities has declined compared to the prior year due in part to higher paid losses in the nine months ended September 30, 2019.</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reflects our efforts to enhance the yield in our investment portfolio by investing available cash and cash equivalents into higher yielding fixed maturity securities and bank loan participations. Cash and cash equivalents comprised 12.3% and 10.2% of total cash and invested assets at September 30, 2019 and 2018, respectively.</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2019 and 2018 included $27.5 million and $27.0 million of dividends paid to shareholders, respectively. In addition, we repaid $20.0 million on our 2017 Facility in the nine months ended September 30,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Ratings</w:t>
      </w:r>
    </w:p>
    <w:p>
      <w:pPr>
        <w:spacing w:after="0" w:line="12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w:t>
      </w:r>
    </w:p>
    <w:p>
      <w:pPr>
        <w:spacing w:after="0" w:line="5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issued 412,810 common shares in the nine months ended September 30, 2019 with 336,533 of the new shares related to stock option exercises and 76,277 of the new shares related to vesting of RSUs. The total common shares outstanding increased from 29,988,460 at December 31, 2018 to 30,401,270 at September 30,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 Expense</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and 2018, the Company recognized $1.8 million and $1.7 million, respectively, of share based compensation expense ($5.3 million and $4.8 million for the respective nine month periods). As of September 30, 2019, the Company had $10.5 million of unrecognized share based compensation expense expected to be charged to earnings over a weighted-average period of 1.8 years.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activity: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Beginning of period</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1,115,324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1,479,236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(450,514)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(280,683)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652,752</w:t>
            </w:r>
          </w:p>
        </w:tc>
        <w:tc>
          <w:tcPr>
            <w:tcW w:w="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1,156,338</w:t>
            </w:r>
          </w:p>
        </w:tc>
        <w:tc>
          <w:tcPr>
            <w:tcW w:w="3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599,241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841,763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outstanding options vest over three or four years and have a contractual life of seven years from the original date of grant.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69"/>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300,142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178,882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197,078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218,475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41.32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40.81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363,563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328,277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Underwriting (Loss) Profit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the underwriting (loss) profit by individual segment and for the entire Company to consolidated (loss) income before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(loss) profit of the insurance segments: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32,718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4,380</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5,049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underwriting (loss) profit of insurance segments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42,147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Underwriting (loss) profit </w:t>
            </w:r>
            <w:r>
              <w:rPr>
                <w:rFonts w:ascii="Times New Roman" w:cs="Times New Roman" w:eastAsia="Times New Roman" w:hAnsi="Times New Roman"/>
                <w:sz w:val="14"/>
                <w:szCs w:val="14"/>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20,883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54,844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45,801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23,036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57,737</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660" w:right="460" w:hanging="328"/>
        <w:spacing w:after="0" w:line="284" w:lineRule="auto"/>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Included in underwriting results for the three and nine months ended September 30, 2019 is gross fee income of $6.1 million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$18.7 million, respectively ($6.8 million and $22.4 million for the same periods in the prior year).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Operating (Loss) Income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define adjusted net operating (loss) income as net (loss) income excluding certain non-operating expenses such as net realized and unrealized investment gains and losses, expenses related to due diligence costs for various merger and acquisition activities, professional service fees related to the filing of registration statements for the offering of securities, severance costs associated with terminated employees and interest expense and other income and expenses on a leased building that we were previously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(loss) income before taxes and net (loss) income reconcile to our adjusted net operating (loss) income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44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300" w:type="dxa"/>
            <w:vAlign w:val="bottom"/>
          </w:tcPr>
          <w:p>
            <w:pPr>
              <w:spacing w:after="0"/>
              <w:rPr>
                <w:sz w:val="12"/>
                <w:szCs w:val="12"/>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as reported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22,116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19,581</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18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leased building the Company was previously deemed to</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 for accounting purposes</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operating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21,922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19,402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440" w:type="dxa"/>
            <w:vAlign w:val="bottom"/>
          </w:tcPr>
          <w:p>
            <w:pPr>
              <w:spacing w:after="0"/>
              <w:rPr>
                <w:sz w:val="12"/>
                <w:szCs w:val="12"/>
                <w:color w:val="auto"/>
              </w:rPr>
            </w:pPr>
          </w:p>
        </w:tc>
        <w:tc>
          <w:tcPr>
            <w:tcW w:w="84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17,868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52,198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on leased building the Company was previously deemed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 for accounting purposes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19,682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59,289</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53,540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Equity (per Share) and Pre Dividend Tangible Equity (per Share)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nine months ended September 30, 2019, our tangible equity per share increased by 10.8%. Absent the $27.6 million in dividends to shareholders in the nine months ended September 30, 2019, our tangible equity per share increased by 16.3% for the nine months ended September 30, 2019. Our operating return on tangible shareholders’ equity was 4.9% for the nine months ended September 30, 2019.</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September 30, 2019 and December 31, 2018 and reconciles tangible equity to tangible equity before dividends as of September 30, 2019:</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2"/>
                <w:szCs w:val="12"/>
                <w:color w:val="auto"/>
              </w:rPr>
            </w:pPr>
          </w:p>
        </w:tc>
        <w:tc>
          <w:tcPr>
            <w:tcW w:w="112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Equity per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2"/>
                <w:szCs w:val="12"/>
                <w:color w:val="auto"/>
              </w:rPr>
            </w:pPr>
          </w:p>
        </w:tc>
        <w:tc>
          <w:tcPr>
            <w:tcW w:w="104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Equity per</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share amounts)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768,969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25.29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709,241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37,090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Tangible equity</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550,048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18.09</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489,873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Dividends to shareholders for the nine months ended September 30, 2019</w:t>
            </w: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27,557</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Pre-dividend tangible equity</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577,605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Item 7A of our Annual Report on Form 10-K for the year ended December 31,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September 30, 2019,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September 30, 2019.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our quarter ended September 30, 2019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in the quarter ended September 30, 2019 from those disclosed in our Annual Report on Form 10-K for the year ended December 31,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80" w:type="dxa"/>
            <w:vAlign w:val="bottom"/>
            <w:gridSpan w:val="10"/>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8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60" w:type="dxa"/>
            <w:vAlign w:val="bottom"/>
            <w:tcBorders>
              <w:top w:val="single" w:sz="8" w:color="auto"/>
            </w:tcBorders>
          </w:tcPr>
          <w:p>
            <w:pPr>
              <w:ind w:left="40"/>
              <w:spacing w:after="0" w:line="201" w:lineRule="exact"/>
              <w:rPr>
                <w:sz w:val="20"/>
                <w:szCs w:val="20"/>
                <w:color w:val="auto"/>
              </w:rPr>
            </w:pPr>
            <w:r>
              <w:rPr>
                <w:rFonts w:ascii="Times New Roman" w:cs="Times New Roman" w:eastAsia="Times New Roman" w:hAnsi="Times New Roman"/>
                <w:sz w:val="18"/>
                <w:szCs w:val="18"/>
                <w:color w:val="auto"/>
              </w:rPr>
              <w:t>3.1</w:t>
            </w:r>
          </w:p>
        </w:tc>
        <w:tc>
          <w:tcPr>
            <w:tcW w:w="6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740" w:type="dxa"/>
            <w:vAlign w:val="bottom"/>
            <w:tcBorders>
              <w:top w:val="single" w:sz="8" w:color="auto"/>
              <w:bottom w:val="single" w:sz="8" w:color="0000FF"/>
            </w:tcBorders>
            <w:gridSpan w:val="13"/>
          </w:tcPr>
          <w:p>
            <w:pPr>
              <w:spacing w:after="0" w:line="201"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Certificate of Incorporation of James River Group Holdings, Ltd. (incorporated by reference to Exhibit 3.1 of the</w:t>
              </w:r>
            </w:hyperlink>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Registration Statement on Form S-1, Registration No. 333-199958, filed with the Commission on November 7, 2014)</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Certificate of Incorporation on Change of Name (incorporated by reference to Exhibit 3.2 of the Registration Statement</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on Form S-1, Registration No. 333-199958, filed with the Commission on November 7, 2014)</w:t>
              </w:r>
            </w:hyperlink>
          </w:p>
        </w:tc>
        <w:tc>
          <w:tcPr>
            <w:tcW w:w="19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Memorandum of Association of James River Group Holdings, Ltd. (incorporated by reference to Exhibit 3.3 of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4"/>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Registration Statement on Form S-1, Registration No. 333-199958, filed with the Commission on November 7, 2014)</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Certificate of Deposit of Memorandum of Increase of Share Capital, dated December 24, 2007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reference to Exhibit 3.4 of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Commission on November 7, 2014)</w:t>
              </w:r>
            </w:hyperlink>
          </w:p>
        </w:tc>
        <w:tc>
          <w:tcPr>
            <w:tcW w:w="61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Certificate of Deposit of Memorandum of Increase of Share Capital, dated October 7, 2009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Exhibit 3.5 of the Registration Statement on Form S-1, Registration No. 333-199958, filed with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November 7, 2014)</w:t>
              </w:r>
            </w:hyperlink>
          </w:p>
        </w:tc>
        <w:tc>
          <w:tcPr>
            <w:tcW w:w="7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Third Amended and Restated Bye-Laws of James River Group Holdings, Ltd. (incorporated by reference to Exhibit 3.6</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4"/>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to the Annual Report on Form 10-K filed on March 12, 2015, Commission File No. 001-36777)</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Employment Agreement, dated as of August 5, 2019, by and among James River Group Holdings, Ltd., James River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4"/>
          </w:tcPr>
          <w:p>
            <w:pPr>
              <w:spacing w:after="0" w:line="196"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Group, Inc., and J. Adam Abram*</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4"/>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Amended and Restated Employment Agreement, effective August 5, 2019, by and between James River Group</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Holdings, Ltd. and Robert P. Myron*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4"/>
          </w:tcPr>
          <w:p>
            <w:pPr>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Chief Executive Officer Certification pursuant to Rule 13a-14(a)/15d-14(a)</w:t>
              </w:r>
            </w:hyperlink>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76">
              <w:r>
                <w:rPr>
                  <w:rFonts w:ascii="Times New Roman" w:cs="Times New Roman" w:eastAsia="Times New Roman" w:hAnsi="Times New Roman"/>
                  <w:sz w:val="18"/>
                  <w:szCs w:val="18"/>
                  <w:color w:val="0000FF"/>
                  <w:w w:val="99"/>
                </w:rPr>
                <w:t>Chief Financial Officer Certification pursuant to Rule 13a-14(a)/15d-14(a)</w:t>
              </w:r>
            </w:hyperlink>
          </w:p>
        </w:tc>
        <w:tc>
          <w:tcPr>
            <w:tcW w:w="40" w:type="dxa"/>
            <w:vAlign w:val="bottom"/>
            <w:tcBorders>
              <w:top w:val="single" w:sz="8" w:color="0000FF"/>
            </w:tcBorders>
          </w:tcPr>
          <w:p>
            <w:pPr>
              <w:spacing w:after="0"/>
              <w:rPr>
                <w:sz w:val="24"/>
                <w:szCs w:val="24"/>
                <w:color w:val="auto"/>
              </w:rPr>
            </w:pPr>
          </w:p>
        </w:tc>
        <w:tc>
          <w:tcPr>
            <w:tcW w:w="3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Chief Executive Officer and Chief Financial Officer Certification pursuant to 18 U.S.C. Section 1350, as adopted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w:anchor="page77">
              <w:r>
                <w:rPr>
                  <w:rFonts w:ascii="Times New Roman" w:cs="Times New Roman" w:eastAsia="Times New Roman" w:hAnsi="Times New Roman"/>
                  <w:sz w:val="18"/>
                  <w:szCs w:val="18"/>
                  <w:color w:val="0000FF"/>
                  <w:w w:val="99"/>
                </w:rPr>
                <w:t>pursuant to Section 906 of the Sarbanes-Oxley Act of 2002</w:t>
              </w:r>
            </w:hyperlink>
          </w:p>
        </w:tc>
        <w:tc>
          <w:tcPr>
            <w:tcW w:w="44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72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a management contract or compensatory plan or arrangement.</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James River Group Holdings, Ltd.</w:t>
      </w:r>
    </w:p>
    <w:p>
      <w:pPr>
        <w:spacing w:after="0" w:line="333" w:lineRule="exact"/>
        <w:rPr>
          <w:sz w:val="20"/>
          <w:szCs w:val="20"/>
          <w:color w:val="auto"/>
        </w:rPr>
      </w:pPr>
    </w:p>
    <w:p>
      <w:pPr>
        <w:ind w:left="40"/>
        <w:spacing w:after="0"/>
        <w:tabs>
          <w:tab w:leader="none" w:pos="640" w:val="left"/>
          <w:tab w:leader="none" w:pos="5220" w:val="left"/>
          <w:tab w:leader="none" w:pos="5940" w:val="left"/>
        </w:tabs>
        <w:rPr>
          <w:sz w:val="20"/>
          <w:szCs w:val="20"/>
          <w:color w:val="auto"/>
        </w:rPr>
      </w:pPr>
      <w:r>
        <w:rPr>
          <w:rFonts w:ascii="Times New Roman" w:cs="Times New Roman" w:eastAsia="Times New Roman" w:hAnsi="Times New Roman"/>
          <w:sz w:val="18"/>
          <w:szCs w:val="18"/>
          <w:color w:val="auto"/>
        </w:rPr>
        <w:t>Date:</w:t>
        <w:tab/>
        <w:t>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34290</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 Adam Abram</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4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3" w:lineRule="exact"/>
        <w:rPr>
          <w:sz w:val="20"/>
          <w:szCs w:val="20"/>
          <w:color w:val="auto"/>
        </w:rPr>
      </w:pPr>
    </w:p>
    <w:p>
      <w:pPr>
        <w:ind w:left="40"/>
        <w:spacing w:after="0"/>
        <w:tabs>
          <w:tab w:leader="none" w:pos="640" w:val="left"/>
          <w:tab w:leader="none" w:pos="5220" w:val="left"/>
          <w:tab w:leader="none" w:pos="5940" w:val="left"/>
        </w:tabs>
        <w:rPr>
          <w:sz w:val="20"/>
          <w:szCs w:val="20"/>
          <w:color w:val="auto"/>
        </w:rPr>
      </w:pPr>
      <w:r>
        <w:rPr>
          <w:rFonts w:ascii="Times New Roman" w:cs="Times New Roman" w:eastAsia="Times New Roman" w:hAnsi="Times New Roman"/>
          <w:sz w:val="18"/>
          <w:szCs w:val="18"/>
          <w:color w:val="auto"/>
        </w:rPr>
        <w:t>Date:</w:t>
        <w:tab/>
        <w:t>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34290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Sarah C. Doran</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240" w:top="121" w:right="3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0" w:lineRule="exact"/>
        <w:rPr>
          <w:sz w:val="20"/>
          <w:szCs w:val="20"/>
          <w:color w:val="auto"/>
        </w:rPr>
      </w:pPr>
    </w:p>
    <w:p>
      <w:pPr>
        <w:spacing w:after="0" w:line="241"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August 5, 2019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among (a) James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River Group Holdings, Ltd., a Bermuda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 J. Adam Abram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(c) James River Group, Inc., a Delaware corporation (“</w:t>
      </w:r>
      <w:r>
        <w:rPr>
          <w:rFonts w:ascii="Times New Roman" w:cs="Times New Roman" w:eastAsia="Times New Roman" w:hAnsi="Times New Roman"/>
          <w:sz w:val="18"/>
          <w:szCs w:val="18"/>
          <w:u w:val="single" w:color="auto"/>
          <w:color w:val="auto"/>
        </w:rPr>
        <w:t>James River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00" w:lineRule="exact"/>
        <w:rPr>
          <w:sz w:val="20"/>
          <w:szCs w:val="20"/>
          <w:color w:val="auto"/>
        </w:rPr>
      </w:pPr>
    </w:p>
    <w:p>
      <w:pPr>
        <w:spacing w:after="0" w:line="245" w:lineRule="exact"/>
        <w:rPr>
          <w:sz w:val="20"/>
          <w:szCs w:val="20"/>
          <w:color w:val="auto"/>
        </w:rPr>
      </w:pPr>
    </w:p>
    <w:p>
      <w:pPr>
        <w:ind w:left="1020" w:hanging="36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currently serves as Non-Executive Chairman of the Board of Directors of the Company.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right="240" w:firstLine="656"/>
        <w:spacing w:after="0" w:line="266" w:lineRule="auto"/>
        <w:tabs>
          <w:tab w:leader="none" w:pos="9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Executive have agreed that Executive will as of the Effective Date be employed as Executive Chairman of the Board of Directors of the Company and Chief Executive Officer of the Company, and James River and Executive have agreed that Executive will as of the Effective Date be employed as Chairman of the Board of Directors of James River and Chief Executive Officer of James River.</w:t>
      </w:r>
    </w:p>
    <w:p>
      <w:pPr>
        <w:spacing w:after="0" w:line="388"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of the mutual promises contained in this Agreement, and of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to this Agreement hereby agree as follows:</w:t>
      </w:r>
    </w:p>
    <w:p>
      <w:pPr>
        <w:spacing w:after="0" w:line="375" w:lineRule="exact"/>
        <w:rPr>
          <w:sz w:val="20"/>
          <w:szCs w:val="20"/>
          <w:color w:val="auto"/>
        </w:rPr>
      </w:pPr>
    </w:p>
    <w:p>
      <w:pPr>
        <w:ind w:right="40" w:firstLine="656"/>
        <w:spacing w:after="0" w:line="254" w:lineRule="auto"/>
        <w:tabs>
          <w:tab w:leader="none" w:pos="9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TERM</w:t>
      </w:r>
      <w:r>
        <w:rPr>
          <w:rFonts w:ascii="Times New Roman" w:cs="Times New Roman" w:eastAsia="Times New Roman" w:hAnsi="Times New Roman"/>
          <w:sz w:val="18"/>
          <w:szCs w:val="18"/>
          <w:color w:val="auto"/>
        </w:rPr>
        <w:t>. Effective as of the Effective Date, (a) the Company agrees to employ Executive as Executive Chairman of the Board of Directors of the Company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Chief Executive Officer of the Company (together, for purposes hereof,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and (b) James River agrees to continue to employ Executive as Chairman of the Board of Directors of James River (“</w:t>
      </w:r>
      <w:r>
        <w:rPr>
          <w:rFonts w:ascii="Times New Roman" w:cs="Times New Roman" w:eastAsia="Times New Roman" w:hAnsi="Times New Roman"/>
          <w:sz w:val="18"/>
          <w:szCs w:val="18"/>
          <w:u w:val="single" w:color="auto"/>
          <w:color w:val="auto"/>
        </w:rPr>
        <w:t>JR Board</w:t>
      </w:r>
      <w:r>
        <w:rPr>
          <w:rFonts w:ascii="Times New Roman" w:cs="Times New Roman" w:eastAsia="Times New Roman" w:hAnsi="Times New Roman"/>
          <w:sz w:val="18"/>
          <w:szCs w:val="18"/>
          <w:color w:val="auto"/>
        </w:rPr>
        <w:t>”) and Chief Executive Officer of James River (together, for purposes hereof, “</w:t>
      </w:r>
      <w:r>
        <w:rPr>
          <w:rFonts w:ascii="Times New Roman" w:cs="Times New Roman" w:eastAsia="Times New Roman" w:hAnsi="Times New Roman"/>
          <w:sz w:val="18"/>
          <w:szCs w:val="18"/>
          <w:u w:val="single" w:color="auto"/>
          <w:color w:val="auto"/>
        </w:rPr>
        <w:t>JR Chairman</w:t>
      </w:r>
      <w:r>
        <w:rPr>
          <w:rFonts w:ascii="Times New Roman" w:cs="Times New Roman" w:eastAsia="Times New Roman" w:hAnsi="Times New Roman"/>
          <w:sz w:val="18"/>
          <w:szCs w:val="18"/>
          <w:color w:val="auto"/>
        </w:rPr>
        <w:t>”). Executive hereby accepts such employment on the terms hereinafter set forth. The term of this Agreement shall commence as of the Effective Date and the term of this Agreement shall end on the date immediately preceding the second anniversary of the Effective Date, subject to the termination provisions of Section 6. The term of this Agreement shall thereafter be automatically renewed for additional 18-month periods unless written notice to the contrary shall be given by either party to the other not less than 180 days prior to the end of the initial or any renewal term that the term shall not thereafter be renewed (“</w:t>
      </w:r>
      <w:r>
        <w:rPr>
          <w:rFonts w:ascii="Times New Roman" w:cs="Times New Roman" w:eastAsia="Times New Roman" w:hAnsi="Times New Roman"/>
          <w:sz w:val="18"/>
          <w:szCs w:val="18"/>
          <w:u w:val="single" w:color="auto"/>
          <w:color w:val="auto"/>
        </w:rPr>
        <w:t>Non-Renewal Notice</w:t>
      </w:r>
      <w:r>
        <w:rPr>
          <w:rFonts w:ascii="Times New Roman" w:cs="Times New Roman" w:eastAsia="Times New Roman" w:hAnsi="Times New Roman"/>
          <w:sz w:val="18"/>
          <w:szCs w:val="18"/>
          <w:color w:val="auto"/>
        </w:rPr>
        <w:t>”), subject to the termination provisions of Section 6. The initial term plus any renewals thereof shall hereafter be referred to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right="80" w:firstLine="1305"/>
        <w:spacing w:after="0" w:line="282" w:lineRule="auto"/>
        <w:tabs>
          <w:tab w:leader="none" w:pos="16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paid a base salary at the rate of not less than $850,000 per year, payable in periodic installments in accordance with James River’s normal payroll practices.</w:t>
      </w:r>
    </w:p>
    <w:p>
      <w:pPr>
        <w:spacing w:after="0" w:line="377" w:lineRule="exact"/>
        <w:rPr>
          <w:rFonts w:ascii="Times New Roman" w:cs="Times New Roman" w:eastAsia="Times New Roman" w:hAnsi="Times New Roman"/>
          <w:sz w:val="18"/>
          <w:szCs w:val="18"/>
          <w:color w:val="auto"/>
        </w:rPr>
      </w:pPr>
    </w:p>
    <w:p>
      <w:pPr>
        <w:ind w:right="40" w:firstLine="1305"/>
        <w:spacing w:after="0" w:line="253" w:lineRule="auto"/>
        <w:tabs>
          <w:tab w:leader="none" w:pos="168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during the Term in which Executive is employed by the Company as of the last day of such fiscal year, Executive shall be eligible to receive a discretionary bonus (each, a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in an amount as the Board (other than Executive), in its discretion, may determine based on Executive’s performance during such fiscal year, which Bonus shall be paid on or before March 15 of the subsequent fiscal year. Executive's target cash bonus for each calendar year he is employed through the end of the year will be 100% of his base salary, provided that the determination of whether Executive will be awarded a cash bonus and the amount of the cash bonus will be determined by the Board in its discretion, provided, however, for any bonus awarded for 2019 the base salary will be prorated to be $344,658. In addition, Executive shall be eligible to participate in any long-term incentive plan of the Company (“</w:t>
      </w:r>
      <w:r>
        <w:rPr>
          <w:rFonts w:ascii="Times New Roman" w:cs="Times New Roman" w:eastAsia="Times New Roman" w:hAnsi="Times New Roman"/>
          <w:sz w:val="18"/>
          <w:szCs w:val="18"/>
          <w:u w:val="single" w:color="auto"/>
          <w:color w:val="auto"/>
        </w:rPr>
        <w:t>LTIP</w:t>
      </w:r>
      <w:r>
        <w:rPr>
          <w:rFonts w:ascii="Times New Roman" w:cs="Times New Roman" w:eastAsia="Times New Roman" w:hAnsi="Times New Roman"/>
          <w:sz w:val="18"/>
          <w:szCs w:val="18"/>
          <w:color w:val="auto"/>
        </w:rPr>
        <w:t>”) in effect from time to time. For long term incentive equity grants, Executive will have a target equity grant equivalent in value to 100% of his base salary for each calendar year he is employed through the end of the year, provided that the determination of whether Executive will be awarded an LTIP equity award and the amount of the award will be determined by the Board in its discretion. Options to acquire common shares (the “Shares”) of the Company will be valued using a Black Scholes valuation model, and restricted share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of the Company will be valued based upon the closing price of the Company’s publicly traded Shares on the day of the grant.</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right="40" w:firstLine="1305"/>
        <w:spacing w:after="0" w:line="258" w:lineRule="auto"/>
        <w:tabs>
          <w:tab w:leader="none" w:pos="167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business days following the Effective Date, Executive shall receive a one-time equity award of RSUs of the Company in an amount equal to $850,000 (based upon the closing price of the Company’s publicly traded common stock on the Effective Date). The RSUs will vest and the restrictions shall lapse in substantially equal installments of whole shares on each of the first two anniversaries of the Effective Date, subject to Executive’s continued employment on such dates. The RSUs shall be subject to the terms of an award agreement acceptable to the Company and consistent with the Company’s equity.</w:t>
      </w:r>
    </w:p>
    <w:p>
      <w:pPr>
        <w:sectPr>
          <w:pgSz w:w="11900" w:h="16838" w:orient="portrait"/>
          <w:cols w:equalWidth="0" w:num="1">
            <w:col w:w="11420"/>
          </w:cols>
          <w:pgMar w:left="240" w:top="576" w:right="239" w:bottom="1440" w:gutter="0" w:footer="0" w:header="0"/>
        </w:sectPr>
      </w:pPr>
    </w:p>
    <w:bookmarkStart w:id="56" w:name="page57"/>
    <w:bookmarkEnd w:id="56"/>
    <w:p>
      <w:pPr>
        <w:ind w:left="-656" w:right="80" w:firstLine="1305"/>
        <w:spacing w:after="0" w:line="266" w:lineRule="auto"/>
        <w:tabs>
          <w:tab w:leader="none" w:pos="10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close of each fiscal year of the Company during the Term, the Board shall review Executive’s performance during such fiscal year and decide whether to increase Executive’s base salary within 60 days after receipt of the Company’s audited financial statements for such fiscal year.</w:t>
      </w:r>
    </w:p>
    <w:p>
      <w:pPr>
        <w:spacing w:after="0" w:line="392" w:lineRule="exact"/>
        <w:rPr>
          <w:rFonts w:ascii="Times New Roman" w:cs="Times New Roman" w:eastAsia="Times New Roman" w:hAnsi="Times New Roman"/>
          <w:sz w:val="18"/>
          <w:szCs w:val="18"/>
          <w:color w:val="auto"/>
        </w:rPr>
      </w:pPr>
    </w:p>
    <w:p>
      <w:pPr>
        <w:ind w:left="-656" w:right="260" w:firstLine="1305"/>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also be entitled, during the Term to participate in all retirement, disability, pension, savings, health, medical, dental, insurance, and other fringe benefits or plans of the Company generally available to executive employees of the Company Group (as defined below) as recommended by Executive. Such benefits shall specifically include, at the Company’s expense:</w:t>
      </w:r>
    </w:p>
    <w:p>
      <w:pPr>
        <w:spacing w:after="0" w:line="176" w:lineRule="exact"/>
        <w:rPr>
          <w:rFonts w:ascii="Times New Roman" w:cs="Times New Roman" w:eastAsia="Times New Roman" w:hAnsi="Times New Roman"/>
          <w:sz w:val="18"/>
          <w:szCs w:val="18"/>
          <w:color w:val="auto"/>
        </w:rPr>
      </w:pPr>
    </w:p>
    <w:p>
      <w:pPr>
        <w:ind w:left="1644" w:hanging="347"/>
        <w:spacing w:after="0"/>
        <w:tabs>
          <w:tab w:leader="none" w:pos="1644"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six weeks of paid vacation per annum (not subject to rollover);</w:t>
      </w:r>
    </w:p>
    <w:p>
      <w:pPr>
        <w:spacing w:after="0" w:line="225" w:lineRule="exact"/>
        <w:rPr>
          <w:rFonts w:ascii="Times New Roman" w:cs="Times New Roman" w:eastAsia="Times New Roman" w:hAnsi="Times New Roman"/>
          <w:sz w:val="18"/>
          <w:szCs w:val="18"/>
          <w:color w:val="auto"/>
        </w:rPr>
      </w:pPr>
    </w:p>
    <w:p>
      <w:pPr>
        <w:ind w:left="-656" w:right="280" w:firstLine="1953"/>
        <w:spacing w:after="0" w:line="282" w:lineRule="auto"/>
        <w:tabs>
          <w:tab w:leader="none" w:pos="1688"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under the Company’s current health care insurance plans, including coverage for Executive’s dependents, on the same terms and conditions, including any required payment of premiums or other costs by Executive, as are applicable to other executive employees;</w:t>
      </w:r>
    </w:p>
    <w:p>
      <w:pPr>
        <w:spacing w:after="0" w:line="161" w:lineRule="exact"/>
        <w:rPr>
          <w:rFonts w:ascii="Times New Roman" w:cs="Times New Roman" w:eastAsia="Times New Roman" w:hAnsi="Times New Roman"/>
          <w:sz w:val="18"/>
          <w:szCs w:val="18"/>
          <w:color w:val="auto"/>
        </w:rPr>
      </w:pPr>
    </w:p>
    <w:p>
      <w:pPr>
        <w:ind w:left="-656" w:right="120" w:firstLine="1953"/>
        <w:spacing w:after="0" w:line="266" w:lineRule="auto"/>
        <w:tabs>
          <w:tab w:leader="none" w:pos="173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under the Company’s group term life and accidental death and dismemberment and long term disability coverage, all on the same terms and conditions, including any required payment of premiums or other costs by Executive, as are applicable to other executive employees; and</w:t>
      </w:r>
    </w:p>
    <w:p>
      <w:pPr>
        <w:spacing w:after="0" w:line="176" w:lineRule="exact"/>
        <w:rPr>
          <w:rFonts w:ascii="Times New Roman" w:cs="Times New Roman" w:eastAsia="Times New Roman" w:hAnsi="Times New Roman"/>
          <w:sz w:val="18"/>
          <w:szCs w:val="18"/>
          <w:color w:val="auto"/>
        </w:rPr>
      </w:pPr>
    </w:p>
    <w:p>
      <w:pPr>
        <w:ind w:left="-656" w:right="60" w:firstLine="1953"/>
        <w:spacing w:after="0" w:line="255" w:lineRule="auto"/>
        <w:tabs>
          <w:tab w:leader="none" w:pos="1728"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expense reimbursement for all reasonable business expenses upon the presentation of reasonably itemized statements of such expenses in accordance with the Company’s policies and procedures. The amount of expenses eligible for reimbursement pursuant to this Agreement, including with respect to Section 3 below, during any tax year of Executive shall not affect the expenses eligible for reimbursement in any other tax year. The right to reimbursement provided in this Agreement, including with respect to Section 3 below, is not subject to liquidation or exchange for another benefit. In no event shall the reimbursement of an eligible expense under this Agreement, including reimbursements of expenses described in Section 3 below, occur later than the earlier of (i) six months from the date of incurrence and (ii) the end of the calendar year following the calendar year in which such expense was incurred.</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656" w:right="780" w:firstLine="1305"/>
        <w:spacing w:after="0" w:line="282" w:lineRule="auto"/>
        <w:tabs>
          <w:tab w:leader="none" w:pos="9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and compensation under this Agreement shall be subject to all required withholdings and deductions, and such deductions as Executive may instruct the Company to take that are authorized by applicable law.</w:t>
      </w:r>
    </w:p>
    <w:p>
      <w:pPr>
        <w:spacing w:after="0" w:line="377" w:lineRule="exact"/>
        <w:rPr>
          <w:rFonts w:ascii="Times New Roman" w:cs="Times New Roman" w:eastAsia="Times New Roman" w:hAnsi="Times New Roman"/>
          <w:sz w:val="18"/>
          <w:szCs w:val="18"/>
          <w:color w:val="auto"/>
        </w:rPr>
      </w:pPr>
    </w:p>
    <w:p>
      <w:pPr>
        <w:ind w:left="-656" w:right="100" w:firstLine="1305"/>
        <w:spacing w:after="0" w:line="255" w:lineRule="auto"/>
        <w:tabs>
          <w:tab w:leader="none" w:pos="10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to the extent required by applicable law or written company policy adopted by the Board to implement the requirements of such law (including without limitation Section 304 of the Sarbanes Oxley Act and Section 954 of the Dodd Frank Act), any bonus and other incentive compensation (if any) shall be subject to any clawback, forfeiture, recoupment or similar requirement (“</w:t>
      </w:r>
      <w:r>
        <w:rPr>
          <w:rFonts w:ascii="Times New Roman" w:cs="Times New Roman" w:eastAsia="Times New Roman" w:hAnsi="Times New Roman"/>
          <w:sz w:val="18"/>
          <w:szCs w:val="18"/>
          <w:u w:val="single" w:color="auto"/>
          <w:color w:val="auto"/>
        </w:rPr>
        <w:t>Clawback Rights</w:t>
      </w:r>
      <w:r>
        <w:rPr>
          <w:rFonts w:ascii="Times New Roman" w:cs="Times New Roman" w:eastAsia="Times New Roman" w:hAnsi="Times New Roman"/>
          <w:sz w:val="18"/>
          <w:szCs w:val="18"/>
          <w:color w:val="auto"/>
        </w:rPr>
        <w:t>”) as the Board may determine in its sole discretion is necessary or desirable to implement such law or policy. Holdings may only exercise Clawback Rights with respect to any bonus and other incentive compensation received during the three completed fiscal years immediately preceding the date on which Holdings is required to prepare an accounting restatement and, if applicable, any transition period resulting from a change in fiscal year within or immediately following the three completed fiscal years.</w:t>
      </w:r>
    </w:p>
    <w:p>
      <w:pPr>
        <w:spacing w:after="0" w:line="18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Temporary Housing and Transportation Expenses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56" w:firstLine="1305"/>
        <w:spacing w:after="0" w:line="261" w:lineRule="auto"/>
        <w:tabs>
          <w:tab w:leader="none" w:pos="10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Executive with transportation, in accordance with the Company’s policies, to locations to which Executive may be required to travel in order to perform his duties hereunder. In addition, to the extent that Executive is required to perform services in Bermuda, the Company shall provide Executive with temporary housing or a customary temporary housing allowance approved by the Board or a designated committee thereof.</w:t>
      </w:r>
    </w:p>
    <w:p>
      <w:pPr>
        <w:spacing w:after="0" w:line="396" w:lineRule="exact"/>
        <w:rPr>
          <w:rFonts w:ascii="Times New Roman" w:cs="Times New Roman" w:eastAsia="Times New Roman" w:hAnsi="Times New Roman"/>
          <w:sz w:val="18"/>
          <w:szCs w:val="18"/>
          <w:color w:val="auto"/>
        </w:rPr>
      </w:pPr>
    </w:p>
    <w:p>
      <w:pPr>
        <w:ind w:left="-656" w:right="140" w:firstLine="1305"/>
        <w:spacing w:after="0" w:line="256" w:lineRule="auto"/>
        <w:tabs>
          <w:tab w:leader="none" w:pos="102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that from time to time Executive may travel on chartered aircraft in connection with the performance of his duties hereunder. Such aircraft may be owned by others, or may be a plane that is owned by a company of which Executive is the sole shareholder and which is managed by an aircraft management company in which Executive has no ownership interest. When chartering a plane in connection with his duties hereunder, the Company will pay lease rates consistent with those that have been charged in the past but in no event higher than the lease rates charged by such aircraft management company to unrelated third parties. The Company further agrees that Executive may continue to charter planes for business travel as is reasonably necessary to efficiently carry out his duties.</w:t>
      </w:r>
    </w:p>
    <w:p>
      <w:pPr>
        <w:spacing w:after="0" w:line="18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Gross-Up Payments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56" w:right="440" w:firstLine="1305"/>
        <w:spacing w:after="0" w:line="282" w:lineRule="auto"/>
        <w:tabs>
          <w:tab w:leader="none" w:pos="10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Executive incurs or is required to pay or have withheld any United States Federal, state or local income, FICA, FUTA and other similar taxes (the “</w:t>
      </w:r>
      <w:r>
        <w:rPr>
          <w:rFonts w:ascii="Times New Roman" w:cs="Times New Roman" w:eastAsia="Times New Roman" w:hAnsi="Times New Roman"/>
          <w:sz w:val="18"/>
          <w:szCs w:val="18"/>
          <w:u w:val="single" w:color="auto"/>
          <w:color w:val="auto"/>
        </w:rPr>
        <w:t>U.S. Taxes</w:t>
      </w:r>
      <w:r>
        <w:rPr>
          <w:rFonts w:ascii="Times New Roman" w:cs="Times New Roman" w:eastAsia="Times New Roman" w:hAnsi="Times New Roman"/>
          <w:sz w:val="18"/>
          <w:szCs w:val="18"/>
          <w:color w:val="auto"/>
        </w:rPr>
        <w:t>”) with respect to the payments and benefits</w:t>
      </w:r>
    </w:p>
    <w:p>
      <w:pPr>
        <w:sectPr>
          <w:pgSz w:w="11900" w:h="16838" w:orient="portrait"/>
          <w:cols w:equalWidth="0" w:num="1">
            <w:col w:w="10744"/>
          </w:cols>
          <w:pgMar w:left="896" w:top="796" w:right="259" w:bottom="1440" w:gutter="0" w:footer="0" w:header="0"/>
        </w:sectPr>
      </w:pPr>
    </w:p>
    <w:bookmarkStart w:id="57" w:name="page58"/>
    <w:bookmarkEnd w:id="57"/>
    <w:p>
      <w:pPr>
        <w:ind w:right="320"/>
        <w:spacing w:after="0" w:line="266" w:lineRule="auto"/>
        <w:rPr>
          <w:sz w:val="20"/>
          <w:szCs w:val="20"/>
          <w:color w:val="auto"/>
        </w:rPr>
      </w:pPr>
      <w:r>
        <w:rPr>
          <w:rFonts w:ascii="Times New Roman" w:cs="Times New Roman" w:eastAsia="Times New Roman" w:hAnsi="Times New Roman"/>
          <w:sz w:val="18"/>
          <w:szCs w:val="18"/>
          <w:color w:val="auto"/>
        </w:rPr>
        <w:t>provided under Section 3 above or this Section 4(a), the Company shall, subject to Section 4(c) below, provide Executive with a gross-up payment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Gross-Up Payment</w:t>
      </w:r>
      <w:r>
        <w:rPr>
          <w:rFonts w:ascii="Times New Roman" w:cs="Times New Roman" w:eastAsia="Times New Roman" w:hAnsi="Times New Roman"/>
          <w:sz w:val="18"/>
          <w:szCs w:val="18"/>
          <w:color w:val="auto"/>
        </w:rPr>
        <w:t>”) so that the net amount received and retained by Executive, after taking into account withholdings and payments for such U.S. Taxes, equals the amount that he would have received had there been no U.S. Taxes on such payments and benefits.</w:t>
      </w:r>
    </w:p>
    <w:p>
      <w:pPr>
        <w:spacing w:after="0" w:line="392" w:lineRule="exact"/>
        <w:rPr>
          <w:sz w:val="20"/>
          <w:szCs w:val="20"/>
          <w:color w:val="auto"/>
        </w:rPr>
      </w:pPr>
    </w:p>
    <w:p>
      <w:pPr>
        <w:ind w:right="40" w:firstLine="1305"/>
        <w:spacing w:after="0" w:line="253" w:lineRule="auto"/>
        <w:tabs>
          <w:tab w:leader="none" w:pos="168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Executive incurs or is required to pay or have withheld any Bermuda social services, health, income or payroll taxes (the “</w:t>
      </w:r>
      <w:r>
        <w:rPr>
          <w:rFonts w:ascii="Times New Roman" w:cs="Times New Roman" w:eastAsia="Times New Roman" w:hAnsi="Times New Roman"/>
          <w:sz w:val="18"/>
          <w:szCs w:val="18"/>
          <w:u w:val="single" w:color="auto"/>
          <w:color w:val="auto"/>
        </w:rPr>
        <w:t>Bermuda Taxes</w:t>
      </w:r>
      <w:r>
        <w:rPr>
          <w:rFonts w:ascii="Times New Roman" w:cs="Times New Roman" w:eastAsia="Times New Roman" w:hAnsi="Times New Roman"/>
          <w:sz w:val="18"/>
          <w:szCs w:val="18"/>
          <w:color w:val="auto"/>
        </w:rPr>
        <w:t>”) with respect to any payments or benefits contemplated by this Agreement, the Company shall, subject to Section 4(c) below, provide Executive with a gross-up payment (the “</w:t>
      </w:r>
      <w:r>
        <w:rPr>
          <w:rFonts w:ascii="Times New Roman" w:cs="Times New Roman" w:eastAsia="Times New Roman" w:hAnsi="Times New Roman"/>
          <w:sz w:val="18"/>
          <w:szCs w:val="18"/>
          <w:u w:val="single" w:color="auto"/>
          <w:color w:val="auto"/>
        </w:rPr>
        <w:t>Bermuda Gross-Up Payment</w:t>
      </w:r>
      <w:r>
        <w:rPr>
          <w:rFonts w:ascii="Times New Roman" w:cs="Times New Roman" w:eastAsia="Times New Roman" w:hAnsi="Times New Roman"/>
          <w:sz w:val="18"/>
          <w:szCs w:val="18"/>
          <w:color w:val="auto"/>
        </w:rPr>
        <w:t>” and, together with the US Gross-Up Payment, the “</w:t>
      </w:r>
      <w:r>
        <w:rPr>
          <w:rFonts w:ascii="Times New Roman" w:cs="Times New Roman" w:eastAsia="Times New Roman" w:hAnsi="Times New Roman"/>
          <w:sz w:val="18"/>
          <w:szCs w:val="18"/>
          <w:u w:val="single" w:color="auto"/>
          <w:color w:val="auto"/>
        </w:rPr>
        <w:t>Gross-Up Payment</w:t>
      </w:r>
      <w:r>
        <w:rPr>
          <w:rFonts w:ascii="Times New Roman" w:cs="Times New Roman" w:eastAsia="Times New Roman" w:hAnsi="Times New Roman"/>
          <w:sz w:val="18"/>
          <w:szCs w:val="18"/>
          <w:color w:val="auto"/>
        </w:rPr>
        <w:t>”) in amount equal to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excess, if any,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sum of the Bermuda Taxes actually imposed on Executive and the U.S. Taxes actually imposed on Executive on the compensation and benefits payable under this Agreement (net of all tax credits and deductions arising from the payment of such Bermuda Taxes and U.S. Taxes) over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taxes that would have been imposed on Executive if the compensation and benefits were earned solely in Chapel Hill, North Carolina and subject solely to U.S. Taxes plus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Bermuda Taxes or U.S. Taxes imposed on the payments provided in this Section 4(b) so that the net amount received and retained by Executive, after taking into account withholdings and payments for such taxes (and any available tax credits and deductions), equals the net amount that he would have received and retained had there been no Bermuda Taxes and had the payments and benefits provided under this Agreement (other than under this Section 4(b)) been earned in Chapel Hill, North Carolina and subject to only U.S. Taxes (assuming that all such payments and benefits were subject to U.S. Tax).</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firstLine="1305"/>
        <w:spacing w:after="0" w:line="252" w:lineRule="auto"/>
        <w:tabs>
          <w:tab w:leader="none" w:pos="16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Taxes and Bermuda Taxes required to be collected by withholding by the Company Group, such Gross-Up Payment shall be paid contemporaneously with the withholding. For U.S. Taxes and Bermuda Taxes required to be paid by Executive (such as quarterly estimated or extension tax payments, and payments required to be included with a tax return), such Gross-Up Payment shall be paid by the Company to Executive no later than the later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two days prior to the due date for such payment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five (5) days after the receipt by the Company of a written request for payment from Executive accompanied by a calculation in reasonable detail of the Gross-Up Payment, provided that Executive’s U.S. tax return reflecting such payments must be filed by Executive and such written request for payment must be made, in all cases, no later 60 days prior to the end of the taxable year of Executive beginning after the taxable year of Executive in which the Executive is required to remit the taxes to which such Gross-Up Payment relates, provided that the Executive timely remitted such taxes to the relevant tax authorities. Within 60 days after the earlier of (i) the filing of his U.S. federal, state and local tax returns for a taxable year or (ii) the last date for the filing of the last such return, including all available extensions, Executive shall furnish to the Company a statement, prepared by a certified public accounting firm, and based upon such filed tax returns and other available information, and any tax returns filed with Bermuda, in reasonable detail, as to the proper amount of the Gross-Up Payment for such taxable year (the “</w:t>
      </w:r>
      <w:r>
        <w:rPr>
          <w:rFonts w:ascii="Times New Roman" w:cs="Times New Roman" w:eastAsia="Times New Roman" w:hAnsi="Times New Roman"/>
          <w:sz w:val="18"/>
          <w:szCs w:val="18"/>
          <w:u w:val="single" w:color="auto"/>
          <w:color w:val="auto"/>
        </w:rPr>
        <w:t>Final Gross-Up Amount</w:t>
      </w:r>
      <w:r>
        <w:rPr>
          <w:rFonts w:ascii="Times New Roman" w:cs="Times New Roman" w:eastAsia="Times New Roman" w:hAnsi="Times New Roman"/>
          <w:sz w:val="18"/>
          <w:szCs w:val="18"/>
          <w:color w:val="auto"/>
        </w:rPr>
        <w:t>”). Prior to payment, the Company shall have the right to review and dispute all such calculations and statements and have a certified public accountant selected by the Company review such calculations and statements and Executive shall provide such accounting firm with full access to all supporting documentation, including any related tax returns; provided that such accounting firm agrees that it will keep such return confidential and not share it with the Company. The Company shall have no right to see or review any tax return of Executive. If the Gross-Up Payments received by Executive with respect to any taxable year are less then the Final Gross-Up Amount, the Company shall pay to Executive such deficiency within forty-five (45) days of demand, provided that such demand is received at least 60 days prior to the end of the taxable year of Executive beginning after the taxable year of Executive in which the Executive is required to remit the taxes to which such Gross-Up Payment relates, provided that the Executive timely remitted such taxes to the relevant tax authorities. If the Gross-Up Payments received by Executive with respect to such taxable year are greater than the Final Gross-Up Amount, Executive shall return such excess to the Company within five (5) days of the determination of the Final Gross-Up Amount.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right="20" w:firstLine="656"/>
        <w:spacing w:after="0" w:line="253" w:lineRule="auto"/>
        <w:tabs>
          <w:tab w:leader="none" w:pos="9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Executive shall perform all duties normally associated with the position of Chairman and such other reasonable duties as may be assigned to him by the Board, and all duties normally associated with the position of JR Chairman and such other reasonable duties as may be assigned to him by the JR Board. In his capacity as Chairman, Executive shall report solely and directly to the Board. In his capacity as JR Chairman, Executive shall report solely and directly to the JR Board. Executive will devote sufficient working time, attention, and energies as is necessary to carry out and fulfill his duties and responsibilities under this Agreement. Executive agrees to abide by all policies applicable to employees of the Company Group adopted by the Board, including without limitation any tax or other guidelines relating to business activities within the United States. Executive represents that he is able and willing to engage in international travel as is necessary to perform his duties as Chairman and to further the Company’s business interests. Executive may, with the permission of the Board (which permission shall not be unreasonably withheld), perform duties for and receive compensation from business ventures in addition to the Company and James River, but in no event may Executive perform duties for and receive compensation from any Competitive Business (as defined in Section 7(c)(ii) below). During the Term, Executive shall serve as a member of the Board and the JR Board and may serve as an officer of any of the Company’s Affiliates (as defined herein), without additional compensation.</w:t>
      </w:r>
    </w:p>
    <w:p>
      <w:pPr>
        <w:sectPr>
          <w:pgSz w:w="11900" w:h="16838" w:orient="portrait"/>
          <w:cols w:equalWidth="0" w:num="1">
            <w:col w:w="11420"/>
          </w:cols>
          <w:pgMar w:left="240" w:top="797" w:right="239" w:bottom="1440" w:gutter="0" w:footer="0" w:header="0"/>
        </w:sectPr>
      </w:pPr>
    </w:p>
    <w:bookmarkStart w:id="58" w:name="page59"/>
    <w:bookmarkEnd w:id="58"/>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PRIVILEGED INFORMATION</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24" w:hanging="375"/>
        <w:spacing w:after="0"/>
        <w:tabs>
          <w:tab w:leader="none" w:pos="10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not at any time during the Term or thereafter:</w:t>
      </w:r>
    </w:p>
    <w:p>
      <w:pPr>
        <w:spacing w:after="0" w:line="225" w:lineRule="exact"/>
        <w:rPr>
          <w:rFonts w:ascii="Times New Roman" w:cs="Times New Roman" w:eastAsia="Times New Roman" w:hAnsi="Times New Roman"/>
          <w:sz w:val="18"/>
          <w:szCs w:val="18"/>
          <w:color w:val="auto"/>
        </w:rPr>
      </w:pPr>
    </w:p>
    <w:p>
      <w:pPr>
        <w:ind w:left="-656" w:right="40" w:firstLine="1953"/>
        <w:spacing w:after="0" w:line="253" w:lineRule="auto"/>
        <w:tabs>
          <w:tab w:leader="none" w:pos="1638"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reveal, divulge, or make known to any person, firm, or corporation or use for his personal benefit or the benefit of others (except the Company and any of its direct or indirect subsidiaries (hereinafter referred to as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and the Company, together with such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directly or indirectly, any confidential or proprietary information received or developed by him during the course of his employment. For the purposes of this Section 6(a)(i) confidential and proprietary information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be defined to mean (1) all historical and pro forma projections of loss ratios incurred by the Company Group; (2) all historical and pro forma actuarial data relating to the Company Group; (3) historical and pro forma financial results, revenue statements, and projections for the Company Group; (4) all information relating to the Company Group’s systems and software (other than the portion thereof provided by the vendor to all purchasers of such systems and software); (5) all information relating to the Company’s unique underwriting approach; (6) all information relating to plans for acquisitions of any business entities or blocks of business; (7) non-public business plans; (8) all other information relating to the financial, business, or other affairs of the Company Group including their customers; and (9) any information about any shareholder of the Company or any of its Affiliates or employees that has been furnished to Executive as a result of his position with the Company. Section 6(a)(i) shall not apply to Executive following the termination of his employment with the Company Group with respect to any Confidential Information known or made generally available to the general public or within the industry; or</w:t>
      </w:r>
    </w:p>
    <w:p>
      <w:pPr>
        <w:spacing w:after="0" w:line="190" w:lineRule="exact"/>
        <w:rPr>
          <w:rFonts w:ascii="Times New Roman" w:cs="Times New Roman" w:eastAsia="Times New Roman" w:hAnsi="Times New Roman"/>
          <w:sz w:val="18"/>
          <w:szCs w:val="18"/>
          <w:color w:val="auto"/>
        </w:rPr>
      </w:pPr>
    </w:p>
    <w:p>
      <w:pPr>
        <w:ind w:left="-656" w:right="120" w:firstLine="1953"/>
        <w:spacing w:after="0" w:line="255" w:lineRule="auto"/>
        <w:tabs>
          <w:tab w:leader="none" w:pos="1688"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reveal, divulge, or make known to any person, firm, or corporation, or use for his personal benefit or the benefit of others (except the Company Group), directly or indirectly, the name or names of any Customers (as defined in Section 7 below) of the Company Group, nor will he reveal, divulge, or make known to any person, firm, or corporation or use for his personal benefit or the benefit of others (except the Company Group), directly or indirectly, any trade secrets or any knowledge or information concerning any business methods or operational procedures engaged in by the Company Group (collectively, “</w:t>
      </w:r>
      <w:r>
        <w:rPr>
          <w:rFonts w:ascii="Times New Roman" w:cs="Times New Roman" w:eastAsia="Times New Roman" w:hAnsi="Times New Roman"/>
          <w:sz w:val="18"/>
          <w:szCs w:val="18"/>
          <w:u w:val="single" w:color="auto"/>
          <w:color w:val="auto"/>
        </w:rPr>
        <w:t>Privileged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restrictions set forth in this Section 6(a)(ii) shall not apply to Executive following the termination of his employment with the Company Group with respect to any Privileged Information known or made generally available to the general public or within the industry.</w:t>
      </w:r>
    </w:p>
    <w:p>
      <w:pPr>
        <w:spacing w:after="0" w:line="189" w:lineRule="exact"/>
        <w:rPr>
          <w:rFonts w:ascii="Times New Roman" w:cs="Times New Roman" w:eastAsia="Times New Roman" w:hAnsi="Times New Roman"/>
          <w:sz w:val="18"/>
          <w:szCs w:val="18"/>
          <w:color w:val="auto"/>
        </w:rPr>
      </w:pPr>
    </w:p>
    <w:p>
      <w:pPr>
        <w:ind w:left="-656" w:firstLine="1305"/>
        <w:spacing w:after="0" w:line="256" w:lineRule="auto"/>
        <w:tabs>
          <w:tab w:leader="none" w:pos="103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under 18 U.S.C. §1833(b),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or any other policy of the Companies is intended to conflict with this statutory protection, and no director, officer, or member of management has the authority to impose any rule to the contrary</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56" w:firstLine="1305"/>
        <w:spacing w:after="0" w:line="255"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as Chairman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he has responsibilities for and is directly involved in developing customer goodwill and relationships for the benefit of the Company Group;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he has knowledge of the Company Group’s Confidential Information and Privileged Information, and has been and will be compensated for the development, and supervising the development, of the same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he has unique insight into and knowledge of the skills, talents and capabilities of the Company Group’s key employees. Executive also acknowledges and agrees that at the inception of his employment with the Company it was agreed that he would be bound by noncompetition restrictions similar to those set forth herein, and furthermore, execution of this Agreement provides changes in the terms and conditions of his employment favorable to Executive that constitute sufficient consideration for Executive’s agreement to the noncompetition restrictions set forth in this Section 7.</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656" w:right="20" w:firstLine="1305"/>
        <w:spacing w:after="0" w:line="282" w:lineRule="auto"/>
        <w:tabs>
          <w:tab w:leader="none" w:pos="103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during his employment by the Company, and for the restricted period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after his employment with the Company ceases, he will not:</w:t>
      </w:r>
    </w:p>
    <w:p>
      <w:pPr>
        <w:spacing w:after="0" w:line="161" w:lineRule="exact"/>
        <w:rPr>
          <w:rFonts w:ascii="Times New Roman" w:cs="Times New Roman" w:eastAsia="Times New Roman" w:hAnsi="Times New Roman"/>
          <w:sz w:val="18"/>
          <w:szCs w:val="18"/>
          <w:color w:val="auto"/>
        </w:rPr>
      </w:pPr>
    </w:p>
    <w:p>
      <w:pPr>
        <w:ind w:left="-656" w:right="160" w:firstLine="1953"/>
        <w:spacing w:after="0" w:line="282" w:lineRule="auto"/>
        <w:tabs>
          <w:tab w:leader="none" w:pos="1638"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against the Company Group by engaging in, or by assisting any other person or entity to engage in, or by having an ownership interest in, any Competitive Business in the Territory (as defined below);</w:t>
      </w:r>
    </w:p>
    <w:p>
      <w:pPr>
        <w:spacing w:after="0" w:line="161" w:lineRule="exact"/>
        <w:rPr>
          <w:rFonts w:ascii="Times New Roman" w:cs="Times New Roman" w:eastAsia="Times New Roman" w:hAnsi="Times New Roman"/>
          <w:sz w:val="18"/>
          <w:szCs w:val="18"/>
          <w:color w:val="auto"/>
        </w:rPr>
      </w:pPr>
    </w:p>
    <w:p>
      <w:pPr>
        <w:ind w:left="-656" w:right="120" w:firstLine="1953"/>
        <w:spacing w:after="0" w:line="282" w:lineRule="auto"/>
        <w:tabs>
          <w:tab w:leader="none" w:pos="1688"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against the Company Group by soliciting any Customer of the Company Group to provide any goods or services in competition against the Company Group;</w:t>
      </w:r>
    </w:p>
    <w:p>
      <w:pPr>
        <w:sectPr>
          <w:pgSz w:w="11900" w:h="16838" w:orient="portrait"/>
          <w:cols w:equalWidth="0" w:num="1">
            <w:col w:w="10764"/>
          </w:cols>
          <w:pgMar w:left="896" w:top="796" w:right="239" w:bottom="1440" w:gutter="0" w:footer="0" w:header="0"/>
        </w:sectPr>
      </w:pPr>
    </w:p>
    <w:bookmarkStart w:id="59" w:name="page60"/>
    <w:bookmarkEnd w:id="59"/>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(iii)</w:t>
        <w:tab/>
        <w:t>induce or persuade any Customer of the Company Group not to do business with, or to switch business from,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w:t>
      </w:r>
    </w:p>
    <w:p>
      <w:pPr>
        <w:spacing w:after="0" w:line="207"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solicit, or assist others in soliciting, Key Employees (as defined below) to either leave the Company Group or to engage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 Business.</w:t>
      </w:r>
    </w:p>
    <w:p>
      <w:pPr>
        <w:spacing w:after="0" w:line="200" w:lineRule="exact"/>
        <w:rPr>
          <w:sz w:val="20"/>
          <w:szCs w:val="20"/>
          <w:color w:val="auto"/>
        </w:rPr>
      </w:pPr>
    </w:p>
    <w:p>
      <w:pPr>
        <w:spacing w:after="0" w:line="223" w:lineRule="exact"/>
        <w:rPr>
          <w:sz w:val="20"/>
          <w:szCs w:val="20"/>
          <w:color w:val="auto"/>
        </w:rPr>
      </w:pPr>
    </w:p>
    <w:p>
      <w:pPr>
        <w:ind w:left="1680" w:hanging="375"/>
        <w:spacing w:after="0"/>
        <w:tabs>
          <w:tab w:leader="none" w:pos="16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capitalized terms shall have the meanings set forth below:</w:t>
      </w:r>
    </w:p>
    <w:p>
      <w:pPr>
        <w:spacing w:after="0" w:line="225" w:lineRule="exact"/>
        <w:rPr>
          <w:rFonts w:ascii="Times New Roman" w:cs="Times New Roman" w:eastAsia="Times New Roman" w:hAnsi="Times New Roman"/>
          <w:sz w:val="18"/>
          <w:szCs w:val="18"/>
          <w:color w:val="auto"/>
        </w:rPr>
      </w:pPr>
    </w:p>
    <w:p>
      <w:pPr>
        <w:ind w:firstLine="1953"/>
        <w:spacing w:after="0" w:line="266" w:lineRule="auto"/>
        <w:tabs>
          <w:tab w:leader="none" w:pos="23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shall mean eighteen (18) months, unless a court of competent jurisdiction determines that such period is overbroad or unenforceable in which case it shall mean either one year, six months, or three months, whichever period is the maximum enforceable Restricted Period.</w:t>
      </w:r>
    </w:p>
    <w:p>
      <w:pPr>
        <w:spacing w:after="0" w:line="176" w:lineRule="exact"/>
        <w:rPr>
          <w:rFonts w:ascii="Times New Roman" w:cs="Times New Roman" w:eastAsia="Times New Roman" w:hAnsi="Times New Roman"/>
          <w:sz w:val="18"/>
          <w:szCs w:val="18"/>
          <w:color w:val="auto"/>
        </w:rPr>
      </w:pPr>
    </w:p>
    <w:p>
      <w:pPr>
        <w:ind w:right="120" w:firstLine="1953"/>
        <w:spacing w:after="0" w:line="256" w:lineRule="auto"/>
        <w:tabs>
          <w:tab w:leader="none" w:pos="234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xml:space="preserve">” shall mean the business of acquiring, holding, and/or operating excess and surplus lines insurance companies, and any other material business that the Company Group is engaged in as of the date of this Agreement and as the business of the Company Group evolves during the Term;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court of competent jurisdiction determines that such definition is overbroad or unenforceable, it shall be further limited to the business of the Company Group regarding which Executive had Confidential Information or Privileged Information during the last year of the Term, and if this narrowed definition is still deemed by such court to be overbroad or unenforceable, it shall be further limited to business of the Company Group under Executive’s management and control during the last year of the Term;</w:t>
      </w:r>
    </w:p>
    <w:p>
      <w:pPr>
        <w:spacing w:after="0" w:line="187" w:lineRule="exact"/>
        <w:rPr>
          <w:rFonts w:ascii="Times New Roman" w:cs="Times New Roman" w:eastAsia="Times New Roman" w:hAnsi="Times New Roman"/>
          <w:sz w:val="18"/>
          <w:szCs w:val="18"/>
          <w:color w:val="auto"/>
        </w:rPr>
      </w:pPr>
    </w:p>
    <w:p>
      <w:pPr>
        <w:ind w:right="20" w:firstLine="1953"/>
        <w:spacing w:after="0" w:line="256" w:lineRule="auto"/>
        <w:tabs>
          <w:tab w:leader="none" w:pos="239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shall mean Bermuda and each and every state or other United States jurisdiction (“</w:t>
      </w:r>
      <w:r>
        <w:rPr>
          <w:rFonts w:ascii="Times New Roman" w:cs="Times New Roman" w:eastAsia="Times New Roman" w:hAnsi="Times New Roman"/>
          <w:sz w:val="18"/>
          <w:szCs w:val="18"/>
          <w:u w:val="single" w:color="auto"/>
          <w:color w:val="auto"/>
        </w:rPr>
        <w:t>State(s)</w:t>
      </w:r>
      <w:r>
        <w:rPr>
          <w:rFonts w:ascii="Times New Roman" w:cs="Times New Roman" w:eastAsia="Times New Roman" w:hAnsi="Times New Roman"/>
          <w:sz w:val="18"/>
          <w:szCs w:val="18"/>
          <w:color w:val="auto"/>
        </w:rPr>
        <w:t xml:space="preserve">”) where the Company Group is licensed or admitted at the end of the Term and/or is then in the process of seeking to be licensed;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court of competent jurisdiction determines that such definition is overbroad or unenforceable, it shall be further limited to Bermuda and States with respect to which Executive had Confidential Information or Privileged Information regarding the Company Group’s business or operations during the last year of the Term, and if this narrowed definition is still deemed by such court to be overbroad or unenforceable, it shall be further limited to Bermuda and States where Executive conducted, or supervised the conduct of, Company Group business during the last year of the Term;</w:t>
      </w:r>
    </w:p>
    <w:p>
      <w:pPr>
        <w:spacing w:after="0" w:line="187" w:lineRule="exact"/>
        <w:rPr>
          <w:rFonts w:ascii="Times New Roman" w:cs="Times New Roman" w:eastAsia="Times New Roman" w:hAnsi="Times New Roman"/>
          <w:sz w:val="18"/>
          <w:szCs w:val="18"/>
          <w:color w:val="auto"/>
        </w:rPr>
      </w:pPr>
    </w:p>
    <w:p>
      <w:pPr>
        <w:ind w:right="20" w:firstLine="1953"/>
        <w:spacing w:after="0" w:line="258" w:lineRule="auto"/>
        <w:tabs>
          <w:tab w:leader="none" w:pos="238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xml:space="preserve">” shall mean any customer of the Company Group that purchased products or services from the Company during the last year of the Term;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court of competent jurisdiction determines that such definition is overbroad or unenforceable, it shall be further limited to customers about which Executive either had Confidential Information or Privileged Information or personal or management responsibility for customer contact or service, and if this narrowed definition is still deemed by such court to be overbroad or unenforceable, it shall be further limited to customers of the Company Group with which Executive had direct contact during the last six months of the Term;</w:t>
      </w:r>
    </w:p>
    <w:p>
      <w:pPr>
        <w:spacing w:after="0" w:line="183" w:lineRule="exact"/>
        <w:rPr>
          <w:rFonts w:ascii="Times New Roman" w:cs="Times New Roman" w:eastAsia="Times New Roman" w:hAnsi="Times New Roman"/>
          <w:sz w:val="18"/>
          <w:szCs w:val="18"/>
          <w:color w:val="auto"/>
        </w:rPr>
      </w:pPr>
    </w:p>
    <w:p>
      <w:pPr>
        <w:ind w:right="200" w:firstLine="1953"/>
        <w:spacing w:after="0" w:line="282" w:lineRule="auto"/>
        <w:tabs>
          <w:tab w:leader="none" w:pos="233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shall mean any executive, managerial, sales, marketing, or supervisory level employees of the Company Group under Executive’s management authority during the last year of the Term.</w:t>
      </w:r>
    </w:p>
    <w:p>
      <w:pPr>
        <w:spacing w:after="0" w:line="377" w:lineRule="exact"/>
        <w:rPr>
          <w:rFonts w:ascii="Times New Roman" w:cs="Times New Roman" w:eastAsia="Times New Roman" w:hAnsi="Times New Roman"/>
          <w:sz w:val="18"/>
          <w:szCs w:val="18"/>
          <w:color w:val="auto"/>
        </w:rPr>
      </w:pPr>
    </w:p>
    <w:p>
      <w:pPr>
        <w:ind w:right="480" w:firstLine="1305"/>
        <w:spacing w:after="0" w:line="261" w:lineRule="auto"/>
        <w:tabs>
          <w:tab w:leader="none" w:pos="168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Section 7 shall not prevent the purchase of ownership by Executive of not more than 3% of the securities of any class of any corporation, whether or not such corporation is engaged in any Competitive Business, which are publicly traded on any securities exchange or any “over the counter” market or held through an ownership interest in a private equity or investment firm otherwise permitted pursuant to Section 7(e) below.</w:t>
      </w:r>
    </w:p>
    <w:p>
      <w:pPr>
        <w:spacing w:after="0" w:line="396" w:lineRule="exact"/>
        <w:rPr>
          <w:rFonts w:ascii="Times New Roman" w:cs="Times New Roman" w:eastAsia="Times New Roman" w:hAnsi="Times New Roman"/>
          <w:sz w:val="18"/>
          <w:szCs w:val="18"/>
          <w:color w:val="auto"/>
        </w:rPr>
      </w:pPr>
    </w:p>
    <w:p>
      <w:pPr>
        <w:ind w:right="40" w:firstLine="1305"/>
        <w:spacing w:after="0" w:line="255" w:lineRule="auto"/>
        <w:tabs>
          <w:tab w:leader="none" w:pos="16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contained in this Agreement shall prohibit or restrict Executive, during the Restricted Period and thereafter, from engaging in the business of, assisting any other person or entity engaging in the business of, or having an ownership interest in, in each case as an employee, consultant, partner or otherwise, any private equity or investment firm which invests in financial institutions, in each case so long as Executive’s activities, interest, and association with any such private equity or investment firm does not in any way relate to any Competitive Business (other than through ownership of 3% or less of the securities of any corporation engaged in any Competitive Business, which are held through an ownership interest in such private equity or investment firm or its affiliated investment funds) and Executive does not use or disclose Confidential Information or Privileged Information in connection with such activities .</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Executive’s employment hereunder shall terminate under the following circumstances: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right="120" w:firstLine="1305"/>
        <w:spacing w:after="0" w:line="266" w:lineRule="auto"/>
        <w:tabs>
          <w:tab w:leader="none" w:pos="167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Upon the approval of not less than such number of members of the Board of Directors of the Company constituting 75% of the entire Board, excluding entirely from such calculation Executive and any other member of management serving on such Board, who will be excused from voting (such approval, “</w:t>
      </w:r>
      <w:r>
        <w:rPr>
          <w:rFonts w:ascii="Times New Roman" w:cs="Times New Roman" w:eastAsia="Times New Roman" w:hAnsi="Times New Roman"/>
          <w:sz w:val="18"/>
          <w:szCs w:val="18"/>
          <w:u w:val="single" w:color="auto"/>
          <w:color w:val="auto"/>
        </w:rPr>
        <w:t>Supermajority</w:t>
      </w:r>
    </w:p>
    <w:p>
      <w:pPr>
        <w:sectPr>
          <w:pgSz w:w="11900" w:h="16838" w:orient="portrait"/>
          <w:cols w:equalWidth="0" w:num="1">
            <w:col w:w="11400"/>
          </w:cols>
          <w:pgMar w:left="240" w:top="580" w:right="259" w:bottom="1440" w:gutter="0" w:footer="0" w:header="0"/>
        </w:sectPr>
      </w:pPr>
    </w:p>
    <w:bookmarkStart w:id="60" w:name="page61"/>
    <w:bookmarkEnd w:id="60"/>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the Company may terminate the employment of Executive for Cause at any time by providing written notice to Executive specifying the cause of the termination. For the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that: (i) Executive willfully violated Sections 6 or 7 of this Agreement; (ii) Executive grossly neglected his duties hereunder; (iii) Executive was convicted of a felony or a crime involving moral turpitude (meaning a crime that includes the commission of an act of depravity, dishonesty, or bad morals); (iv) Executive has committed an act of dishonesty, fraud, or embezzlement against the Company Group; or (v) Executive willfully and/or knowingly breached this Agreement in any material respect or willfully and/or knowingly violated the Company’s operating guidelines.</w:t>
      </w:r>
    </w:p>
    <w:p>
      <w:pPr>
        <w:spacing w:after="0" w:line="200" w:lineRule="exact"/>
        <w:rPr>
          <w:sz w:val="20"/>
          <w:szCs w:val="20"/>
          <w:color w:val="auto"/>
        </w:rPr>
      </w:pPr>
    </w:p>
    <w:p>
      <w:pPr>
        <w:spacing w:after="0" w:line="204" w:lineRule="exact"/>
        <w:rPr>
          <w:sz w:val="20"/>
          <w:szCs w:val="20"/>
          <w:color w:val="auto"/>
        </w:rPr>
      </w:pPr>
    </w:p>
    <w:p>
      <w:pPr>
        <w:ind w:right="140" w:firstLine="1297"/>
        <w:spacing w:after="0" w:line="274" w:lineRule="auto"/>
        <w:rPr>
          <w:sz w:val="20"/>
          <w:szCs w:val="20"/>
          <w:color w:val="auto"/>
        </w:rPr>
      </w:pPr>
      <w:r>
        <w:rPr>
          <w:rFonts w:ascii="Times New Roman" w:cs="Times New Roman" w:eastAsia="Times New Roman" w:hAnsi="Times New Roman"/>
          <w:sz w:val="17"/>
          <w:szCs w:val="17"/>
          <w:color w:val="auto"/>
        </w:rPr>
        <w:t>In the event that the Company provides written notice of termination for Cause, Executive shall first be entitled to cure any violation of Sections 6 or 7 of this Agreement or any alleged neglect of his duties within 30 days of receiving written notice from the Company specifying in detail the factual basis for its belief that Executive willfully violated Sections 6 or 7 of this Agreement or grossly neglected his duties hereunder. Following expiration of the opportunity to cure, the Company shall provide Executive with the opportunity to meet with the Board to address the allegations. Executive may be represented by counsel at this meeting. Following the completion of Executive’s presentation, the Board (other than Executive, if Executive is a member of the Board) shall deliberate. If Supermajority Approval is obtained a second time, the Company shall terminate Executive for Cause.</w:t>
      </w:r>
    </w:p>
    <w:p>
      <w:pPr>
        <w:spacing w:after="0" w:line="390"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If the employment of Executive is terminated for Cause, Executive’s salary and right to receive fringe benefits shall terminate on the date of the final vote by the Board, as applicable, to terminate Executive.</w:t>
      </w:r>
    </w:p>
    <w:p>
      <w:pPr>
        <w:spacing w:after="0" w:line="378" w:lineRule="exact"/>
        <w:rPr>
          <w:sz w:val="20"/>
          <w:szCs w:val="20"/>
          <w:color w:val="auto"/>
        </w:rPr>
      </w:pPr>
    </w:p>
    <w:p>
      <w:pPr>
        <w:ind w:right="780" w:firstLine="1305"/>
        <w:spacing w:after="0" w:line="282" w:lineRule="auto"/>
        <w:tabs>
          <w:tab w:leader="none" w:pos="16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Failure to Renew or Termination Without Cause</w:t>
      </w:r>
      <w:r>
        <w:rPr>
          <w:rFonts w:ascii="Times New Roman" w:cs="Times New Roman" w:eastAsia="Times New Roman" w:hAnsi="Times New Roman"/>
          <w:sz w:val="18"/>
          <w:szCs w:val="18"/>
          <w:color w:val="auto"/>
        </w:rPr>
        <w:t>. Upon Supermajority Approval, the Company may terminate the employment of Executive at any time without Cause or may elect to have the Term of this Agreement expire.</w:t>
      </w:r>
    </w:p>
    <w:p>
      <w:pPr>
        <w:spacing w:after="0" w:line="377" w:lineRule="exact"/>
        <w:rPr>
          <w:rFonts w:ascii="Times New Roman" w:cs="Times New Roman" w:eastAsia="Times New Roman" w:hAnsi="Times New Roman"/>
          <w:sz w:val="18"/>
          <w:szCs w:val="18"/>
          <w:color w:val="auto"/>
        </w:rPr>
      </w:pPr>
    </w:p>
    <w:p>
      <w:pPr>
        <w:jc w:val="both"/>
        <w:ind w:right="380" w:firstLine="1305"/>
        <w:spacing w:after="0" w:line="261" w:lineRule="auto"/>
        <w:tabs>
          <w:tab w:leader="none" w:pos="16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Failure to Renew or Termination Without Good Reason</w:t>
      </w:r>
      <w:r>
        <w:rPr>
          <w:rFonts w:ascii="Times New Roman" w:cs="Times New Roman" w:eastAsia="Times New Roman" w:hAnsi="Times New Roman"/>
          <w:sz w:val="18"/>
          <w:szCs w:val="18"/>
          <w:color w:val="auto"/>
        </w:rPr>
        <w:t>. Executive shall have the right to elect to have the Term of this Agreement expire. In addition, upon the date one year and one day following the Effective Date and any date thereafter, Executive shall have the right to terminate employment hereunder without Good Reason by providing the Company with a written notice of termination at least 90 days prior to his Termination Date.</w:t>
      </w:r>
    </w:p>
    <w:p>
      <w:pPr>
        <w:spacing w:after="0" w:line="396" w:lineRule="exact"/>
        <w:rPr>
          <w:rFonts w:ascii="Times New Roman" w:cs="Times New Roman" w:eastAsia="Times New Roman" w:hAnsi="Times New Roman"/>
          <w:sz w:val="18"/>
          <w:szCs w:val="18"/>
          <w:color w:val="auto"/>
        </w:rPr>
      </w:pPr>
    </w:p>
    <w:p>
      <w:pPr>
        <w:ind w:firstLine="1305"/>
        <w:spacing w:after="0" w:line="282" w:lineRule="auto"/>
        <w:tabs>
          <w:tab w:leader="none" w:pos="16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Executive for Good Reason</w:t>
      </w:r>
      <w:r>
        <w:rPr>
          <w:rFonts w:ascii="Times New Roman" w:cs="Times New Roman" w:eastAsia="Times New Roman" w:hAnsi="Times New Roman"/>
          <w:sz w:val="18"/>
          <w:szCs w:val="18"/>
          <w:color w:val="auto"/>
        </w:rPr>
        <w:t>. Executive may, at his option, terminate this Agreement for Good Reason.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occurrence of any one or more of the following events without the prior consent of Executive:</w:t>
      </w:r>
    </w:p>
    <w:p>
      <w:pPr>
        <w:spacing w:after="0" w:line="161" w:lineRule="exact"/>
        <w:rPr>
          <w:rFonts w:ascii="Times New Roman" w:cs="Times New Roman" w:eastAsia="Times New Roman" w:hAnsi="Times New Roman"/>
          <w:sz w:val="18"/>
          <w:szCs w:val="18"/>
          <w:color w:val="auto"/>
        </w:rPr>
      </w:pPr>
    </w:p>
    <w:p>
      <w:pPr>
        <w:ind w:right="620" w:firstLine="1953"/>
        <w:spacing w:after="0" w:line="282" w:lineRule="auto"/>
        <w:tabs>
          <w:tab w:leader="none" w:pos="22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Executive of any duties inconsistent in any material adverse respect with his position, authority, or responsibilities, or any other material adverse change in such position, including titles, authority, or responsibilities;</w:t>
      </w:r>
    </w:p>
    <w:p>
      <w:pPr>
        <w:spacing w:after="0" w:line="161" w:lineRule="exact"/>
        <w:rPr>
          <w:rFonts w:ascii="Times New Roman" w:cs="Times New Roman" w:eastAsia="Times New Roman" w:hAnsi="Times New Roman"/>
          <w:sz w:val="18"/>
          <w:szCs w:val="18"/>
          <w:color w:val="auto"/>
        </w:rPr>
      </w:pPr>
    </w:p>
    <w:p>
      <w:pPr>
        <w:ind w:right="260" w:firstLine="1953"/>
        <w:spacing w:after="0" w:line="261" w:lineRule="auto"/>
        <w:tabs>
          <w:tab w:leader="none" w:pos="234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of the Company and James River to continue to provide Executive with substantially similar compensation, or perquisites or benefits under the Company’s benefit programs;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with respect to perquisites or benefits provided to substantially all salaried employees of the Company, any amendment, modification, or discontinuation of any plans or benefits that generally affect substantially all salaried employees of the Company shall not be deemed to constitute Good Reason;</w:t>
      </w:r>
    </w:p>
    <w:p>
      <w:pPr>
        <w:spacing w:after="0" w:line="180" w:lineRule="exact"/>
        <w:rPr>
          <w:rFonts w:ascii="Times New Roman" w:cs="Times New Roman" w:eastAsia="Times New Roman" w:hAnsi="Times New Roman"/>
          <w:sz w:val="18"/>
          <w:szCs w:val="18"/>
          <w:color w:val="auto"/>
        </w:rPr>
      </w:pPr>
    </w:p>
    <w:p>
      <w:pPr>
        <w:jc w:val="both"/>
        <w:ind w:right="360" w:firstLine="1953"/>
        <w:spacing w:after="0" w:line="266" w:lineRule="auto"/>
        <w:tabs>
          <w:tab w:leader="none" w:pos="23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James River’s requiring Executive to be based at any office or location more than 35 miles from the location at which he performed services for James River when he previously served as Chief Executive Officer of the Company (it being understood that Executive shall be required to have an office in and to discharge certain duties in Bermuda); or</w:t>
      </w:r>
    </w:p>
    <w:p>
      <w:pPr>
        <w:spacing w:after="0" w:line="176" w:lineRule="exact"/>
        <w:rPr>
          <w:rFonts w:ascii="Times New Roman" w:cs="Times New Roman" w:eastAsia="Times New Roman" w:hAnsi="Times New Roman"/>
          <w:sz w:val="18"/>
          <w:szCs w:val="18"/>
          <w:color w:val="auto"/>
        </w:rPr>
      </w:pPr>
    </w:p>
    <w:p>
      <w:pPr>
        <w:ind w:right="260" w:firstLine="1953"/>
        <w:spacing w:after="0" w:line="282" w:lineRule="auto"/>
        <w:tabs>
          <w:tab w:leader="none" w:pos="237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the Company or James River of any of the provisions of this Agreement or any failure by the Company to carry out any of its obligations hereunder;</w:t>
      </w:r>
    </w:p>
    <w:p>
      <w:pPr>
        <w:spacing w:after="0" w:line="3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and, in each case, the failure by the Company or James River, as applicable, to cure such condition within the 30 day period after receipt of written notice from Executive specifying in detail the factual basis for his belief that he has Good Reason to resign (“</w:t>
      </w:r>
      <w:r>
        <w:rPr>
          <w:rFonts w:ascii="Times New Roman" w:cs="Times New Roman" w:eastAsia="Times New Roman" w:hAnsi="Times New Roman"/>
          <w:sz w:val="18"/>
          <w:szCs w:val="18"/>
          <w:u w:val="single" w:color="auto"/>
          <w:color w:val="auto"/>
        </w:rPr>
        <w:t>Good Reason Notice</w:t>
      </w:r>
      <w:r>
        <w:rPr>
          <w:rFonts w:ascii="Times New Roman" w:cs="Times New Roman" w:eastAsia="Times New Roman" w:hAnsi="Times New Roman"/>
          <w:sz w:val="18"/>
          <w:szCs w:val="18"/>
          <w:color w:val="auto"/>
        </w:rPr>
        <w:t>”). Executive must deliver a Good Reason Notice within 30 calendar days after the initial existence of a Good Reason condition, and, if the Company or James River, as applicable, fails to timely cure such Good Reason condition, Executive must terminate his employment with both the Company and James River within one year after the initial existence of such Good Reason condition, and any failure by Executive to timely comply with either of these requirements shall constitute a waiver of Executive’s right to resign for Good Reason for such condition.</w:t>
      </w:r>
    </w:p>
    <w:p>
      <w:pPr>
        <w:sectPr>
          <w:pgSz w:w="11900" w:h="16838" w:orient="portrait"/>
          <w:cols w:equalWidth="0" w:num="1">
            <w:col w:w="11380"/>
          </w:cols>
          <w:pgMar w:left="240" w:top="796" w:right="279" w:bottom="1440" w:gutter="0" w:footer="0" w:header="0"/>
        </w:sectPr>
      </w:pPr>
    </w:p>
    <w:bookmarkStart w:id="61" w:name="page62"/>
    <w:bookmarkEnd w:id="61"/>
    <w:p>
      <w:pPr>
        <w:ind w:left="-656" w:firstLine="1305"/>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Upon Supermajority Approval, the Company may terminate Executive’s employment if he is prevented from performing his responsibilities under this Agreement for a consecutive period of six months or longer during any 12-month period of the Term hereof, by reason of any accident, illness, or mental, or physical disability. Executive’s employment hereunder shall terminate upon his death.</w:t>
      </w:r>
    </w:p>
    <w:p>
      <w:pPr>
        <w:spacing w:after="0" w:line="39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UPON TERMINATION; INFORMATION RIGHTS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56" w:right="120" w:firstLine="1305"/>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terminates Executive’s employment without Cause or elects to have the Term of this Agreement expire in connection with the Executive’s termination of employment, or if Executive terminates his employment for Good Reason:</w:t>
      </w:r>
    </w:p>
    <w:p>
      <w:pPr>
        <w:spacing w:after="0" w:line="161" w:lineRule="exact"/>
        <w:rPr>
          <w:rFonts w:ascii="Times New Roman" w:cs="Times New Roman" w:eastAsia="Times New Roman" w:hAnsi="Times New Roman"/>
          <w:sz w:val="18"/>
          <w:szCs w:val="18"/>
          <w:color w:val="auto"/>
        </w:rPr>
      </w:pPr>
    </w:p>
    <w:p>
      <w:pPr>
        <w:ind w:left="-656" w:right="560" w:firstLine="1953"/>
        <w:spacing w:after="0" w:line="266" w:lineRule="auto"/>
        <w:tabs>
          <w:tab w:leader="none" w:pos="163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such termination but no later than ten (10) days after the Termination Date (as defined below), the Company shall pay to Executive his accrued but yet unpaid base salary earned through the Termination Date and any accrued, but unused vacation pay through the Termination Date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656" w:right="240" w:firstLine="1953"/>
        <w:spacing w:after="0" w:line="282" w:lineRule="auto"/>
        <w:tabs>
          <w:tab w:leader="none" w:pos="168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following the Termination Date, the Company shall reimburse Executive for reasonable expenses incurred, but not paid prior to the Termination Date;</w:t>
      </w:r>
    </w:p>
    <w:p>
      <w:pPr>
        <w:spacing w:after="0" w:line="161" w:lineRule="exact"/>
        <w:rPr>
          <w:rFonts w:ascii="Times New Roman" w:cs="Times New Roman" w:eastAsia="Times New Roman" w:hAnsi="Times New Roman"/>
          <w:sz w:val="18"/>
          <w:szCs w:val="18"/>
          <w:color w:val="auto"/>
        </w:rPr>
      </w:pPr>
    </w:p>
    <w:p>
      <w:pPr>
        <w:ind w:left="1744" w:hanging="447"/>
        <w:spacing w:after="0"/>
        <w:tabs>
          <w:tab w:leader="none" w:pos="174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obligations of the Company pursuant to Section 4 shall be paid in accordance with Section 4;</w:t>
      </w:r>
    </w:p>
    <w:p>
      <w:pPr>
        <w:spacing w:after="0" w:line="225" w:lineRule="exact"/>
        <w:rPr>
          <w:rFonts w:ascii="Times New Roman" w:cs="Times New Roman" w:eastAsia="Times New Roman" w:hAnsi="Times New Roman"/>
          <w:sz w:val="18"/>
          <w:szCs w:val="18"/>
          <w:color w:val="auto"/>
        </w:rPr>
      </w:pPr>
    </w:p>
    <w:p>
      <w:pPr>
        <w:jc w:val="both"/>
        <w:ind w:left="-656" w:right="300" w:firstLine="1953"/>
        <w:spacing w:after="0" w:line="266" w:lineRule="auto"/>
        <w:tabs>
          <w:tab w:leader="none" w:pos="172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execution and delivery of a mutual release (which release shall in no way alter or result in the waiver of the post-termination restrictions set forth in Sections 6 and 7 above) in a form acceptable to Executive and the Company within 45 days after the Termination Date (the “</w:t>
      </w:r>
      <w:r>
        <w:rPr>
          <w:rFonts w:ascii="Times New Roman" w:cs="Times New Roman" w:eastAsia="Times New Roman" w:hAnsi="Times New Roman"/>
          <w:sz w:val="18"/>
          <w:szCs w:val="18"/>
          <w:u w:val="single" w:color="auto"/>
          <w:color w:val="auto"/>
        </w:rPr>
        <w:t>Release Expiration Date</w:t>
      </w:r>
      <w:r>
        <w:rPr>
          <w:rFonts w:ascii="Times New Roman" w:cs="Times New Roman" w:eastAsia="Times New Roman" w:hAnsi="Times New Roman"/>
          <w:sz w:val="18"/>
          <w:szCs w:val="18"/>
          <w:color w:val="auto"/>
        </w:rPr>
        <w:t>”), which release has not been revoked, Executive is entitled to receive:</w:t>
      </w:r>
    </w:p>
    <w:p>
      <w:pPr>
        <w:spacing w:after="0" w:line="392" w:lineRule="exact"/>
        <w:rPr>
          <w:rFonts w:ascii="Times New Roman" w:cs="Times New Roman" w:eastAsia="Times New Roman" w:hAnsi="Times New Roman"/>
          <w:sz w:val="18"/>
          <w:szCs w:val="18"/>
          <w:color w:val="auto"/>
        </w:rPr>
      </w:pPr>
    </w:p>
    <w:p>
      <w:pPr>
        <w:jc w:val="both"/>
        <w:ind w:left="4" w:right="20" w:firstLine="1941"/>
        <w:spacing w:after="0" w:line="233" w:lineRule="auto"/>
        <w:tabs>
          <w:tab w:leader="none" w:pos="2339"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gross amount equal to $70,833.33 per month, subject to any applicable deductions and withholdings, for a period of 36 months after the Termination Date, which shall be paid in periodic installments in accordance with the Company’s normal payroll practices in place at the time of such termination, with such installments commencing on the first payroll cycle on or after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after the Termination Date unless such amount is required to be delayed pursuant to Section 11 below;</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 w:right="100" w:firstLine="1941"/>
        <w:spacing w:after="0" w:line="258" w:lineRule="auto"/>
        <w:tabs>
          <w:tab w:leader="none" w:pos="2339"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at the Company’s expense of coverage under all plans, insurance policies, and other fringe benefits described in Section 2 above, for a period of 12 months after the Termination Date, to the extent such post-employment coverage is authorized by such plans, provided, however if post-employment coverage is not authorized under such health insurance plan, then the Company will pay Executive the premium cost for health insurance coverage that the Company would have paid if Executive had continued being a participant in such health insurance plan during the applicable 12 month period;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4" w:right="180" w:firstLine="1941"/>
        <w:spacing w:after="0" w:line="282" w:lineRule="auto"/>
        <w:tabs>
          <w:tab w:leader="none" w:pos="2339"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discretionary bonus to which Executive is entitled on the Termination Date, which shall be paid in a lump sum on the normal bonus payment date.</w:t>
      </w:r>
    </w:p>
    <w:p>
      <w:pPr>
        <w:spacing w:after="0" w:line="378" w:lineRule="exact"/>
        <w:rPr>
          <w:sz w:val="20"/>
          <w:szCs w:val="20"/>
          <w:color w:val="auto"/>
        </w:rPr>
      </w:pPr>
    </w:p>
    <w:p>
      <w:pPr>
        <w:ind w:left="-656" w:right="200" w:firstLine="656"/>
        <w:spacing w:after="0" w:line="261" w:lineRule="auto"/>
        <w:tabs>
          <w:tab w:leader="none" w:pos="3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Executive fails to execute the Release on or prior to the Release Expiration Date, Executive shall not be entitled to any payments or benefits pursuant to Section 9(a)(iv). Notwithstanding the foregoing, if the Release could become effective during the calendar year following the calendar year of the Termination Date, then no such payments that constitute “deferred compensation” under Internal Revenue Code Section 409A shall be made earlier than the first day of the calendar year following the calendar year of the Termination Date.</w:t>
      </w:r>
    </w:p>
    <w:p>
      <w:pPr>
        <w:spacing w:after="0" w:line="396" w:lineRule="exact"/>
        <w:rPr>
          <w:rFonts w:ascii="Times New Roman" w:cs="Times New Roman" w:eastAsia="Times New Roman" w:hAnsi="Times New Roman"/>
          <w:sz w:val="18"/>
          <w:szCs w:val="18"/>
          <w:color w:val="auto"/>
        </w:rPr>
      </w:pPr>
    </w:p>
    <w:p>
      <w:pPr>
        <w:ind w:left="-656" w:right="600" w:firstLine="1305"/>
        <w:spacing w:after="0" w:line="282" w:lineRule="auto"/>
        <w:tabs>
          <w:tab w:leader="none" w:pos="103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is terminated by the Company for Cause or due to death or disability, or if Executive terminates his employment with the Company without Good Reason or by failing to renew the terms of this Agreement pursuant to Section 1:</w:t>
      </w:r>
    </w:p>
    <w:p>
      <w:pPr>
        <w:spacing w:after="0" w:line="161" w:lineRule="exact"/>
        <w:rPr>
          <w:rFonts w:ascii="Times New Roman" w:cs="Times New Roman" w:eastAsia="Times New Roman" w:hAnsi="Times New Roman"/>
          <w:sz w:val="18"/>
          <w:szCs w:val="18"/>
          <w:color w:val="auto"/>
        </w:rPr>
      </w:pPr>
    </w:p>
    <w:p>
      <w:pPr>
        <w:ind w:left="1644" w:hanging="347"/>
        <w:spacing w:after="0"/>
        <w:tabs>
          <w:tab w:leader="none" w:pos="164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days following the Termination Date, the Company shall pay to Executive the Accrued Obligations;</w:t>
      </w:r>
    </w:p>
    <w:p>
      <w:pPr>
        <w:spacing w:after="0" w:line="225" w:lineRule="exact"/>
        <w:rPr>
          <w:rFonts w:ascii="Times New Roman" w:cs="Times New Roman" w:eastAsia="Times New Roman" w:hAnsi="Times New Roman"/>
          <w:sz w:val="18"/>
          <w:szCs w:val="18"/>
          <w:color w:val="auto"/>
        </w:rPr>
      </w:pPr>
    </w:p>
    <w:p>
      <w:pPr>
        <w:ind w:left="-656" w:right="260" w:firstLine="1953"/>
        <w:spacing w:after="0" w:line="282" w:lineRule="auto"/>
        <w:tabs>
          <w:tab w:leader="none" w:pos="168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following the Termination Date, the Company shall reimburse Executive for reasonable expenses incurred, but not paid prior to the Termination Date; and</w:t>
      </w:r>
    </w:p>
    <w:p>
      <w:pPr>
        <w:sectPr>
          <w:pgSz w:w="11900" w:h="16838" w:orient="portrait"/>
          <w:cols w:equalWidth="0" w:num="1">
            <w:col w:w="10764"/>
          </w:cols>
          <w:pgMar w:left="896" w:top="797" w:right="239" w:bottom="1440" w:gutter="0" w:footer="0" w:header="0"/>
        </w:sectPr>
      </w:pPr>
    </w:p>
    <w:bookmarkStart w:id="62" w:name="page63"/>
    <w:bookmarkEnd w:id="62"/>
    <w:p>
      <w:pPr>
        <w:ind w:left="1744" w:hanging="447"/>
        <w:spacing w:after="0"/>
        <w:tabs>
          <w:tab w:leader="none" w:pos="17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obligations of the Company pursuant to Section 4 shall be paid in accordance with Section 4.</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56" w:right="20" w:firstLine="1305"/>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payments provided under Sections 9(a)(i), 9(a)(ii), 9(a)(iii) and 9(b), all compensation and benefits paid pursuant to this Section 9 shall cease and Executive shall promptly return any amount paid under Section 9(a)(iv) to the Company if Executive violates any of the terms of Sections 6 or 7 above during the Restricted Period, and the Company shall not be required to provide Executive with any information described in Section 9(e). In addition to these remedies, the Company shall have all other remedies provided by this Agreement and by law for the breach of Sections 6 or 7 above.</w:t>
      </w:r>
    </w:p>
    <w:p>
      <w:pPr>
        <w:spacing w:after="0" w:line="396" w:lineRule="exact"/>
        <w:rPr>
          <w:rFonts w:ascii="Times New Roman" w:cs="Times New Roman" w:eastAsia="Times New Roman" w:hAnsi="Times New Roman"/>
          <w:sz w:val="18"/>
          <w:szCs w:val="18"/>
          <w:color w:val="auto"/>
        </w:rPr>
      </w:pPr>
    </w:p>
    <w:p>
      <w:pPr>
        <w:ind w:left="-656" w:right="220" w:firstLine="1305"/>
        <w:spacing w:after="0" w:line="282" w:lineRule="auto"/>
        <w:tabs>
          <w:tab w:leader="none" w:pos="10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of Executive’s “separation from service” within the meaning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regulations promulgated thereunder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656" w:right="20" w:firstLine="656"/>
        <w:spacing w:after="0" w:line="253" w:lineRule="auto"/>
        <w:tabs>
          <w:tab w:leader="none" w:pos="3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Executive’s employment, the Company shall reimburse Executive for expenses reasonably incurred in connection therewith and shall schedule such cooperation to the extent reasonably practicable so as not to unreasonably interfere with Executive’s business or personal affairs. Notwithstanding anything to the contrary, in the event the Company requests cooperation from Executive after his employment with the Company has terminated and at a time when Executive is not receiving any severance pay from the Company, Executive shall not be required to devote more than 40 hours of his time per year with respect to this Section 10, except that such 40 hour cap shall not include or apply to any time spent testifying at a deposition or at trial, or spent testifying before or being interviewed by any administrative or regulatory agency.</w:t>
      </w:r>
    </w:p>
    <w:p>
      <w:pPr>
        <w:spacing w:after="0" w:line="200" w:lineRule="exact"/>
        <w:rPr>
          <w:sz w:val="20"/>
          <w:szCs w:val="20"/>
          <w:color w:val="auto"/>
        </w:rPr>
      </w:pPr>
    </w:p>
    <w:p>
      <w:pPr>
        <w:spacing w:after="0" w:line="205" w:lineRule="exact"/>
        <w:rPr>
          <w:sz w:val="20"/>
          <w:szCs w:val="20"/>
          <w:color w:val="auto"/>
        </w:rPr>
      </w:pPr>
    </w:p>
    <w:p>
      <w:pPr>
        <w:ind w:left="-656" w:right="80" w:firstLine="656"/>
        <w:spacing w:after="0" w:line="253" w:lineRule="auto"/>
        <w:tabs>
          <w:tab w:leader="none" w:pos="3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COMPLIANCE</w:t>
      </w:r>
      <w:r>
        <w:rPr>
          <w:rFonts w:ascii="Times New Roman" w:cs="Times New Roman" w:eastAsia="Times New Roman" w:hAnsi="Times New Roman"/>
          <w:sz w:val="18"/>
          <w:szCs w:val="18"/>
          <w:color w:val="auto"/>
        </w:rPr>
        <w:t>. This Agreement shall be interpreted and administered in a manner so that any amount or benefit payable hereunder shall be paid or provided in a manner that is either exempt from or compliant with the requirements Section 409A and applicable Internal Revenue Service guidance and Treasury Regulations issued thereunder (and any applicable transition relief under Section 409A). Notwithstanding anything else contained in this Agreement to the contrary, if Executive is a “specified employee” under the Company’s specified employee policy as in effect on the Termination Date, or if no such policy is then in effect, within the meaning of Section 409A, any payment required to be made to Executive hereunder upon or following the Termination Date shall be delayed until after the six-month anniversary of Executive’s “separation from service” (as such term is defined in Section 409A) to the extent necessary to comply with, and avoid imposition on Executive of any additional tax, interest, or penalty imposed under, Section 409A. Should payments be delayed in accordance with the preceding sentence, the accumulated payment that would have been made but for the period of the delay shall be paid in a single lump sum during the ten-day period following the six-month anniversary of the Termination Date. For purposes of this Agreement, the terms “termination of employment”, “Termination Date”, or any similar terms shall refer to the Executive’s “separation from service” or date of “separation from service” within the meaning of Section 409A. Each payroll period payment described in Section 9(a)(iv)(1) shall be treated as a separate payment for purposes of Section 409A</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656" w:right="60" w:firstLine="656"/>
        <w:spacing w:after="0" w:line="256" w:lineRule="auto"/>
        <w:tabs>
          <w:tab w:leader="none" w:pos="3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UNIQUENESS OF SERVICES; ACKNOWLEDGEMENTS</w:t>
      </w:r>
      <w:r>
        <w:rPr>
          <w:rFonts w:ascii="Times New Roman" w:cs="Times New Roman" w:eastAsia="Times New Roman" w:hAnsi="Times New Roman"/>
          <w:sz w:val="18"/>
          <w:szCs w:val="18"/>
          <w:color w:val="auto"/>
        </w:rPr>
        <w:t>. Executive acknowledges that the services to be rendered under the provisions of this Agreement are of a special, unique, and extraordinary character; involve access to and development of Confidential Information and Privileged Information; involve developing and protecting customer relationships and goodwill; and that it would be difficult or impossible to replace such services and that, by reason thereof, Executive agrees and consents that if he violates any of the provisions of this Agreement, the Company, in addition to any other rights and remedies available under this Agreement or otherwise, shall be entitled to an injunction to be issued by a court of competent jurisdiction restricting Executive from committing or continuing any violation of this Agreement.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656" w:firstLine="656"/>
        <w:spacing w:after="0" w:line="258" w:lineRule="auto"/>
        <w:tabs>
          <w:tab w:leader="none" w:pos="3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ACKNOWLEDGEMENTS</w:t>
      </w:r>
      <w:r>
        <w:rPr>
          <w:rFonts w:ascii="Times New Roman" w:cs="Times New Roman" w:eastAsia="Times New Roman" w:hAnsi="Times New Roman"/>
          <w:sz w:val="18"/>
          <w:szCs w:val="18"/>
          <w:color w:val="auto"/>
        </w:rPr>
        <w:t>. Executive further acknowledges and agrees that the restrictions contained in Sections 6 and 7 above are reasonable and necessary to protect the legitimate interest of the Company Group, in view of, among other things, the short duration of the restrictions; the narrow scope of the restrictions; the Company Group’s interests in protecting its proprietary, trade secret, Confidential Information, and Privileged Information (which Executive agrees has a useful life of more than one year) and its customer relationships and goodwill; Executive’s background and capabilities which will allow him to seek and accept employment without violation of the restrictions; Executive’s substantial</w:t>
      </w:r>
    </w:p>
    <w:p>
      <w:pPr>
        <w:sectPr>
          <w:pgSz w:w="11900" w:h="16838" w:orient="portrait"/>
          <w:cols w:equalWidth="0" w:num="1">
            <w:col w:w="10764"/>
          </w:cols>
          <w:pgMar w:left="896" w:top="580" w:right="239" w:bottom="1440" w:gutter="0" w:footer="0" w:header="0"/>
        </w:sectPr>
      </w:pPr>
    </w:p>
    <w:bookmarkStart w:id="63" w:name="page64"/>
    <w:bookmarkEnd w:id="63"/>
    <w:p>
      <w:pPr>
        <w:ind w:right="20"/>
        <w:spacing w:after="0" w:line="261" w:lineRule="auto"/>
        <w:rPr>
          <w:sz w:val="20"/>
          <w:szCs w:val="20"/>
          <w:color w:val="auto"/>
        </w:rPr>
      </w:pPr>
      <w:r>
        <w:rPr>
          <w:rFonts w:ascii="Times New Roman" w:cs="Times New Roman" w:eastAsia="Times New Roman" w:hAnsi="Times New Roman"/>
          <w:sz w:val="18"/>
          <w:szCs w:val="18"/>
          <w:color w:val="auto"/>
        </w:rPr>
        <w:t>equity interest in the Company Group; and Executive’s entitlements under this Agreement. If any provision contained in Sections 6 or 7 above is adjudged unreasonable by a court of competent jurisdiction in any proceeding, then such provision shall be deemed modified as provided in Sections 6 or 7 above or by reducing the period of time during which such provision is applicable and/or, if applicable, the geographic area to which such provision applies, to the extent necessary for such provision to be adjudged reasonable and enforceable.</w:t>
      </w:r>
    </w:p>
    <w:p>
      <w:pPr>
        <w:spacing w:after="0" w:line="396" w:lineRule="exact"/>
        <w:rPr>
          <w:sz w:val="20"/>
          <w:szCs w:val="20"/>
          <w:color w:val="auto"/>
        </w:rPr>
      </w:pPr>
    </w:p>
    <w:p>
      <w:pPr>
        <w:jc w:val="both"/>
        <w:ind w:right="80" w:firstLine="656"/>
        <w:spacing w:after="0" w:line="261" w:lineRule="auto"/>
        <w:tabs>
          <w:tab w:leader="none" w:pos="10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provided for or permitted by this Agreement shall be in writing and shall be deemed to have been duly given when delivered in person or three (3) days after it is mailed if delivered by registered or certified mail, return receipt requested, postage prepaid, addressed to the party for whom intended at such party’s address set forth below or to such other address as such party may designate by notice in writing given in the manner provided below</w:t>
      </w:r>
    </w:p>
    <w:p>
      <w:pPr>
        <w:sectPr>
          <w:pgSz w:w="11900" w:h="16838" w:orient="portrait"/>
          <w:cols w:equalWidth="0" w:num="1">
            <w:col w:w="11420"/>
          </w:cols>
          <w:pgMar w:left="240" w:top="796" w:right="239" w:bottom="8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To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Adam Abram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Chapel Hill, NC 27514</w:t>
      </w:r>
    </w:p>
    <w:p>
      <w:pPr>
        <w:spacing w:after="0" w:line="200" w:lineRule="exact"/>
        <w:rPr>
          <w:sz w:val="20"/>
          <w:szCs w:val="20"/>
          <w:color w:val="auto"/>
        </w:rPr>
      </w:pPr>
    </w:p>
    <w:p>
      <w:pPr>
        <w:sectPr>
          <w:pgSz w:w="11900" w:h="16838" w:orient="portrait"/>
          <w:cols w:equalWidth="0" w:num="2">
            <w:col w:w="2080" w:space="720"/>
            <w:col w:w="8620"/>
          </w:cols>
          <w:pgMar w:left="240" w:top="796" w:right="239" w:bottom="891" w:gutter="0" w:footer="0" w:header="0"/>
          <w:type w:val="continuous"/>
        </w:sectPr>
      </w:pPr>
    </w:p>
    <w:p>
      <w:pPr>
        <w:spacing w:after="0" w:line="2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To James River:</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River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1414 Raleigh Road, Suite 405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Chapel Hill, NC 27517-3600</w:t>
      </w:r>
    </w:p>
    <w:p>
      <w:pPr>
        <w:spacing w:after="0" w:line="200" w:lineRule="exact"/>
        <w:rPr>
          <w:sz w:val="20"/>
          <w:szCs w:val="20"/>
          <w:color w:val="auto"/>
        </w:rPr>
      </w:pPr>
    </w:p>
    <w:p>
      <w:pPr>
        <w:sectPr>
          <w:pgSz w:w="11900" w:h="16838" w:orient="portrait"/>
          <w:cols w:equalWidth="0" w:num="2">
            <w:col w:w="2080" w:space="720"/>
            <w:col w:w="8620"/>
          </w:cols>
          <w:pgMar w:left="240" w:top="796" w:right="239" w:bottom="891" w:gutter="0" w:footer="0" w:header="0"/>
          <w:type w:val="continuous"/>
        </w:sectPr>
      </w:pPr>
    </w:p>
    <w:p>
      <w:pPr>
        <w:spacing w:after="0" w:line="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James River Group Holdings, Ltd.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The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Clarendon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Church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Hamilton HM 11 Bermuda</w:t>
      </w:r>
    </w:p>
    <w:p>
      <w:pPr>
        <w:spacing w:after="0" w:line="200" w:lineRule="exact"/>
        <w:rPr>
          <w:sz w:val="20"/>
          <w:szCs w:val="20"/>
          <w:color w:val="auto"/>
        </w:rPr>
      </w:pPr>
    </w:p>
    <w:p>
      <w:pPr>
        <w:sectPr>
          <w:pgSz w:w="11900" w:h="16838" w:orient="portrait"/>
          <w:cols w:equalWidth="0" w:num="2">
            <w:col w:w="2080" w:space="720"/>
            <w:col w:w="8620"/>
          </w:cols>
          <w:pgMar w:left="240" w:top="796" w:right="239" w:bottom="891" w:gutter="0" w:footer="0" w:header="0"/>
          <w:type w:val="continuous"/>
        </w:sectPr>
      </w:pPr>
    </w:p>
    <w:p>
      <w:pPr>
        <w:spacing w:after="0" w:line="250" w:lineRule="exact"/>
        <w:rPr>
          <w:sz w:val="20"/>
          <w:szCs w:val="20"/>
          <w:color w:val="auto"/>
        </w:rPr>
      </w:pPr>
    </w:p>
    <w:p>
      <w:pPr>
        <w:ind w:right="40" w:firstLine="656"/>
        <w:spacing w:after="0" w:line="282" w:lineRule="auto"/>
        <w:tabs>
          <w:tab w:leader="none" w:pos="10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section heading in this Agreement are for convenience of reference only, and they form no part of this Agreement and shall not affect its interpretation.</w:t>
      </w:r>
    </w:p>
    <w:p>
      <w:pPr>
        <w:spacing w:after="0" w:line="377" w:lineRule="exact"/>
        <w:rPr>
          <w:rFonts w:ascii="Times New Roman" w:cs="Times New Roman" w:eastAsia="Times New Roman" w:hAnsi="Times New Roman"/>
          <w:sz w:val="18"/>
          <w:szCs w:val="18"/>
          <w:color w:val="auto"/>
        </w:rPr>
      </w:pPr>
    </w:p>
    <w:p>
      <w:pPr>
        <w:ind w:right="40" w:firstLine="656"/>
        <w:spacing w:after="0" w:line="255" w:lineRule="auto"/>
        <w:tabs>
          <w:tab w:leader="none" w:pos="10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 COUNTERPARTS</w:t>
      </w:r>
      <w:r>
        <w:rPr>
          <w:rFonts w:ascii="Times New Roman" w:cs="Times New Roman" w:eastAsia="Times New Roman" w:hAnsi="Times New Roman"/>
          <w:sz w:val="18"/>
          <w:szCs w:val="18"/>
          <w:color w:val="auto"/>
        </w:rPr>
        <w:t>. This Agreement constitutes the entire agreement and understanding between Executive and the Company with respect to the subject matter hereof and shall supersede any and all other prior agreements and understandings, whether oral or written, relating thereto or the employment of Executive by the Company and/or James River. This Agreement may not be rescinded, modified, or amended, unless an amendment is agreed to in writing signed by Executive and by an officer of the Company specifically authorized by the Board (other than Executive) and by an officer of James River (other than Executive), and any waiver shall be set forth in writing and signed by the party to be charged. This Agreement may be executed in any number of counterparts, including by facsimile, each of which shall be an original, but all of which together shall constitute one and the same instrument.</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right="820" w:firstLine="656"/>
        <w:spacing w:after="0" w:line="282" w:lineRule="auto"/>
        <w:tabs>
          <w:tab w:leader="none" w:pos="10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INVALIDITY</w:t>
      </w:r>
      <w:r>
        <w:rPr>
          <w:rFonts w:ascii="Times New Roman" w:cs="Times New Roman" w:eastAsia="Times New Roman" w:hAnsi="Times New Roman"/>
          <w:sz w:val="18"/>
          <w:szCs w:val="18"/>
          <w:color w:val="auto"/>
        </w:rPr>
        <w:t>. The invalidity or unenforceability, by statute, court decision, or otherwise, of any term or condition of this Agreement shall not affect the validity or enforceability of any other term or condition hereof.</w:t>
      </w:r>
    </w:p>
    <w:p>
      <w:pPr>
        <w:spacing w:after="0" w:line="377" w:lineRule="exact"/>
        <w:rPr>
          <w:rFonts w:ascii="Times New Roman" w:cs="Times New Roman" w:eastAsia="Times New Roman" w:hAnsi="Times New Roman"/>
          <w:sz w:val="18"/>
          <w:szCs w:val="18"/>
          <w:color w:val="auto"/>
        </w:rPr>
      </w:pPr>
    </w:p>
    <w:p>
      <w:pPr>
        <w:ind w:right="440" w:firstLine="656"/>
        <w:spacing w:after="0" w:line="282" w:lineRule="auto"/>
        <w:tabs>
          <w:tab w:leader="none" w:pos="10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administered in accordance with the laws of Bermuda, without regard to the principles of conflicts of law which might otherwise apply.</w:t>
      </w:r>
    </w:p>
    <w:p>
      <w:pPr>
        <w:spacing w:after="0" w:line="377" w:lineRule="exact"/>
        <w:rPr>
          <w:rFonts w:ascii="Times New Roman" w:cs="Times New Roman" w:eastAsia="Times New Roman" w:hAnsi="Times New Roman"/>
          <w:sz w:val="18"/>
          <w:szCs w:val="18"/>
          <w:color w:val="auto"/>
        </w:rPr>
      </w:pPr>
    </w:p>
    <w:p>
      <w:pPr>
        <w:ind w:right="40" w:firstLine="656"/>
        <w:spacing w:after="0" w:line="261" w:lineRule="auto"/>
        <w:tabs>
          <w:tab w:leader="none" w:pos="10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This Agreement may not be assigned by Executive, and all its terms and conditions shall be binding upon and inure to the benefit of the Company and its successors. Successors to the Company shall include, without limitation, any corporation or corporations acquiring, directly or indirectly, all or substantially all of the assets of the Company whether by merger, consolidation, purchase, or otherwise and such successor shall thereafter be deemed the “Company” for purposes hereof.</w:t>
      </w:r>
    </w:p>
    <w:p>
      <w:pPr>
        <w:spacing w:after="0" w:line="39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firstLine="1305"/>
        <w:spacing w:after="0" w:line="255" w:lineRule="auto"/>
        <w:tabs>
          <w:tab w:leader="none" w:pos="167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In the event of disputes between the parties with respect to the terms and conditions of this Agreement, such disputes shall be resolved by and through an arbitration proceeding to be conducted under the auspices of the American Arbitration Association (or any like organization successor thereto) in either Bermuda or the city of Raleigh, North Carolina;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either party may seek temporary, preliminary, and or permanent injunctive relief with respect to appropriate matters (including, without limitation, enforcement of Sections 6 and 7 above) without resort to arbitration. Such arbitration proceeding shall be conducted pursuant to the commercial arbitration rules (formal or informal) of the American Arbitration Association in as expedited a manner as is then permitted by such rules (the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Both the foregoing agreement of the parties to arbitrate any and all such claims, and the results, determination, finding, judgment, and/or</w:t>
      </w:r>
    </w:p>
    <w:p>
      <w:pPr>
        <w:sectPr>
          <w:pgSz w:w="11900" w:h="16838" w:orient="portrait"/>
          <w:cols w:equalWidth="0" w:num="1">
            <w:col w:w="11420"/>
          </w:cols>
          <w:pgMar w:left="240" w:top="796" w:right="239" w:bottom="891" w:gutter="0" w:footer="0" w:header="0"/>
          <w:type w:val="continuous"/>
        </w:sectPr>
      </w:pPr>
    </w:p>
    <w:bookmarkStart w:id="64" w:name="page65"/>
    <w:bookmarkEnd w:id="64"/>
    <w:p>
      <w:pPr>
        <w:ind w:right="100"/>
        <w:spacing w:after="0" w:line="266" w:lineRule="auto"/>
        <w:rPr>
          <w:sz w:val="20"/>
          <w:szCs w:val="20"/>
          <w:color w:val="auto"/>
        </w:rPr>
      </w:pPr>
      <w:r>
        <w:rPr>
          <w:rFonts w:ascii="Times New Roman" w:cs="Times New Roman" w:eastAsia="Times New Roman" w:hAnsi="Times New Roman"/>
          <w:sz w:val="18"/>
          <w:szCs w:val="18"/>
          <w:color w:val="auto"/>
        </w:rPr>
        <w:t>award rendered through such Arbitration, shall be final and binding on the parties to this Agreement and may be specifically enforced by legal proceedings. This Section 20(a) is without prejudice to the Executive’s statutory right to complain to an employment inspector and/or employment tribunal under Bermuda’s Employment Act 2.</w:t>
      </w:r>
    </w:p>
    <w:p>
      <w:pPr>
        <w:spacing w:after="0" w:line="392" w:lineRule="exact"/>
        <w:rPr>
          <w:sz w:val="20"/>
          <w:szCs w:val="20"/>
          <w:color w:val="auto"/>
        </w:rPr>
      </w:pPr>
    </w:p>
    <w:p>
      <w:pPr>
        <w:ind w:firstLine="1305"/>
        <w:spacing w:after="0" w:line="257" w:lineRule="auto"/>
        <w:tabs>
          <w:tab w:leader="none" w:pos="1686"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Such Arbitration may be initiated by written notice from either party to the other which shall be a compulsory and binding proceeding on each party. The Arbitration shall be conducted by an arbitrator selected in accordance with the procedures of the American Arbitration Association. Time is of the essence of this arbitration procedure, and the arbitrator shall be instructed and required to render his or her decision within thirty</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completion of the Arbitration.</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right="80" w:firstLine="1305"/>
        <w:spacing w:after="0" w:line="258" w:lineRule="auto"/>
        <w:tabs>
          <w:tab w:leader="none" w:pos="1676"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 and Jurisdiction</w:t>
      </w:r>
      <w:r>
        <w:rPr>
          <w:rFonts w:ascii="Times New Roman" w:cs="Times New Roman" w:eastAsia="Times New Roman" w:hAnsi="Times New Roman"/>
          <w:sz w:val="18"/>
          <w:szCs w:val="18"/>
          <w:color w:val="auto"/>
        </w:rPr>
        <w:t xml:space="preserve">. Any action to compel arbitration hereunder or otherwise relating to this Agreement shall be brought exclusively in either a Bermuda court or a state court or federal court located in the City of New York, New York;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with respect to an action brought in New York, if a federal court has jurisdiction over the subject matter thereof, then such action shall be brought in federal court, and the Company and Executive hereby irrevocably submit with regard to any such action or proceeding for itself and in respect to its property, generally and unconditionally, to the jurisdiction of the aforesaid courts.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right="200" w:firstLine="1305"/>
        <w:spacing w:after="0" w:line="266" w:lineRule="auto"/>
        <w:tabs>
          <w:tab w:leader="none" w:pos="1686"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IN THE EVENT OF ANY LITIGATION WITH RESPECT TO ANY MATTER CONNECTED WITH THIS AGREEMENT OR THE AGREEMENTS OR TRANSACTIONS CONTEMPLATED HEREUNDER ALL OF THE PARTIES HERETO WAIVE ALL RIGHTS TO A TRIAL BY JURY.</w:t>
      </w:r>
    </w:p>
    <w:p>
      <w:pPr>
        <w:spacing w:after="0" w:line="392" w:lineRule="exact"/>
        <w:rPr>
          <w:rFonts w:ascii="Times New Roman" w:cs="Times New Roman" w:eastAsia="Times New Roman" w:hAnsi="Times New Roman"/>
          <w:sz w:val="18"/>
          <w:szCs w:val="18"/>
          <w:color w:val="auto"/>
        </w:rPr>
      </w:pPr>
    </w:p>
    <w:p>
      <w:pPr>
        <w:ind w:right="160" w:firstLine="656"/>
        <w:spacing w:after="0" w:line="282" w:lineRule="auto"/>
        <w:tabs>
          <w:tab w:leader="none" w:pos="10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OBLIGATIONS</w:t>
      </w:r>
      <w:r>
        <w:rPr>
          <w:rFonts w:ascii="Times New Roman" w:cs="Times New Roman" w:eastAsia="Times New Roman" w:hAnsi="Times New Roman"/>
          <w:sz w:val="18"/>
          <w:szCs w:val="18"/>
          <w:color w:val="auto"/>
        </w:rPr>
        <w:t>. Both the Company and James River are jointly liable for all payment obligations of the Company pursuant to this Agreement, and James River may satisfy the Company’s obligations to provide benefits to Executive pursuant to Sections 2(b) and 2(c) of this Agreement.</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CONTRACT CONTAINS A BINDING ARBITRATION PROVISION WHICH MAY BE ENFORCED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JAMES RIVER GROUP</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HOLDINGS LTD.</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Sarah C. Doran</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Name: Sarah C. Doran</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JAMES RIVER GROUP, INC.</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Sarah C. Doran</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Name: Sarah C. Doran</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J. Adam Abram</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J. Adam Abram</w:t>
      </w:r>
    </w:p>
    <w:p>
      <w:pPr>
        <w:sectPr>
          <w:pgSz w:w="11900" w:h="16838" w:orient="portrait"/>
          <w:cols w:equalWidth="0" w:num="1">
            <w:col w:w="11320"/>
          </w:cols>
          <w:pgMar w:left="240" w:top="796"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18"/>
          <w:szCs w:val="18"/>
          <w:b w:val="1"/>
          <w:bCs w:val="1"/>
          <w:color w:val="auto"/>
        </w:rPr>
        <w:t>JAMES RIVER GROUP HOLDINGS, LTD.</w:t>
      </w:r>
    </w:p>
    <w:p>
      <w:pPr>
        <w:jc w:val="center"/>
        <w:ind w:left="1300"/>
        <w:spacing w:after="0" w:line="208" w:lineRule="auto"/>
        <w:rPr>
          <w:sz w:val="20"/>
          <w:szCs w:val="20"/>
          <w:color w:val="auto"/>
        </w:rPr>
      </w:pPr>
      <w:r>
        <w:rPr>
          <w:rFonts w:ascii="Times New Roman" w:cs="Times New Roman" w:eastAsia="Times New Roman" w:hAnsi="Times New Roman"/>
          <w:sz w:val="18"/>
          <w:szCs w:val="18"/>
          <w:color w:val="auto"/>
        </w:rPr>
        <w:t>Wellesley House,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Floor</w:t>
      </w:r>
    </w:p>
    <w:p>
      <w:pPr>
        <w:jc w:val="center"/>
        <w:ind w:left="1300"/>
        <w:spacing w:after="0"/>
        <w:rPr>
          <w:sz w:val="20"/>
          <w:szCs w:val="20"/>
          <w:color w:val="auto"/>
        </w:rPr>
      </w:pPr>
      <w:r>
        <w:rPr>
          <w:rFonts w:ascii="Times New Roman" w:cs="Times New Roman" w:eastAsia="Times New Roman" w:hAnsi="Times New Roman"/>
          <w:sz w:val="18"/>
          <w:szCs w:val="18"/>
          <w:color w:val="auto"/>
        </w:rPr>
        <w:t>90 Pitts Bay Road</w:t>
      </w:r>
    </w:p>
    <w:p>
      <w:pPr>
        <w:spacing w:after="0" w:line="7"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18"/>
          <w:szCs w:val="18"/>
          <w:color w:val="auto"/>
        </w:rPr>
        <w:t>Pembroke HM 08 Bermuda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Robert P. Myron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Robert:</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purpose of this letter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to confirm that we have agreed to amend and restate as of August 5, 2019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our prior agreement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with respect to the terms of your continued employment by James River Group Holdings, Ltd., a Bermuda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mutual promises contained in this Agreement, the parties to this Agreement hereby agree as follows:</w:t>
      </w:r>
    </w:p>
    <w:p>
      <w:pPr>
        <w:spacing w:after="0" w:line="252" w:lineRule="exact"/>
        <w:rPr>
          <w:sz w:val="20"/>
          <w:szCs w:val="20"/>
          <w:color w:val="auto"/>
        </w:rPr>
      </w:pPr>
    </w:p>
    <w:p>
      <w:pPr>
        <w:ind w:left="660" w:right="20" w:firstLine="645"/>
        <w:spacing w:after="0" w:line="302" w:lineRule="auto"/>
        <w:tabs>
          <w:tab w:leader="none" w:pos="20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TERM</w:t>
      </w:r>
      <w:r>
        <w:rPr>
          <w:rFonts w:ascii="Times New Roman" w:cs="Times New Roman" w:eastAsia="Times New Roman" w:hAnsi="Times New Roman"/>
          <w:sz w:val="18"/>
          <w:szCs w:val="18"/>
          <w:color w:val="auto"/>
        </w:rPr>
        <w:t>. Effective as of the Effective Date, the Company agrees to employ you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as President and Chief Operating Officer, and Executive hereby accepts such employment on the terms hereinafter set forth. The term of this Agreement shall be two years commencing as of the Effective Date and ending on the date immediately preceding the second anniversary of the Effective Date, subject to the termination provisions of Section 6. The term of this Agreement shall thereafter be automatically renewed for additional one year periods unless written notice to the contrary shall be given by either party to the other not less than 60 days prior to the end of the initial or any renewal term that the term shall not thereafter be renewed (“</w:t>
      </w:r>
      <w:r>
        <w:rPr>
          <w:rFonts w:ascii="Times New Roman" w:cs="Times New Roman" w:eastAsia="Times New Roman" w:hAnsi="Times New Roman"/>
          <w:sz w:val="18"/>
          <w:szCs w:val="18"/>
          <w:u w:val="single" w:color="auto"/>
          <w:color w:val="auto"/>
        </w:rPr>
        <w:t>Non-Renewal Notice</w:t>
      </w:r>
      <w:r>
        <w:rPr>
          <w:rFonts w:ascii="Times New Roman" w:cs="Times New Roman" w:eastAsia="Times New Roman" w:hAnsi="Times New Roman"/>
          <w:sz w:val="18"/>
          <w:szCs w:val="18"/>
          <w:color w:val="auto"/>
        </w:rPr>
        <w:t>”), subject to the termination provisions of Section 6. The initial term plus any renewals thereof shall hereafter be referred to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660" w:right="140" w:firstLine="645"/>
        <w:spacing w:after="0" w:line="329" w:lineRule="auto"/>
        <w:tabs>
          <w:tab w:leader="none" w:pos="21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Commencing as of the Effective Date, Executive shall be paid a base salary at a rate of not less than $650,000 per year, payable in periodic installments in accordance with the Company’s normal payroll practices.</w:t>
      </w:r>
    </w:p>
    <w:p>
      <w:pPr>
        <w:spacing w:after="0" w:line="161" w:lineRule="exact"/>
        <w:rPr>
          <w:rFonts w:ascii="Times New Roman" w:cs="Times New Roman" w:eastAsia="Times New Roman" w:hAnsi="Times New Roman"/>
          <w:sz w:val="18"/>
          <w:szCs w:val="18"/>
          <w:color w:val="auto"/>
        </w:rPr>
      </w:pPr>
    </w:p>
    <w:p>
      <w:pPr>
        <w:ind w:left="660" w:right="20" w:firstLine="645"/>
        <w:spacing w:after="0" w:line="300" w:lineRule="auto"/>
        <w:tabs>
          <w:tab w:leader="none" w:pos="21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and Long-Term Incentive Plan</w:t>
      </w:r>
      <w:r>
        <w:rPr>
          <w:rFonts w:ascii="Times New Roman" w:cs="Times New Roman" w:eastAsia="Times New Roman" w:hAnsi="Times New Roman"/>
          <w:sz w:val="18"/>
          <w:szCs w:val="18"/>
          <w:color w:val="auto"/>
        </w:rPr>
        <w:t>. For each fiscal year during the Term in which Executive is employed by the Company as of the last day of such fiscal year, Executive shall be eligible to receive a discretionary bonus (each, a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in an amount as the Board of Directors of the Company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(other than Executive, if Executive is a member of the Board), in its discretion, may determine based on Executive’s performance during such fiscal year, which Bonus shall be paid on or before March 15 of the subsequent fiscal year. Executive's target cash bonus for each calendar year he is employed through the end of the year will be 100% of his base salary (which, for 2019, is the base salary described in Section 2(a)), provided that the determination of whether Executive will be awarded a cash bonus and the amount of the cash bonus will be determined by the Board in its discretion. In addition, Executive shall be eligible to participate in any long-term incentive plan of the Company (“</w:t>
      </w:r>
      <w:r>
        <w:rPr>
          <w:rFonts w:ascii="Times New Roman" w:cs="Times New Roman" w:eastAsia="Times New Roman" w:hAnsi="Times New Roman"/>
          <w:sz w:val="18"/>
          <w:szCs w:val="18"/>
          <w:u w:val="single" w:color="auto"/>
          <w:color w:val="auto"/>
        </w:rPr>
        <w:t>LTIP</w:t>
      </w:r>
      <w:r>
        <w:rPr>
          <w:rFonts w:ascii="Times New Roman" w:cs="Times New Roman" w:eastAsia="Times New Roman" w:hAnsi="Times New Roman"/>
          <w:sz w:val="18"/>
          <w:szCs w:val="18"/>
          <w:color w:val="auto"/>
        </w:rPr>
        <w:t>”) in effect from time to time. For long term incentive equity grants, Executive will have a target equity grant equivalent in value to 100% of his base salary for each calendar year he is employed through the end of the year, provided that the determination of whether Executive will be awarded an LTIP equity award and the amount of the award will be determined by the Board in its discretion. Options to acquire common shares (the “Shares”) of the Company will be valued using a Black Scholes valuation model, and restricted share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of the Company will be valued based upon the closing price of the Company’s publicly traded Shares on the day of the grant.</w:t>
      </w:r>
    </w:p>
    <w:p>
      <w:pPr>
        <w:spacing w:after="0" w:line="190" w:lineRule="exact"/>
        <w:rPr>
          <w:rFonts w:ascii="Times New Roman" w:cs="Times New Roman" w:eastAsia="Times New Roman" w:hAnsi="Times New Roman"/>
          <w:sz w:val="18"/>
          <w:szCs w:val="18"/>
          <w:color w:val="auto"/>
        </w:rPr>
      </w:pPr>
    </w:p>
    <w:p>
      <w:pPr>
        <w:ind w:left="660" w:right="60" w:firstLine="645"/>
        <w:spacing w:after="0" w:line="313" w:lineRule="auto"/>
        <w:tabs>
          <w:tab w:leader="none" w:pos="21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Benefits</w:t>
      </w:r>
      <w:r>
        <w:rPr>
          <w:rFonts w:ascii="Times New Roman" w:cs="Times New Roman" w:eastAsia="Times New Roman" w:hAnsi="Times New Roman"/>
          <w:sz w:val="18"/>
          <w:szCs w:val="18"/>
          <w:color w:val="auto"/>
        </w:rPr>
        <w:t>. Executive shall also be entitled, during the Term to participate in all employee benefit plans and other fringe benefits or plans (including certain services and utilities) of the Company generally available to executive employees of the Company Group or generally available to the Company’s Bermuda-based executive employees, at the Company’s expense, including:</w:t>
      </w:r>
    </w:p>
    <w:p>
      <w:pPr>
        <w:spacing w:after="0" w:line="176" w:lineRule="exact"/>
        <w:rPr>
          <w:rFonts w:ascii="Times New Roman" w:cs="Times New Roman" w:eastAsia="Times New Roman" w:hAnsi="Times New Roman"/>
          <w:sz w:val="18"/>
          <w:szCs w:val="18"/>
          <w:color w:val="auto"/>
        </w:rPr>
      </w:pPr>
    </w:p>
    <w:p>
      <w:pPr>
        <w:ind w:left="2780" w:hanging="827"/>
        <w:spacing w:after="0"/>
        <w:tabs>
          <w:tab w:leader="none" w:pos="27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six weeks of paid vacation per annum (not subject to carry over to subsequent years);</w:t>
      </w:r>
    </w:p>
    <w:p>
      <w:pPr>
        <w:spacing w:after="0" w:line="265" w:lineRule="exact"/>
        <w:rPr>
          <w:rFonts w:ascii="Times New Roman" w:cs="Times New Roman" w:eastAsia="Times New Roman" w:hAnsi="Times New Roman"/>
          <w:sz w:val="18"/>
          <w:szCs w:val="18"/>
          <w:color w:val="auto"/>
        </w:rPr>
      </w:pPr>
    </w:p>
    <w:p>
      <w:pPr>
        <w:ind w:left="660" w:right="60" w:firstLine="1293"/>
        <w:spacing w:after="0" w:line="329" w:lineRule="auto"/>
        <w:tabs>
          <w:tab w:leader="none" w:pos="282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equalization payments pursuant to the Company’s tax equalization policies (“</w:t>
      </w:r>
      <w:r>
        <w:rPr>
          <w:rFonts w:ascii="Times New Roman" w:cs="Times New Roman" w:eastAsia="Times New Roman" w:hAnsi="Times New Roman"/>
          <w:sz w:val="18"/>
          <w:szCs w:val="18"/>
          <w:u w:val="single" w:color="auto"/>
          <w:color w:val="auto"/>
        </w:rPr>
        <w:t>Tax Equalization Policies</w:t>
      </w:r>
      <w:r>
        <w:rPr>
          <w:rFonts w:ascii="Times New Roman" w:cs="Times New Roman" w:eastAsia="Times New Roman" w:hAnsi="Times New Roman"/>
          <w:sz w:val="18"/>
          <w:szCs w:val="18"/>
          <w:color w:val="auto"/>
        </w:rPr>
        <w:t>”), provided that such tax equalization payments shall be made no later than the end of the second</w:t>
      </w:r>
    </w:p>
    <w:p>
      <w:pPr>
        <w:sectPr>
          <w:pgSz w:w="11900" w:h="16838" w:orient="portrait"/>
          <w:cols w:equalWidth="0" w:num="1">
            <w:col w:w="11420"/>
          </w:cols>
          <w:pgMar w:left="240" w:top="576" w:right="239" w:bottom="1440" w:gutter="0" w:footer="0" w:header="0"/>
        </w:sectPr>
      </w:pPr>
    </w:p>
    <w:bookmarkStart w:id="66" w:name="page67"/>
    <w:bookmarkEnd w:id="66"/>
    <w:p>
      <w:pPr>
        <w:ind w:left="4" w:right="200"/>
        <w:spacing w:after="0" w:line="303" w:lineRule="auto"/>
        <w:rPr>
          <w:sz w:val="20"/>
          <w:szCs w:val="20"/>
          <w:color w:val="auto"/>
        </w:rPr>
      </w:pPr>
      <w:r>
        <w:rPr>
          <w:rFonts w:ascii="Times New Roman" w:cs="Times New Roman" w:eastAsia="Times New Roman" w:hAnsi="Times New Roman"/>
          <w:sz w:val="18"/>
          <w:szCs w:val="18"/>
          <w:color w:val="auto"/>
        </w:rPr>
        <w:t>calendar year after the year in which the Executive’s income tax return is required to be filed (including any extensions) for the year to which the compensation subject to the tax equalization payment relates, or, if later, the second calendar year beginning after the latest year in which the Executive’s foreign tax return or payment is required to be filed or made for the year to which the compensation subject to the tax equalization payment relates, and further provided that if the right to such tax equalization proceeds arises as a result of audit, litigation, or similar proceeding, such tax equalization payments are scheduled and made in accordance with the tax gross-up payment provisions of Treas. Reg. §1.409A-3(j)(i)(v); and</w:t>
      </w:r>
    </w:p>
    <w:p>
      <w:pPr>
        <w:spacing w:after="0" w:line="188" w:lineRule="exact"/>
        <w:rPr>
          <w:sz w:val="20"/>
          <w:szCs w:val="20"/>
          <w:color w:val="auto"/>
        </w:rPr>
      </w:pPr>
    </w:p>
    <w:p>
      <w:pPr>
        <w:ind w:left="4" w:right="260" w:firstLine="1293"/>
        <w:spacing w:after="0" w:line="329" w:lineRule="auto"/>
        <w:tabs>
          <w:tab w:leader="none" w:pos="2219"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expense reimbursement for all reasonable business expenses upon the presentation of reasonably itemized statements of such expenses in accordance with the Company’s policies and procedures.</w:t>
      </w:r>
    </w:p>
    <w:p>
      <w:pPr>
        <w:spacing w:after="0" w:line="161" w:lineRule="exact"/>
        <w:rPr>
          <w:rFonts w:ascii="Times New Roman" w:cs="Times New Roman" w:eastAsia="Times New Roman" w:hAnsi="Times New Roman"/>
          <w:sz w:val="18"/>
          <w:szCs w:val="18"/>
          <w:color w:val="auto"/>
        </w:rPr>
      </w:pPr>
    </w:p>
    <w:p>
      <w:pPr>
        <w:ind w:left="4" w:right="20" w:firstLine="645"/>
        <w:spacing w:after="0" w:line="301" w:lineRule="auto"/>
        <w:tabs>
          <w:tab w:leader="none" w:pos="15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Housing Expense</w:t>
      </w:r>
      <w:r>
        <w:rPr>
          <w:rFonts w:ascii="Times New Roman" w:cs="Times New Roman" w:eastAsia="Times New Roman" w:hAnsi="Times New Roman"/>
          <w:sz w:val="18"/>
          <w:szCs w:val="18"/>
          <w:color w:val="auto"/>
        </w:rPr>
        <w:t>. Company shall reimburse Executive for up to $12,500 per month for Executive’s “Housing Expense.” For purposes of this provision, “</w:t>
      </w:r>
      <w:r>
        <w:rPr>
          <w:rFonts w:ascii="Times New Roman" w:cs="Times New Roman" w:eastAsia="Times New Roman" w:hAnsi="Times New Roman"/>
          <w:sz w:val="18"/>
          <w:szCs w:val="18"/>
          <w:u w:val="single" w:color="auto"/>
          <w:color w:val="auto"/>
        </w:rPr>
        <w:t>Housing Expense</w:t>
      </w:r>
      <w:r>
        <w:rPr>
          <w:rFonts w:ascii="Times New Roman" w:cs="Times New Roman" w:eastAsia="Times New Roman" w:hAnsi="Times New Roman"/>
          <w:sz w:val="18"/>
          <w:szCs w:val="18"/>
          <w:color w:val="auto"/>
        </w:rPr>
        <w:t>” means either (a) if Executive purchases a single family residence (or condominium unit) in Bermuda and lives there during the Term (a “</w:t>
      </w: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the scheduled monthly mortgage principle, interest payment, and property tax payments paid by Executive for such Residence for each month during the Term in which Executive resides in the Residence for the entire month, provided that the term of the mortgage is at least 15 years at prevailing interest rates and that Executive provides a copy of the mortgage and any other documentation relating to such purchase or mortgage payments as requested by the Company, or (b) the rent paid by Executive for a residence in Bermuda for each month during the Term in which Executive resides in such residence for the entire month, provided that Executive provides a copy of the lease and any other documentation relating to such rent payments as requested by the Company. Such Housing Expense reimbursement payments will be made by the end of the month following the month in which documentation of the mortgage or rent payment is provided to the Company.</w:t>
      </w:r>
    </w:p>
    <w:p>
      <w:pPr>
        <w:spacing w:after="0" w:line="189" w:lineRule="exact"/>
        <w:rPr>
          <w:rFonts w:ascii="Times New Roman" w:cs="Times New Roman" w:eastAsia="Times New Roman" w:hAnsi="Times New Roman"/>
          <w:sz w:val="18"/>
          <w:szCs w:val="18"/>
          <w:color w:val="auto"/>
        </w:rPr>
      </w:pPr>
    </w:p>
    <w:p>
      <w:pPr>
        <w:ind w:left="1504" w:hanging="855"/>
        <w:spacing w:after="0"/>
        <w:tabs>
          <w:tab w:leader="none" w:pos="15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Reimbursements</w:t>
      </w:r>
      <w:r>
        <w:rPr>
          <w:rFonts w:ascii="Times New Roman" w:cs="Times New Roman" w:eastAsia="Times New Roman" w:hAnsi="Times New Roman"/>
          <w:sz w:val="18"/>
          <w:szCs w:val="18"/>
          <w:color w:val="auto"/>
        </w:rPr>
        <w:t>. The amount of expenses eligible for reimbursement pursuant to this Agreement (including under Sections 2(c)</w:t>
      </w:r>
    </w:p>
    <w:p>
      <w:pPr>
        <w:spacing w:after="0" w:line="49" w:lineRule="exact"/>
        <w:rPr>
          <w:rFonts w:ascii="Times New Roman" w:cs="Times New Roman" w:eastAsia="Times New Roman" w:hAnsi="Times New Roman"/>
          <w:sz w:val="18"/>
          <w:szCs w:val="18"/>
          <w:color w:val="auto"/>
        </w:rPr>
      </w:pPr>
    </w:p>
    <w:p>
      <w:pPr>
        <w:ind w:left="4" w:right="200" w:hanging="4"/>
        <w:spacing w:after="0" w:line="308" w:lineRule="auto"/>
        <w:tabs>
          <w:tab w:leader="none" w:pos="31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2(d)) during any tax year of Executive shall not affect the expenses eligible for reimbursement in any other tax year. The right to reimbursement provided in this Agreement is not subject to liquidation or exchange for another benefit. In no event shall the reimbursement of an eligible expense under this Agreement occur later than the earlier of (i) six months from the date of incurrence and (ii) the end of the calendar year following the calendar year in which such expense was incurred.</w:t>
      </w:r>
    </w:p>
    <w:p>
      <w:pPr>
        <w:spacing w:after="0" w:line="179" w:lineRule="exact"/>
        <w:rPr>
          <w:rFonts w:ascii="Times New Roman" w:cs="Times New Roman" w:eastAsia="Times New Roman" w:hAnsi="Times New Roman"/>
          <w:sz w:val="18"/>
          <w:szCs w:val="18"/>
          <w:color w:val="auto"/>
        </w:rPr>
      </w:pPr>
    </w:p>
    <w:p>
      <w:pPr>
        <w:ind w:left="4" w:right="60" w:firstLine="645"/>
        <w:spacing w:after="0" w:line="313" w:lineRule="auto"/>
        <w:tabs>
          <w:tab w:leader="none" w:pos="14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Chartered Aircraft</w:t>
      </w:r>
      <w:r>
        <w:rPr>
          <w:rFonts w:ascii="Times New Roman" w:cs="Times New Roman" w:eastAsia="Times New Roman" w:hAnsi="Times New Roman"/>
          <w:sz w:val="18"/>
          <w:szCs w:val="18"/>
          <w:color w:val="auto"/>
        </w:rPr>
        <w:t>. The Company hereby agrees that at his election, Executive may travel on chartered aircraft in connection with the performance of his duties hereunder. The Company further agrees that the Executive may continue to charter planes for business travel as is reasonably necessary to efficiently carry out his duties.</w:t>
      </w:r>
    </w:p>
    <w:p>
      <w:pPr>
        <w:spacing w:after="0" w:line="176" w:lineRule="exact"/>
        <w:rPr>
          <w:rFonts w:ascii="Times New Roman" w:cs="Times New Roman" w:eastAsia="Times New Roman" w:hAnsi="Times New Roman"/>
          <w:sz w:val="18"/>
          <w:szCs w:val="18"/>
          <w:color w:val="auto"/>
        </w:rPr>
      </w:pPr>
    </w:p>
    <w:p>
      <w:pPr>
        <w:ind w:left="4" w:right="60" w:firstLine="645"/>
        <w:spacing w:after="0" w:line="302" w:lineRule="auto"/>
        <w:tabs>
          <w:tab w:leader="none" w:pos="151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Executive acknowledges that to the extent required by applicable law or written company policy adopted by the Board to implement the requirements of such law (including without limitation Section 304 of the Sarbanes Oxley Act and Section 954 of the Dodd Frank Act), any bonus and other incentive compensation (if any) shall be subject to any clawback, forfeiture, recoupment or similar requirement (“</w:t>
      </w:r>
      <w:r>
        <w:rPr>
          <w:rFonts w:ascii="Times New Roman" w:cs="Times New Roman" w:eastAsia="Times New Roman" w:hAnsi="Times New Roman"/>
          <w:sz w:val="18"/>
          <w:szCs w:val="18"/>
          <w:u w:val="single" w:color="auto"/>
          <w:color w:val="auto"/>
        </w:rPr>
        <w:t>Clawback Rights</w:t>
      </w:r>
      <w:r>
        <w:rPr>
          <w:rFonts w:ascii="Times New Roman" w:cs="Times New Roman" w:eastAsia="Times New Roman" w:hAnsi="Times New Roman"/>
          <w:sz w:val="18"/>
          <w:szCs w:val="18"/>
          <w:color w:val="auto"/>
        </w:rPr>
        <w:t>”) as the Board may determine in its sole discretion is necessary or desirable to implement such law or policy. Holdings may only exercise Clawback Rights with respect to any bonus and other incentive compensation received during the three completed fiscal years immediately preceding the date on which Holdings is required to prepare an accounting restatement and, if applicable, any transition period resulting from a change in fiscal year within or immediately following the three completed fiscal years.</w:t>
      </w:r>
    </w:p>
    <w:p>
      <w:pPr>
        <w:spacing w:after="0" w:line="189" w:lineRule="exact"/>
        <w:rPr>
          <w:rFonts w:ascii="Times New Roman" w:cs="Times New Roman" w:eastAsia="Times New Roman" w:hAnsi="Times New Roman"/>
          <w:sz w:val="18"/>
          <w:szCs w:val="18"/>
          <w:color w:val="auto"/>
        </w:rPr>
      </w:pPr>
    </w:p>
    <w:p>
      <w:pPr>
        <w:ind w:left="4" w:right="900" w:firstLine="645"/>
        <w:spacing w:after="0" w:line="362" w:lineRule="auto"/>
        <w:tabs>
          <w:tab w:leader="none" w:pos="151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Withholdings and Deductions</w:t>
      </w:r>
      <w:r>
        <w:rPr>
          <w:rFonts w:ascii="Times New Roman" w:cs="Times New Roman" w:eastAsia="Times New Roman" w:hAnsi="Times New Roman"/>
          <w:sz w:val="17"/>
          <w:szCs w:val="17"/>
          <w:color w:val="auto"/>
        </w:rPr>
        <w:t>. All payments and compensation under this Agreement shall be subject to all required withholdings and deductions, and such deductions as Executive may instruct the Company to take that are authorized by applicable law.</w:t>
      </w:r>
    </w:p>
    <w:p>
      <w:pPr>
        <w:spacing w:after="0" w:line="140" w:lineRule="exact"/>
        <w:rPr>
          <w:sz w:val="20"/>
          <w:szCs w:val="20"/>
          <w:color w:val="auto"/>
        </w:rPr>
      </w:pPr>
    </w:p>
    <w:p>
      <w:pPr>
        <w:ind w:left="-656" w:firstLine="656"/>
        <w:spacing w:after="0" w:line="303" w:lineRule="auto"/>
        <w:tabs>
          <w:tab w:leader="none" w:pos="7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Executive shall perform all duties normally associated with the position of President and Chief Operating Officer and such other reasonable duties as may be assigned to him by the Chief Executive Officer of the Company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or the Board. Executive shall report directly to the CEO. Executive will devote his entire working time, attention, and energies to carrying out and fulfilling his duties and responsibilities under this Agreement. Executive agrees to abide by all policies applicable to employees of the Company Group adopted by the Board. Executive’s duties will primarily be performed at the Company’s offices in Bermuda, and Executive represents that he is able and willing to engage in international travel as is necessary to perform his duties as President and Chief Operating Officer and to further the Company’s business interests.</w:t>
      </w:r>
    </w:p>
    <w:p>
      <w:pPr>
        <w:sectPr>
          <w:pgSz w:w="11900" w:h="16838" w:orient="portrait"/>
          <w:cols w:equalWidth="0" w:num="1">
            <w:col w:w="10764"/>
          </w:cols>
          <w:pgMar w:left="896" w:top="607" w:right="239" w:bottom="1440" w:gutter="0" w:footer="0" w:header="0"/>
        </w:sectPr>
      </w:pPr>
    </w:p>
    <w:bookmarkStart w:id="67" w:name="page68"/>
    <w:bookmarkEnd w:id="67"/>
    <w:p>
      <w:pPr>
        <w:ind w:left="784" w:hanging="784"/>
        <w:spacing w:after="0"/>
        <w:tabs>
          <w:tab w:leader="none" w:pos="7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PRIVILEGED INFORMATION</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ind w:left="1504" w:hanging="855"/>
        <w:spacing w:after="0"/>
        <w:tabs>
          <w:tab w:leader="none" w:pos="15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not at any time during the Term or thereafter:</w:t>
      </w:r>
    </w:p>
    <w:p>
      <w:pPr>
        <w:spacing w:after="0" w:line="265" w:lineRule="exact"/>
        <w:rPr>
          <w:rFonts w:ascii="Times New Roman" w:cs="Times New Roman" w:eastAsia="Times New Roman" w:hAnsi="Times New Roman"/>
          <w:sz w:val="18"/>
          <w:szCs w:val="18"/>
          <w:color w:val="auto"/>
        </w:rPr>
      </w:pPr>
    </w:p>
    <w:p>
      <w:pPr>
        <w:ind w:left="4" w:firstLine="1293"/>
        <w:spacing w:after="0" w:line="299" w:lineRule="auto"/>
        <w:tabs>
          <w:tab w:leader="none" w:pos="2119"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reveal, divulge, or make known to any person, firm, or corporation or use for his personal benefit or the benefit of others (except the Company and any of its direct or indirect subsidiaries (hereinafter referred to as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and the Company, together with such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directly or indirectly, any confidential or proprietary information received or developed by him during the course of his employment. For the purposes of this Section 4(a)(i) confidential and proprietary information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be defined to mean (1) all historical and pro forma projections of loss ratios incurred by the Company Group; (2) all historical and pro forma actuarial data relating to the Company Group; (3) historical and pro forma financial results, revenue statements, and projections for the Company Group; (4) all information relating to the Company Group’s systems and software (other than the portion thereof provided by the vendor to all purchasers of such systems and software); (5) all information relating to the Company’s unique underwriting approach; (6) all information relating to plans for, or internal or external discussions regarding, acquisitions of or mergers with any business or line of business; (7) non-public business plans; (8) all other information relating to the financial, business, or other affairs of the Company Group including their customers; and (9) any information about any shareholder of the Company or any of its Affiliates, or any of their officers or employees, that has been furnished or made available to Executive as a result of his position with the Company. Section 4(a)(i) shall not apply to Executive following the termination of his employment with the Company with respect to any Confidential Information known or made generally available to the general public or within the industry by persons other than Executive or a person acting with or at the request of Executive; or</w:t>
      </w:r>
    </w:p>
    <w:p>
      <w:pPr>
        <w:spacing w:after="0" w:line="198" w:lineRule="exact"/>
        <w:rPr>
          <w:rFonts w:ascii="Times New Roman" w:cs="Times New Roman" w:eastAsia="Times New Roman" w:hAnsi="Times New Roman"/>
          <w:sz w:val="18"/>
          <w:szCs w:val="18"/>
          <w:color w:val="auto"/>
        </w:rPr>
      </w:pPr>
    </w:p>
    <w:p>
      <w:pPr>
        <w:ind w:left="4" w:right="140" w:firstLine="1293"/>
        <w:spacing w:after="0" w:line="302" w:lineRule="auto"/>
        <w:tabs>
          <w:tab w:leader="none" w:pos="2169"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reveal, divulge, or make known to any person, firm, or corporation, or use for his personal benefit or the benefit of others (except the Company Group), directly or indirectly, the name or names of any Customers (as defined in Section 5 below) of the Company Group, nor will he reveal, divulge, or make known to any person, firm, or corporation or use for his personal benefit or the benefit of others (except the Company Group), directly or indirectly, any trade secrets or any knowledge or information concerning any business methods or operational procedures engaged in by the Company Group (collectively, “</w:t>
      </w:r>
      <w:r>
        <w:rPr>
          <w:rFonts w:ascii="Times New Roman" w:cs="Times New Roman" w:eastAsia="Times New Roman" w:hAnsi="Times New Roman"/>
          <w:sz w:val="18"/>
          <w:szCs w:val="18"/>
          <w:u w:val="single" w:color="auto"/>
          <w:color w:val="auto"/>
        </w:rPr>
        <w:t>Privileged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restrictions set forth in this Section 4(a)(ii) shall not apply to Executive following the termination of his employment with the Company with respect to any Privileged Information known or made generally available to the general public or within the industry by persons other than Executive or a person acting with or at the request of Executive.</w:t>
      </w:r>
    </w:p>
    <w:p>
      <w:pPr>
        <w:spacing w:after="0" w:line="158" w:lineRule="exact"/>
        <w:rPr>
          <w:rFonts w:ascii="Times New Roman" w:cs="Times New Roman" w:eastAsia="Times New Roman" w:hAnsi="Times New Roman"/>
          <w:sz w:val="18"/>
          <w:szCs w:val="18"/>
          <w:color w:val="auto"/>
        </w:rPr>
      </w:pPr>
    </w:p>
    <w:p>
      <w:pPr>
        <w:ind w:left="4" w:right="80" w:firstLine="645"/>
        <w:spacing w:after="0" w:line="256" w:lineRule="auto"/>
        <w:tabs>
          <w:tab w:leader="none" w:pos="104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under 18 U.S.C. §1833(b),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or any other policy of the Companies is intended to conflict with this statutory protection, and no director, officer, or member of management has the authority to impose any rule to the contrary.</w:t>
      </w:r>
    </w:p>
    <w:p>
      <w:pPr>
        <w:spacing w:after="0" w:line="215" w:lineRule="exact"/>
        <w:rPr>
          <w:sz w:val="20"/>
          <w:szCs w:val="20"/>
          <w:color w:val="auto"/>
        </w:rPr>
      </w:pPr>
    </w:p>
    <w:p>
      <w:pPr>
        <w:ind w:left="1424" w:hanging="775"/>
        <w:spacing w:after="0"/>
        <w:tabs>
          <w:tab w:leader="none" w:pos="1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 w:firstLine="645"/>
        <w:spacing w:after="0" w:line="302"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as the Company’s President and Chief Operating Officer (i) he will be responsible for and directly involved in developing customer goodwill and relationships for the benefit of the Company Group, including personal contact with customers and supervising others who contact customers and develop customer goodwill and relationships; (ii) he will be provided and have access to the Company Group’s Confidential Information and Privileged Information, and will be compensated for the development, and supervising the development, of the same and (iii) he will have unique insight into and knowledge of the skills, talents and capabilities of the Company Group’s key employees. Executive also acknowledges and agrees that at the inception of his employment with the Company it was agreed that he would be bound by noncompetition restrictions that are similar to the restrictions in this Agreement.</w:t>
      </w:r>
    </w:p>
    <w:p>
      <w:pPr>
        <w:spacing w:after="0" w:line="189" w:lineRule="exact"/>
        <w:rPr>
          <w:rFonts w:ascii="Times New Roman" w:cs="Times New Roman" w:eastAsia="Times New Roman" w:hAnsi="Times New Roman"/>
          <w:sz w:val="18"/>
          <w:szCs w:val="18"/>
          <w:color w:val="auto"/>
        </w:rPr>
      </w:pPr>
    </w:p>
    <w:p>
      <w:pPr>
        <w:ind w:left="4" w:right="120" w:firstLine="645"/>
        <w:spacing w:after="0" w:line="308" w:lineRule="auto"/>
        <w:tabs>
          <w:tab w:leader="none" w:pos="15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during his employment by the Company he will not compete against the Company Group in any manner, including without limitation by engaging in, or by assisting any other person or entity to engage in, or by having an ownership interest in, any Competitive Business (as defined below) in the Territory (as defined below), or by engaging in any conduct described in clauses (c)(i), (ii) or (iii) below.</w:t>
      </w:r>
    </w:p>
    <w:p>
      <w:pPr>
        <w:sectPr>
          <w:pgSz w:w="11900" w:h="16838" w:orient="portrait"/>
          <w:cols w:equalWidth="0" w:num="1">
            <w:col w:w="10764"/>
          </w:cols>
          <w:pgMar w:left="896" w:top="607" w:right="239" w:bottom="1440" w:gutter="0" w:footer="0" w:header="0"/>
        </w:sectPr>
      </w:pPr>
    </w:p>
    <w:bookmarkStart w:id="68" w:name="page69"/>
    <w:bookmarkEnd w:id="68"/>
    <w:p>
      <w:pPr>
        <w:ind w:left="1504" w:hanging="855"/>
        <w:spacing w:after="0"/>
        <w:tabs>
          <w:tab w:leader="none" w:pos="1504"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further agrees that after his employment by the Company ends for any reason, he will not during the Restricted Period</w:t>
      </w:r>
    </w:p>
    <w:p>
      <w:pPr>
        <w:spacing w:after="0" w:line="6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defined below):</w:t>
      </w:r>
    </w:p>
    <w:p>
      <w:pPr>
        <w:spacing w:after="0" w:line="265" w:lineRule="exact"/>
        <w:rPr>
          <w:rFonts w:ascii="Times New Roman" w:cs="Times New Roman" w:eastAsia="Times New Roman" w:hAnsi="Times New Roman"/>
          <w:sz w:val="17"/>
          <w:szCs w:val="17"/>
          <w:color w:val="auto"/>
        </w:rPr>
      </w:pPr>
    </w:p>
    <w:p>
      <w:pPr>
        <w:ind w:left="4" w:right="440" w:firstLine="1293"/>
        <w:spacing w:after="0" w:line="329" w:lineRule="auto"/>
        <w:tabs>
          <w:tab w:leader="none" w:pos="211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against the Company Group by engaging in, or by assisting any other person or entity to engage in, or by having an ownership interest in, any Competitive Business in the Territory (as defined below);</w:t>
      </w:r>
    </w:p>
    <w:p>
      <w:pPr>
        <w:spacing w:after="0" w:line="161" w:lineRule="exact"/>
        <w:rPr>
          <w:rFonts w:ascii="Times New Roman" w:cs="Times New Roman" w:eastAsia="Times New Roman" w:hAnsi="Times New Roman"/>
          <w:sz w:val="18"/>
          <w:szCs w:val="18"/>
          <w:color w:val="auto"/>
        </w:rPr>
      </w:pPr>
    </w:p>
    <w:p>
      <w:pPr>
        <w:ind w:left="4" w:right="40" w:firstLine="1293"/>
        <w:spacing w:after="0" w:line="297" w:lineRule="auto"/>
        <w:tabs>
          <w:tab w:leader="none" w:pos="216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against the Company Group by soliciting any Customer (as defined below) in order to provide any goods or services to such Customer in competition against the Company Group, or by soliciting any Agent (as defined below) in order to obtain referrals from such Agent in competition against the Company Group;</w:t>
      </w:r>
    </w:p>
    <w:p>
      <w:pPr>
        <w:spacing w:after="0" w:line="1" w:lineRule="exact"/>
        <w:rPr>
          <w:rFonts w:ascii="Times New Roman" w:cs="Times New Roman" w:eastAsia="Times New Roman" w:hAnsi="Times New Roman"/>
          <w:sz w:val="18"/>
          <w:szCs w:val="18"/>
          <w:color w:val="auto"/>
        </w:rPr>
      </w:pPr>
    </w:p>
    <w:p>
      <w:pPr>
        <w:ind w:left="2224" w:hanging="927"/>
        <w:spacing w:after="0"/>
        <w:tabs>
          <w:tab w:leader="none" w:pos="222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induce or persuade any Customer or Agent not to do business with, or to switch business from, or reduce business</w:t>
      </w:r>
    </w:p>
    <w:p>
      <w:pPr>
        <w:spacing w:after="0" w:line="4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Company Group;</w:t>
      </w:r>
    </w:p>
    <w:p>
      <w:pPr>
        <w:spacing w:after="0" w:line="265" w:lineRule="exact"/>
        <w:rPr>
          <w:rFonts w:ascii="Times New Roman" w:cs="Times New Roman" w:eastAsia="Times New Roman" w:hAnsi="Times New Roman"/>
          <w:sz w:val="18"/>
          <w:szCs w:val="18"/>
          <w:color w:val="auto"/>
        </w:rPr>
      </w:pPr>
    </w:p>
    <w:p>
      <w:pPr>
        <w:ind w:left="4" w:right="480" w:firstLine="1293"/>
        <w:spacing w:after="0" w:line="329" w:lineRule="auto"/>
        <w:tabs>
          <w:tab w:leader="none" w:pos="220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assist others in soliciting, Key Employees (as defined below) to either leave the Company Group or to engage in a Competitive Business.</w:t>
      </w:r>
    </w:p>
    <w:p>
      <w:pPr>
        <w:spacing w:after="0" w:line="161" w:lineRule="exact"/>
        <w:rPr>
          <w:rFonts w:ascii="Times New Roman" w:cs="Times New Roman" w:eastAsia="Times New Roman" w:hAnsi="Times New Roman"/>
          <w:sz w:val="18"/>
          <w:szCs w:val="18"/>
          <w:color w:val="auto"/>
        </w:rPr>
      </w:pPr>
    </w:p>
    <w:p>
      <w:pPr>
        <w:ind w:left="1504" w:hanging="855"/>
        <w:spacing w:after="0"/>
        <w:tabs>
          <w:tab w:leader="none" w:pos="150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capitalized terms shall have the meanings set forth below:</w:t>
      </w:r>
    </w:p>
    <w:p>
      <w:pPr>
        <w:spacing w:after="0" w:line="265" w:lineRule="exact"/>
        <w:rPr>
          <w:rFonts w:ascii="Times New Roman" w:cs="Times New Roman" w:eastAsia="Times New Roman" w:hAnsi="Times New Roman"/>
          <w:sz w:val="18"/>
          <w:szCs w:val="18"/>
          <w:color w:val="auto"/>
        </w:rPr>
      </w:pPr>
    </w:p>
    <w:p>
      <w:pPr>
        <w:ind w:left="4" w:right="80" w:firstLine="1293"/>
        <w:spacing w:after="0" w:line="330" w:lineRule="auto"/>
        <w:tabs>
          <w:tab w:leader="none" w:pos="2119"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shall mean any insurance agent, insurance broker, wholesale agent, general agent, or other person (A) that acted on behalf of any customer of the Company Group to obtain insurance from any Company Group entity or who referred any insurance business to any Company Group entity during the Final Year (as defined below) and (B) with respect to which either Executive had either (I) Confidential Information or Privileged Information or (II) account responsibility either directly or through managing employees with such account responsibility.</w:t>
      </w:r>
    </w:p>
    <w:p>
      <w:pPr>
        <w:spacing w:after="0" w:line="167" w:lineRule="exact"/>
        <w:rPr>
          <w:rFonts w:ascii="Times New Roman" w:cs="Times New Roman" w:eastAsia="Times New Roman" w:hAnsi="Times New Roman"/>
          <w:sz w:val="17"/>
          <w:szCs w:val="17"/>
          <w:color w:val="auto"/>
        </w:rPr>
      </w:pPr>
    </w:p>
    <w:p>
      <w:pPr>
        <w:ind w:left="4" w:right="60" w:firstLine="1293"/>
        <w:spacing w:after="0" w:line="302" w:lineRule="auto"/>
        <w:tabs>
          <w:tab w:leader="none" w:pos="216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shall mean the business of acquiring, holding, and/or operating excess and surplus line insurance companies, and any other material business that the Company Group is engaged in as of the date of this Agreement and as the business of the Company Group evolves during Executive’s employment with the Company. For informational purposes only and not for the purpose of construing or restricting the scope of the term “Competitive Business,” the parties agree that the following activities in which the Company Group is currently engaged are within the scope of Competitive Business: providing workers' compensation insurance in North Carolina, South Carolina and Virginia, providing excess and surplus lines insurance in the United States and writing working layer casualty reinsurance through a reinsurance company from Bermuda.</w:t>
      </w:r>
    </w:p>
    <w:p>
      <w:pPr>
        <w:spacing w:after="0" w:line="189" w:lineRule="exact"/>
        <w:rPr>
          <w:rFonts w:ascii="Times New Roman" w:cs="Times New Roman" w:eastAsia="Times New Roman" w:hAnsi="Times New Roman"/>
          <w:sz w:val="18"/>
          <w:szCs w:val="18"/>
          <w:color w:val="auto"/>
        </w:rPr>
      </w:pPr>
    </w:p>
    <w:p>
      <w:pPr>
        <w:ind w:left="4" w:right="60" w:firstLine="1293"/>
        <w:spacing w:after="0" w:line="308" w:lineRule="auto"/>
        <w:tabs>
          <w:tab w:leader="none" w:pos="221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shall mean any customer of the Company Group that (A) purchased products or services from the Company during the twelve month period immediately preceding Executive’s last day of employment with the Company (the “</w:t>
      </w:r>
      <w:r>
        <w:rPr>
          <w:rFonts w:ascii="Times New Roman" w:cs="Times New Roman" w:eastAsia="Times New Roman" w:hAnsi="Times New Roman"/>
          <w:sz w:val="18"/>
          <w:szCs w:val="18"/>
          <w:u w:val="single" w:color="auto"/>
          <w:color w:val="auto"/>
        </w:rPr>
        <w:t>Final Year</w:t>
      </w:r>
      <w:r>
        <w:rPr>
          <w:rFonts w:ascii="Times New Roman" w:cs="Times New Roman" w:eastAsia="Times New Roman" w:hAnsi="Times New Roman"/>
          <w:sz w:val="18"/>
          <w:szCs w:val="18"/>
          <w:color w:val="auto"/>
        </w:rPr>
        <w:t>”), and (B) about which Executive either had Confidential Information or Privileged Information or personal or management responsibility for customer contact or service.</w:t>
      </w:r>
    </w:p>
    <w:p>
      <w:pPr>
        <w:spacing w:after="0" w:line="179" w:lineRule="exact"/>
        <w:rPr>
          <w:rFonts w:ascii="Times New Roman" w:cs="Times New Roman" w:eastAsia="Times New Roman" w:hAnsi="Times New Roman"/>
          <w:sz w:val="18"/>
          <w:szCs w:val="18"/>
          <w:color w:val="auto"/>
        </w:rPr>
      </w:pPr>
    </w:p>
    <w:p>
      <w:pPr>
        <w:ind w:left="4" w:right="460" w:firstLine="1293"/>
        <w:spacing w:after="0" w:line="329" w:lineRule="auto"/>
        <w:tabs>
          <w:tab w:leader="none" w:pos="220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shall mean any executive, managerial, sales, marketing, or supervisory level employees of the Company Group under Executive’s direct or indirect management authority during the Final Year.</w:t>
      </w:r>
    </w:p>
    <w:p>
      <w:pPr>
        <w:spacing w:after="0" w:line="161" w:lineRule="exact"/>
        <w:rPr>
          <w:rFonts w:ascii="Times New Roman" w:cs="Times New Roman" w:eastAsia="Times New Roman" w:hAnsi="Times New Roman"/>
          <w:sz w:val="18"/>
          <w:szCs w:val="18"/>
          <w:color w:val="auto"/>
        </w:rPr>
      </w:pPr>
    </w:p>
    <w:p>
      <w:pPr>
        <w:ind w:left="2164" w:hanging="867"/>
        <w:spacing w:after="0"/>
        <w:tabs>
          <w:tab w:leader="none" w:pos="216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shall mean 18 months.</w:t>
      </w:r>
    </w:p>
    <w:p>
      <w:pPr>
        <w:spacing w:after="0" w:line="265" w:lineRule="exact"/>
        <w:rPr>
          <w:rFonts w:ascii="Times New Roman" w:cs="Times New Roman" w:eastAsia="Times New Roman" w:hAnsi="Times New Roman"/>
          <w:sz w:val="18"/>
          <w:szCs w:val="18"/>
          <w:color w:val="auto"/>
        </w:rPr>
      </w:pPr>
    </w:p>
    <w:p>
      <w:pPr>
        <w:ind w:left="4" w:right="460" w:firstLine="1293"/>
        <w:spacing w:after="0" w:line="329" w:lineRule="auto"/>
        <w:tabs>
          <w:tab w:leader="none" w:pos="220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shall mean Bermuda and each and every state or other United States jurisdiction where the Company Group is licensed or admitted at the end of the Term and/or is then in the process of seeking to be licensed.</w:t>
      </w:r>
    </w:p>
    <w:p>
      <w:pPr>
        <w:spacing w:after="0" w:line="161" w:lineRule="exact"/>
        <w:rPr>
          <w:rFonts w:ascii="Times New Roman" w:cs="Times New Roman" w:eastAsia="Times New Roman" w:hAnsi="Times New Roman"/>
          <w:sz w:val="18"/>
          <w:szCs w:val="18"/>
          <w:color w:val="auto"/>
        </w:rPr>
      </w:pPr>
    </w:p>
    <w:p>
      <w:pPr>
        <w:jc w:val="both"/>
        <w:ind w:left="4" w:right="20" w:firstLine="645"/>
        <w:spacing w:after="0" w:line="313"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Section 5 shall not prevent the purchase of ownership by Executive of not more than 3% of the securities of any class of any corporation, whether or not such corporation is engaged in any Competitive Business, which are publicly traded on any securities exchange or any “over the counter” market.</w:t>
      </w:r>
    </w:p>
    <w:p>
      <w:pPr>
        <w:spacing w:after="0" w:line="176" w:lineRule="exact"/>
        <w:rPr>
          <w:rFonts w:ascii="Times New Roman" w:cs="Times New Roman" w:eastAsia="Times New Roman" w:hAnsi="Times New Roman"/>
          <w:sz w:val="18"/>
          <w:szCs w:val="18"/>
          <w:color w:val="auto"/>
        </w:rPr>
      </w:pPr>
    </w:p>
    <w:p>
      <w:pPr>
        <w:ind w:left="784" w:hanging="784"/>
        <w:spacing w:after="0"/>
        <w:tabs>
          <w:tab w:leader="none" w:pos="78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Executive’s employment hereunder shall terminate under the following circumstances:</w:t>
      </w:r>
    </w:p>
    <w:p>
      <w:pPr>
        <w:spacing w:after="0" w:line="265" w:lineRule="exact"/>
        <w:rPr>
          <w:rFonts w:ascii="Times New Roman" w:cs="Times New Roman" w:eastAsia="Times New Roman" w:hAnsi="Times New Roman"/>
          <w:sz w:val="18"/>
          <w:szCs w:val="18"/>
          <w:color w:val="auto"/>
        </w:rPr>
      </w:pPr>
    </w:p>
    <w:p>
      <w:pPr>
        <w:ind w:left="4" w:right="80" w:firstLine="645"/>
        <w:spacing w:after="0" w:line="313"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The Company may terminate the employment of Executive for Cause at any time by providing written notice to Executive specifying the cause of the termination. For the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that: (i) Executive willfully violated Sections 4 or 5 of this Agreement; (ii) Executive</w:t>
      </w:r>
    </w:p>
    <w:p>
      <w:pPr>
        <w:sectPr>
          <w:pgSz w:w="11900" w:h="16838" w:orient="portrait"/>
          <w:cols w:equalWidth="0" w:num="1">
            <w:col w:w="10764"/>
          </w:cols>
          <w:pgMar w:left="896" w:top="607" w:right="239" w:bottom="1440" w:gutter="0" w:footer="0" w:header="0"/>
        </w:sectPr>
      </w:pPr>
    </w:p>
    <w:bookmarkStart w:id="69" w:name="page70"/>
    <w:bookmarkEnd w:id="69"/>
    <w:p>
      <w:pPr>
        <w:ind w:left="4"/>
        <w:spacing w:after="0" w:line="301" w:lineRule="auto"/>
        <w:rPr>
          <w:sz w:val="20"/>
          <w:szCs w:val="20"/>
          <w:color w:val="auto"/>
        </w:rPr>
      </w:pPr>
      <w:r>
        <w:rPr>
          <w:rFonts w:ascii="Times New Roman" w:cs="Times New Roman" w:eastAsia="Times New Roman" w:hAnsi="Times New Roman"/>
          <w:sz w:val="18"/>
          <w:szCs w:val="18"/>
          <w:color w:val="auto"/>
        </w:rPr>
        <w:t>grossly neglected his duties hereunder; (iii) Executive was convicted of a felony, or a crime involving moral turpitude (meaning a crime that includes the commission of an act of depravity, dishonesty, or bad morals); (iv) Executive has committed an act of dishonesty, fraud, or embezzlement against any Company Group entity; (v) Executive willfully and/or knowingly breached any provision of this Agreement other than Section 4 or Section 5 in any material respect, or willfully and/or knowingly violated the Company’s written policies; or (vi) Executive willfully failed or refused to follow the lawful instructions of the Board that are consistent with this Agreement (“</w:t>
      </w:r>
      <w:r>
        <w:rPr>
          <w:rFonts w:ascii="Times New Roman" w:cs="Times New Roman" w:eastAsia="Times New Roman" w:hAnsi="Times New Roman"/>
          <w:sz w:val="18"/>
          <w:szCs w:val="18"/>
          <w:u w:val="single" w:color="auto"/>
          <w:color w:val="auto"/>
        </w:rPr>
        <w:t>Insubordination</w:t>
      </w:r>
      <w:r>
        <w:rPr>
          <w:rFonts w:ascii="Times New Roman" w:cs="Times New Roman" w:eastAsia="Times New Roman" w:hAnsi="Times New Roman"/>
          <w:sz w:val="18"/>
          <w:szCs w:val="18"/>
          <w:color w:val="auto"/>
        </w:rPr>
        <w:t>”). In the event that the Company provides written notice of termination for Cause pursuant to Section 6(a)(ii) or (vi), Executive shall be entitled to cure any alleged neglect of his duties or Insubordination, to the extent curable, within 30 days of receiving written notice from the Company specifying the factual basis for its belief that Executive grossly neglected his duties hereunder or engaged in Insubordination. If Executive is terminated for Cause, Executive’s compensation shall terminate on the date of such termination, and all Company stock options, whether vested or unvested at that time, shall be immediately forfeited and canceled effective as of the date of such termination.</w:t>
      </w:r>
    </w:p>
    <w:p>
      <w:pPr>
        <w:spacing w:after="0" w:line="186" w:lineRule="exact"/>
        <w:rPr>
          <w:sz w:val="20"/>
          <w:szCs w:val="20"/>
          <w:color w:val="auto"/>
        </w:rPr>
      </w:pPr>
    </w:p>
    <w:p>
      <w:pPr>
        <w:ind w:left="4" w:right="60" w:firstLine="645"/>
        <w:spacing w:after="0" w:line="305" w:lineRule="auto"/>
        <w:tabs>
          <w:tab w:leader="none" w:pos="15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Without Cause; Company Non-Renewal Termination</w:t>
      </w:r>
      <w:r>
        <w:rPr>
          <w:rFonts w:ascii="Times New Roman" w:cs="Times New Roman" w:eastAsia="Times New Roman" w:hAnsi="Times New Roman"/>
          <w:sz w:val="18"/>
          <w:szCs w:val="18"/>
          <w:color w:val="auto"/>
        </w:rPr>
        <w:t>. The Company may terminate the employment of Executive at any time without Cause, with or without prior notice. If (i) the Company delivers a timely Non-Renewal Notice and Executive has not timely delivered a timely Non-Renewal Notice, (ii) Executive continues in employment with the Company through the last day of the Term, and (iii) the parties have not executed a written agreement applicable to Executive’s employment after the expiration of the Term, then Executive’s employment shall terminate on the last day of the Term (a “</w:t>
      </w:r>
      <w:r>
        <w:rPr>
          <w:rFonts w:ascii="Times New Roman" w:cs="Times New Roman" w:eastAsia="Times New Roman" w:hAnsi="Times New Roman"/>
          <w:sz w:val="18"/>
          <w:szCs w:val="18"/>
          <w:u w:val="single" w:color="auto"/>
          <w:color w:val="auto"/>
        </w:rPr>
        <w:t>Company Non-Renewal Termination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340" w:firstLine="645"/>
        <w:spacing w:after="0" w:line="313"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Executive for Good Reason</w:t>
      </w:r>
      <w:r>
        <w:rPr>
          <w:rFonts w:ascii="Times New Roman" w:cs="Times New Roman" w:eastAsia="Times New Roman" w:hAnsi="Times New Roman"/>
          <w:sz w:val="18"/>
          <w:szCs w:val="18"/>
          <w:color w:val="auto"/>
        </w:rPr>
        <w:t>. Executive may, at his option, terminate this Agreement for Good Reason in accordance with the terms of this Section 6(c).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occurrence of any one or more of the following events without the prior consent of Executive:</w:t>
      </w:r>
    </w:p>
    <w:p>
      <w:pPr>
        <w:spacing w:after="0" w:line="176" w:lineRule="exact"/>
        <w:rPr>
          <w:rFonts w:ascii="Times New Roman" w:cs="Times New Roman" w:eastAsia="Times New Roman" w:hAnsi="Times New Roman"/>
          <w:sz w:val="18"/>
          <w:szCs w:val="18"/>
          <w:color w:val="auto"/>
        </w:rPr>
      </w:pPr>
    </w:p>
    <w:p>
      <w:pPr>
        <w:jc w:val="both"/>
        <w:ind w:left="4" w:right="180" w:firstLine="1293"/>
        <w:spacing w:after="0" w:line="313" w:lineRule="auto"/>
        <w:tabs>
          <w:tab w:leader="none" w:pos="211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Executive’s authority, duties or responsibilities, or requiring Executive to report directly to a person or persons other than the CEO, provided, however, that Executive’s ceasing to be a member of the Board for any reason shall not constitute Good Reason;</w:t>
      </w:r>
    </w:p>
    <w:p>
      <w:pPr>
        <w:spacing w:after="0" w:line="176" w:lineRule="exact"/>
        <w:rPr>
          <w:rFonts w:ascii="Times New Roman" w:cs="Times New Roman" w:eastAsia="Times New Roman" w:hAnsi="Times New Roman"/>
          <w:sz w:val="18"/>
          <w:szCs w:val="18"/>
          <w:color w:val="auto"/>
        </w:rPr>
      </w:pPr>
    </w:p>
    <w:p>
      <w:pPr>
        <w:ind w:left="2164" w:hanging="867"/>
        <w:spacing w:after="0"/>
        <w:tabs>
          <w:tab w:leader="none" w:pos="216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Executive’s base salary;</w:t>
      </w:r>
    </w:p>
    <w:p>
      <w:pPr>
        <w:spacing w:after="0" w:line="265" w:lineRule="exact"/>
        <w:rPr>
          <w:rFonts w:ascii="Times New Roman" w:cs="Times New Roman" w:eastAsia="Times New Roman" w:hAnsi="Times New Roman"/>
          <w:sz w:val="18"/>
          <w:szCs w:val="18"/>
          <w:color w:val="auto"/>
        </w:rPr>
      </w:pPr>
    </w:p>
    <w:p>
      <w:pPr>
        <w:ind w:left="4" w:right="360" w:firstLine="1293"/>
        <w:spacing w:after="0" w:line="329" w:lineRule="auto"/>
        <w:tabs>
          <w:tab w:leader="none" w:pos="221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requiring Executive to be based at any office or location more than 35 miles from either Sudbury, Massachusetts, Hamilton, Bermuda, Raleigh, North Carolina, or Richmond, Virginia; or</w:t>
      </w:r>
    </w:p>
    <w:p>
      <w:pPr>
        <w:spacing w:after="0" w:line="161" w:lineRule="exact"/>
        <w:rPr>
          <w:rFonts w:ascii="Times New Roman" w:cs="Times New Roman" w:eastAsia="Times New Roman" w:hAnsi="Times New Roman"/>
          <w:sz w:val="18"/>
          <w:szCs w:val="18"/>
          <w:color w:val="auto"/>
        </w:rPr>
      </w:pPr>
    </w:p>
    <w:p>
      <w:pPr>
        <w:ind w:left="2204" w:hanging="907"/>
        <w:spacing w:after="0"/>
        <w:tabs>
          <w:tab w:leader="none" w:pos="22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inaction by the Company which constitutes a material breach of the terms of this Agreement;</w:t>
      </w:r>
    </w:p>
    <w:p>
      <w:pPr>
        <w:spacing w:after="0" w:line="239"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and, in each case, the failure by the Company to cure such condition within the 30-day period after receipt of written notice from Executive specifying in detail the factual basis for his belief that he has Good Reason to resign (“</w:t>
      </w:r>
      <w:r>
        <w:rPr>
          <w:rFonts w:ascii="Times New Roman" w:cs="Times New Roman" w:eastAsia="Times New Roman" w:hAnsi="Times New Roman"/>
          <w:sz w:val="18"/>
          <w:szCs w:val="18"/>
          <w:u w:val="single" w:color="auto"/>
          <w:color w:val="auto"/>
        </w:rPr>
        <w:t>Good Reason Notice</w:t>
      </w:r>
      <w:r>
        <w:rPr>
          <w:rFonts w:ascii="Times New Roman" w:cs="Times New Roman" w:eastAsia="Times New Roman" w:hAnsi="Times New Roman"/>
          <w:sz w:val="18"/>
          <w:szCs w:val="18"/>
          <w:color w:val="auto"/>
        </w:rPr>
        <w:t>”). Executive must deliver a Good Reason Notice within 30 calendar days after the initial existence of a Good Reason condition, and, if the Company fails to timely cure such Good Reason condition, Executive must terminate his employment within one year after the initial existence of such Good Reason condition, and any failure by Executive to timely comply with either of these requirements shall constitute a waiver of Executive’s right to resign for Good Reason for such condition.</w:t>
      </w:r>
    </w:p>
    <w:p>
      <w:pPr>
        <w:spacing w:after="0" w:line="215" w:lineRule="exact"/>
        <w:rPr>
          <w:sz w:val="20"/>
          <w:szCs w:val="20"/>
          <w:color w:val="auto"/>
        </w:rPr>
      </w:pPr>
    </w:p>
    <w:p>
      <w:pPr>
        <w:ind w:left="4" w:right="40" w:firstLine="645"/>
        <w:spacing w:after="0" w:line="301" w:lineRule="auto"/>
        <w:tabs>
          <w:tab w:leader="none" w:pos="151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Executive’s employment hereunder shall terminate upon his death. The Company may terminate Executive’s employment if he is prevented from performing his responsibilities under this Agreement because of “Disability.” A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that Executive is unable to engage in any substantial gainful activity by reason of a medically determinable physical or mental impairment that can be expected to result in death or can be expected to last for a continuous period of not less than 12 months, or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or disability insurance benefit plan covering Company employees (“</w:t>
      </w:r>
      <w:r>
        <w:rPr>
          <w:rFonts w:ascii="Times New Roman" w:cs="Times New Roman" w:eastAsia="Times New Roman" w:hAnsi="Times New Roman"/>
          <w:sz w:val="18"/>
          <w:szCs w:val="18"/>
          <w:u w:val="single" w:color="auto"/>
          <w:color w:val="auto"/>
        </w:rPr>
        <w:t>Disability Plan</w:t>
      </w:r>
      <w:r>
        <w:rPr>
          <w:rFonts w:ascii="Times New Roman" w:cs="Times New Roman" w:eastAsia="Times New Roman" w:hAnsi="Times New Roman"/>
          <w:sz w:val="18"/>
          <w:szCs w:val="18"/>
          <w:color w:val="auto"/>
        </w:rPr>
        <w:t>”). If Executive is unable to perform his responsibilities, by reason of any accident, illness, or mental, or physical impairment, for a period that is reasonably anticipated by the Company to be longer than the waiting period in the Disability Plan, then, at the Company’s request, Executive shall promptly apply for such income replacement benefits.</w:t>
      </w:r>
    </w:p>
    <w:p>
      <w:pPr>
        <w:spacing w:after="0" w:line="189" w:lineRule="exact"/>
        <w:rPr>
          <w:rFonts w:ascii="Times New Roman" w:cs="Times New Roman" w:eastAsia="Times New Roman" w:hAnsi="Times New Roman"/>
          <w:sz w:val="18"/>
          <w:szCs w:val="18"/>
          <w:color w:val="auto"/>
        </w:rPr>
      </w:pPr>
    </w:p>
    <w:p>
      <w:pPr>
        <w:ind w:left="4" w:right="20" w:firstLine="645"/>
        <w:spacing w:after="0" w:line="315" w:lineRule="auto"/>
        <w:tabs>
          <w:tab w:leader="none" w:pos="150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Expiration of Term</w:t>
      </w:r>
      <w:r>
        <w:rPr>
          <w:rFonts w:ascii="Times New Roman" w:cs="Times New Roman" w:eastAsia="Times New Roman" w:hAnsi="Times New Roman"/>
          <w:sz w:val="17"/>
          <w:szCs w:val="17"/>
          <w:color w:val="auto"/>
        </w:rPr>
        <w:t>. If (i) Executive delivers a timely Non-Renewal Notice pursuant to Section 1 (whether or not the Company has timely delivered a timely Non-Renewal Notice), (ii) Executive continues in employment with the Company through the last day of the Term, and</w:t>
      </w:r>
    </w:p>
    <w:p>
      <w:pPr>
        <w:ind w:left="324" w:hanging="324"/>
        <w:spacing w:after="0"/>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not executed a written</w:t>
      </w:r>
    </w:p>
    <w:p>
      <w:pPr>
        <w:sectPr>
          <w:pgSz w:w="11900" w:h="16838" w:orient="portrait"/>
          <w:cols w:equalWidth="0" w:num="1">
            <w:col w:w="10764"/>
          </w:cols>
          <w:pgMar w:left="896" w:top="607" w:right="239" w:bottom="1440" w:gutter="0" w:footer="0" w:header="0"/>
        </w:sectPr>
      </w:pPr>
    </w:p>
    <w:bookmarkStart w:id="70" w:name="page71"/>
    <w:bookmarkEnd w:id="70"/>
    <w:p>
      <w:pPr>
        <w:ind w:left="4" w:right="20"/>
        <w:spacing w:after="0" w:line="329" w:lineRule="auto"/>
        <w:rPr>
          <w:sz w:val="20"/>
          <w:szCs w:val="20"/>
          <w:color w:val="auto"/>
        </w:rPr>
      </w:pPr>
      <w:r>
        <w:rPr>
          <w:rFonts w:ascii="Times New Roman" w:cs="Times New Roman" w:eastAsia="Times New Roman" w:hAnsi="Times New Roman"/>
          <w:sz w:val="18"/>
          <w:szCs w:val="18"/>
          <w:color w:val="auto"/>
        </w:rPr>
        <w:t>agreement applicable to Executive’s employment after the expiration of the Term, then Executive’s employment shall terminate on the last day of the Term.</w:t>
      </w:r>
    </w:p>
    <w:p>
      <w:pPr>
        <w:spacing w:after="0" w:line="162" w:lineRule="exact"/>
        <w:rPr>
          <w:sz w:val="20"/>
          <w:szCs w:val="20"/>
          <w:color w:val="auto"/>
        </w:rPr>
      </w:pPr>
    </w:p>
    <w:p>
      <w:pPr>
        <w:ind w:left="784" w:hanging="784"/>
        <w:spacing w:after="0"/>
        <w:tabs>
          <w:tab w:leader="none" w:pos="78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 UPON TERMINATION</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ind w:left="4" w:right="620" w:firstLine="645"/>
        <w:spacing w:after="0" w:line="329"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the Company terminates Executive’s employment without Cause, there is a Company Non-Renewal Termination, or Executive terminates his employment for Good Reason, then:</w:t>
      </w:r>
    </w:p>
    <w:p>
      <w:pPr>
        <w:spacing w:after="0" w:line="161" w:lineRule="exact"/>
        <w:rPr>
          <w:rFonts w:ascii="Times New Roman" w:cs="Times New Roman" w:eastAsia="Times New Roman" w:hAnsi="Times New Roman"/>
          <w:sz w:val="18"/>
          <w:szCs w:val="18"/>
          <w:color w:val="auto"/>
        </w:rPr>
      </w:pPr>
    </w:p>
    <w:p>
      <w:pPr>
        <w:ind w:left="4" w:firstLine="1293"/>
        <w:spacing w:after="0" w:line="313" w:lineRule="auto"/>
        <w:tabs>
          <w:tab w:leader="none" w:pos="2119"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such termination but no later than ten days after the Termination Date (as defined below), the Company shall pay to Executive his accrued but yet unpaid base salary earned through the Termination Date and any accrued, but unused vacation pay through the Termination Date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4" w:right="480" w:firstLine="1293"/>
        <w:spacing w:after="0" w:line="329" w:lineRule="auto"/>
        <w:tabs>
          <w:tab w:leader="none" w:pos="2169"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following the Termination Date, the Company shall reimburse Executive for reasonable expenses incurred, but not paid prior to the Termination Date;</w:t>
      </w:r>
    </w:p>
    <w:p>
      <w:pPr>
        <w:spacing w:after="0" w:line="161" w:lineRule="exact"/>
        <w:rPr>
          <w:rFonts w:ascii="Times New Roman" w:cs="Times New Roman" w:eastAsia="Times New Roman" w:hAnsi="Times New Roman"/>
          <w:sz w:val="18"/>
          <w:szCs w:val="18"/>
          <w:color w:val="auto"/>
        </w:rPr>
      </w:pPr>
    </w:p>
    <w:p>
      <w:pPr>
        <w:ind w:left="2224" w:hanging="927"/>
        <w:spacing w:after="0"/>
        <w:tabs>
          <w:tab w:leader="none" w:pos="2224"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Tax Equalization Policy obligations of the Company shall be paid in accordance with such</w:t>
      </w:r>
    </w:p>
    <w:p>
      <w:pPr>
        <w:spacing w:after="0" w:line="4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and</w:t>
      </w:r>
    </w:p>
    <w:p>
      <w:pPr>
        <w:spacing w:after="0" w:line="265" w:lineRule="exact"/>
        <w:rPr>
          <w:rFonts w:ascii="Times New Roman" w:cs="Times New Roman" w:eastAsia="Times New Roman" w:hAnsi="Times New Roman"/>
          <w:sz w:val="18"/>
          <w:szCs w:val="18"/>
          <w:color w:val="auto"/>
        </w:rPr>
      </w:pPr>
    </w:p>
    <w:p>
      <w:pPr>
        <w:ind w:left="4" w:right="140" w:firstLine="1293"/>
        <w:spacing w:after="0" w:line="308" w:lineRule="auto"/>
        <w:tabs>
          <w:tab w:leader="none" w:pos="2208"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execution and delivery of a general release (which release shall not alter or result in the waiver of Executive’s right to exercise the portion of any Company stock option that vested through the Termination Date, or any rights under this Section 7(a)) in a form acceptable to the Company within thirty (30) days after the Termination Date (the “</w:t>
      </w:r>
      <w:r>
        <w:rPr>
          <w:rFonts w:ascii="Times New Roman" w:cs="Times New Roman" w:eastAsia="Times New Roman" w:hAnsi="Times New Roman"/>
          <w:sz w:val="18"/>
          <w:szCs w:val="18"/>
          <w:u w:val="single" w:color="auto"/>
          <w:color w:val="auto"/>
        </w:rPr>
        <w:t>Release Expiration Date</w:t>
      </w:r>
      <w:r>
        <w:rPr>
          <w:rFonts w:ascii="Times New Roman" w:cs="Times New Roman" w:eastAsia="Times New Roman" w:hAnsi="Times New Roman"/>
          <w:sz w:val="18"/>
          <w:szCs w:val="18"/>
          <w:color w:val="auto"/>
        </w:rPr>
        <w:t>”), which release has not been revoked, Executive is entitled to receive:</w:t>
      </w:r>
    </w:p>
    <w:p>
      <w:pPr>
        <w:spacing w:after="0" w:line="180" w:lineRule="exact"/>
        <w:rPr>
          <w:sz w:val="20"/>
          <w:szCs w:val="20"/>
          <w:color w:val="auto"/>
        </w:rPr>
      </w:pPr>
    </w:p>
    <w:p>
      <w:pPr>
        <w:ind w:left="4" w:right="180" w:firstLine="1293"/>
        <w:spacing w:after="0" w:line="308" w:lineRule="auto"/>
        <w:tabs>
          <w:tab w:leader="none" w:pos="21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gross amount equal to (x) Executive’s base salary in effect on the Termination Date divided by (y) 12, per month, subject to any applicable deductions and withholdings, for a period of 36 months after the Termination Date, which shall be paid in periodic installments in accordance with the Company’s normal payroll practices in effect as of the Termination Date commencing on the first payroll cycle which is at least 45 days after the Termination Date, unless such payments are required to be delayed pursuant to Section 8 below;</w:t>
      </w:r>
    </w:p>
    <w:p>
      <w:pPr>
        <w:spacing w:after="0" w:line="179" w:lineRule="exact"/>
        <w:rPr>
          <w:rFonts w:ascii="Times New Roman" w:cs="Times New Roman" w:eastAsia="Times New Roman" w:hAnsi="Times New Roman"/>
          <w:sz w:val="18"/>
          <w:szCs w:val="18"/>
          <w:color w:val="auto"/>
        </w:rPr>
      </w:pPr>
    </w:p>
    <w:p>
      <w:pPr>
        <w:ind w:left="4" w:right="80" w:firstLine="1293"/>
        <w:spacing w:after="0" w:line="324" w:lineRule="auto"/>
        <w:tabs>
          <w:tab w:leader="none" w:pos="215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of coverage under all employee benefit insurance plans in which Executive was a participant as of the Termination Date, to the extent such post-employment coverage is authorized by such plans, at the Company’s expense for a period of 12 months after the Termination Date, provided, however if post-employment coverage is not authorized under the Company’s health insurance plan, then the Company will pay Executive the premium cost for health insurance coverage that the Company would have paid if Executive had continued being a participant in the Company’s health insurance plan during such twelve month period, and such amount shall be paid at the time such premiums would have been paid if Executive had continued being a participant in the Company’s health insurance plan during such twelve month period; and</w:t>
      </w:r>
    </w:p>
    <w:p>
      <w:pPr>
        <w:spacing w:after="0" w:line="172" w:lineRule="exact"/>
        <w:rPr>
          <w:rFonts w:ascii="Times New Roman" w:cs="Times New Roman" w:eastAsia="Times New Roman" w:hAnsi="Times New Roman"/>
          <w:sz w:val="17"/>
          <w:szCs w:val="17"/>
          <w:color w:val="auto"/>
        </w:rPr>
      </w:pPr>
    </w:p>
    <w:p>
      <w:pPr>
        <w:ind w:left="4" w:right="440" w:firstLine="1293"/>
        <w:spacing w:after="0" w:line="329" w:lineRule="auto"/>
        <w:tabs>
          <w:tab w:leader="none" w:pos="21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discretionary bonus awarded to Executive for the year prior to the year in which the Termination Date occurs, which shall be paid in a lump sum on the normal bonus payment date.</w:t>
      </w:r>
    </w:p>
    <w:p>
      <w:pPr>
        <w:spacing w:after="0" w:line="162" w:lineRule="exact"/>
        <w:rPr>
          <w:sz w:val="20"/>
          <w:szCs w:val="20"/>
          <w:color w:val="auto"/>
        </w:rPr>
      </w:pPr>
    </w:p>
    <w:p>
      <w:pPr>
        <w:ind w:left="4" w:right="80" w:firstLine="1293"/>
        <w:spacing w:after="0" w:line="330" w:lineRule="auto"/>
        <w:tabs>
          <w:tab w:leader="none" w:pos="2158"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Executive fails to execute the Release on or prior to the Release Expiration Date, Executive shall not be entitled to any payments or benefits pursuant to Section 7(a)(iv). Notwithstanding the foregoing, if the Release could become effective during the calendar year following the calendar year of the Termination Date, then no such payments that constitute “deferred compensation” under Internal Revenue Code Section 409A shall be made earlier than the first day of the calendar year following the calendar year of the Termination Date.</w:t>
      </w:r>
    </w:p>
    <w:p>
      <w:pPr>
        <w:spacing w:after="0" w:line="167" w:lineRule="exact"/>
        <w:rPr>
          <w:rFonts w:ascii="Times New Roman" w:cs="Times New Roman" w:eastAsia="Times New Roman" w:hAnsi="Times New Roman"/>
          <w:sz w:val="17"/>
          <w:szCs w:val="17"/>
          <w:color w:val="auto"/>
        </w:rPr>
      </w:pPr>
    </w:p>
    <w:p>
      <w:pPr>
        <w:ind w:left="4" w:right="500" w:firstLine="645"/>
        <w:spacing w:after="0" w:line="329" w:lineRule="auto"/>
        <w:tabs>
          <w:tab w:leader="none" w:pos="15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is terminated as a result of death or by the Company for Cause or because of Disability, or if a termination of employment occurs as a result of Executive’s delivering a timely Non-Renewal Notice:</w:t>
      </w:r>
    </w:p>
    <w:p>
      <w:pPr>
        <w:spacing w:after="0" w:line="161" w:lineRule="exact"/>
        <w:rPr>
          <w:rFonts w:ascii="Times New Roman" w:cs="Times New Roman" w:eastAsia="Times New Roman" w:hAnsi="Times New Roman"/>
          <w:sz w:val="18"/>
          <w:szCs w:val="18"/>
          <w:color w:val="auto"/>
        </w:rPr>
      </w:pPr>
    </w:p>
    <w:p>
      <w:pPr>
        <w:ind w:left="2124" w:hanging="827"/>
        <w:spacing w:after="0"/>
        <w:tabs>
          <w:tab w:leader="none" w:pos="212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days following the Termination Date, the Company shall pay to Executive the Accrued Obligations;</w:t>
      </w:r>
    </w:p>
    <w:p>
      <w:pPr>
        <w:spacing w:after="0" w:line="266" w:lineRule="exact"/>
        <w:rPr>
          <w:sz w:val="20"/>
          <w:szCs w:val="20"/>
          <w:color w:val="auto"/>
        </w:rPr>
      </w:pPr>
    </w:p>
    <w:p>
      <w:pPr>
        <w:ind w:left="4" w:right="480" w:firstLine="1293"/>
        <w:spacing w:after="0" w:line="329" w:lineRule="auto"/>
        <w:tabs>
          <w:tab w:leader="none" w:pos="216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following the Termination Date, the Company shall reimburse Executive for reasonable expenses incurred, but not paid prior to the Termination Date; and</w:t>
      </w:r>
    </w:p>
    <w:p>
      <w:pPr>
        <w:sectPr>
          <w:pgSz w:w="11900" w:h="16838" w:orient="portrait"/>
          <w:cols w:equalWidth="0" w:num="1">
            <w:col w:w="10764"/>
          </w:cols>
          <w:pgMar w:left="896" w:top="607" w:right="239" w:bottom="1440" w:gutter="0" w:footer="0" w:header="0"/>
        </w:sectPr>
      </w:pPr>
    </w:p>
    <w:bookmarkStart w:id="71" w:name="page72"/>
    <w:bookmarkEnd w:id="71"/>
    <w:p>
      <w:pPr>
        <w:ind w:left="2224" w:hanging="927"/>
        <w:spacing w:after="0"/>
        <w:tabs>
          <w:tab w:leader="none" w:pos="22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Tax Equalization Policy obligations of the Company shall be paid in accordance with such</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policy.</w:t>
      </w:r>
    </w:p>
    <w:p>
      <w:pPr>
        <w:spacing w:after="0" w:line="266" w:lineRule="exact"/>
        <w:rPr>
          <w:sz w:val="20"/>
          <w:szCs w:val="20"/>
          <w:color w:val="auto"/>
        </w:rPr>
      </w:pPr>
    </w:p>
    <w:p>
      <w:pPr>
        <w:ind w:left="4" w:firstLine="645"/>
        <w:spacing w:after="0" w:line="308" w:lineRule="auto"/>
        <w:tabs>
          <w:tab w:leader="none" w:pos="15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payments provided under Sections 7(a)(i), 7(a)(ii), 7(a)(iii) and 7(b), all compensation and benefits paid pursuant to this Section 7 shall cease and Executive shall promptly return any amount paid under Section 7(a)(iv) to the Company if Executive violates any of the terms of Sections 4 or 5 above during the Restricted Period. In addition to these remedies, the Company shall have all other remedies provided by this Agreement and by law for the breach of Sections 4 or 5 above.</w:t>
      </w:r>
    </w:p>
    <w:p>
      <w:pPr>
        <w:spacing w:after="0" w:line="179" w:lineRule="exact"/>
        <w:rPr>
          <w:rFonts w:ascii="Times New Roman" w:cs="Times New Roman" w:eastAsia="Times New Roman" w:hAnsi="Times New Roman"/>
          <w:sz w:val="18"/>
          <w:szCs w:val="18"/>
          <w:color w:val="auto"/>
        </w:rPr>
      </w:pPr>
    </w:p>
    <w:p>
      <w:pPr>
        <w:ind w:left="4" w:right="300" w:firstLine="645"/>
        <w:spacing w:after="0" w:line="313" w:lineRule="auto"/>
        <w:tabs>
          <w:tab w:leader="none" w:pos="15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of Executive’s “separation from service” within the meaning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regulations promulgated thereunder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409A</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4" w:right="80" w:firstLine="645"/>
        <w:spacing w:after="0" w:line="313" w:lineRule="auto"/>
        <w:tabs>
          <w:tab w:leader="none" w:pos="15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rights with respect to the vesting and exercise of Company stock options after the Termination Date for any termination of employment other than a termination for Cause shall be governed by option agreements between Executive and the Company and the Incentive Plan.</w:t>
      </w:r>
    </w:p>
    <w:p>
      <w:pPr>
        <w:spacing w:after="0" w:line="176" w:lineRule="exact"/>
        <w:rPr>
          <w:rFonts w:ascii="Times New Roman" w:cs="Times New Roman" w:eastAsia="Times New Roman" w:hAnsi="Times New Roman"/>
          <w:sz w:val="18"/>
          <w:szCs w:val="18"/>
          <w:color w:val="auto"/>
        </w:rPr>
      </w:pPr>
    </w:p>
    <w:p>
      <w:pPr>
        <w:ind w:left="-656" w:right="40" w:firstLine="656"/>
        <w:spacing w:after="0" w:line="301" w:lineRule="auto"/>
        <w:tabs>
          <w:tab w:leader="none" w:pos="7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COMPLIANCE</w:t>
      </w:r>
      <w:r>
        <w:rPr>
          <w:rFonts w:ascii="Times New Roman" w:cs="Times New Roman" w:eastAsia="Times New Roman" w:hAnsi="Times New Roman"/>
          <w:sz w:val="18"/>
          <w:szCs w:val="18"/>
          <w:color w:val="auto"/>
        </w:rPr>
        <w:t>. This Agreement shall be interpreted and administered in a manner so that any amount or benefit payable hereunder shall be paid or provided in a manner that is either exempt from or compliant with the requirements Section 409A and applicable Internal Revenue Service guidance and Treasury Regulations issued thereunder (and any applicable transition relief under Section 409A). Notwithstanding anything else contained in this Agreement to the contrary, if Executive is a “specified employee” under the Company’s specified employee policy as in effect on the Termination Date, or if no such policy is then in effect, within the meaning of Section 409A, any payment required to be made to Executive hereunder upon or following the Termination Date shall be delayed until after the six-month anniversary of Executive’s “separation from service” (as such term is defined in Section 409A) to the extent necessary to comply with, and avoid imposition on Executive of any additional tax, interest, or penalty imposed under, Section 409A. Should payments be delayed in accordance with the preceding sentence, the accumulated payment that would have been made but for the period of the delay shall be paid in a single lump sum during the ten-day period following the six-month anniversary of the Termination Date. Each payroll period payment described in Section 7(a)(iv)(1) shall be treated as a separate payment for purposes of Section 409A.</w:t>
      </w:r>
    </w:p>
    <w:p>
      <w:pPr>
        <w:spacing w:after="0" w:line="186" w:lineRule="exact"/>
        <w:rPr>
          <w:rFonts w:ascii="Times New Roman" w:cs="Times New Roman" w:eastAsia="Times New Roman" w:hAnsi="Times New Roman"/>
          <w:sz w:val="18"/>
          <w:szCs w:val="18"/>
          <w:color w:val="auto"/>
        </w:rPr>
      </w:pPr>
    </w:p>
    <w:p>
      <w:pPr>
        <w:ind w:left="-656" w:firstLine="656"/>
        <w:spacing w:after="0" w:line="303" w:lineRule="auto"/>
        <w:tabs>
          <w:tab w:leader="none" w:pos="7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UNIQUENESS OF SERVICES; ACKNOWLEDGEMENTS</w:t>
      </w:r>
      <w:r>
        <w:rPr>
          <w:rFonts w:ascii="Times New Roman" w:cs="Times New Roman" w:eastAsia="Times New Roman" w:hAnsi="Times New Roman"/>
          <w:sz w:val="18"/>
          <w:szCs w:val="18"/>
          <w:color w:val="auto"/>
        </w:rPr>
        <w:t>. Executive acknowledges that the services to be rendered under the provisions of this Agreement are of a special, unique, and extraordinary character; involve access to and development of Confidential Information and Privileged Information; involve developing and protecting customer relationships and goodwill; and that it would be difficult or impossible to replace such services and that, by reason thereof, Executive agrees and consents that if he violates any of the provisions of Sections 4 and 5 of this Agreement, the Company, in addition to any other rights and remedies available under this Agreement or otherwise, shall be entitled to an injunction to be issued by a court of competent jurisdiction restricting Executive from committing or continuing any violation of Sections 4 and 5 of this Agreement.</w:t>
      </w:r>
    </w:p>
    <w:p>
      <w:pPr>
        <w:spacing w:after="0" w:line="187" w:lineRule="exact"/>
        <w:rPr>
          <w:rFonts w:ascii="Times New Roman" w:cs="Times New Roman" w:eastAsia="Times New Roman" w:hAnsi="Times New Roman"/>
          <w:sz w:val="18"/>
          <w:szCs w:val="18"/>
          <w:color w:val="auto"/>
        </w:rPr>
      </w:pPr>
    </w:p>
    <w:p>
      <w:pPr>
        <w:ind w:left="-656" w:right="200" w:firstLine="656"/>
        <w:spacing w:after="0" w:line="301" w:lineRule="auto"/>
        <w:tabs>
          <w:tab w:leader="none" w:pos="8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ACKNOWLEDGEMENTS</w:t>
      </w:r>
      <w:r>
        <w:rPr>
          <w:rFonts w:ascii="Times New Roman" w:cs="Times New Roman" w:eastAsia="Times New Roman" w:hAnsi="Times New Roman"/>
          <w:sz w:val="18"/>
          <w:szCs w:val="18"/>
          <w:color w:val="auto"/>
        </w:rPr>
        <w:t>. Executive further acknowledges and agrees that the restrictions contained in Sections 4 and 5 above are reasonable and necessary to protect the legitimate interest of the Company Group, in view of, among other things, the short duration of the restrictions; the narrow scope of the restrictions; the Company Group’s interests in protecting its trade secrets, Confidential Information, and Privileged Information (which Executive agrees would be useful to competitors for more than 18 months) and its customer relationships and goodwill; Executive’s background and capabilities which will allow him to seek and accept employment without violation of the restrictions; Executive’s opportunity to acquire a substantial equity interest in the Company through the award of restricted stock and stock options and other equity based awards; and Executive’s entitlements under this Agreement. If any provision contained in Sections 4 or 5 above is adjudged unreasonable by a court of competent jurisdiction or arbitrator in any proceeding, then such provision shall be deemed modified as provided in Sections 4 or 5 above or by reducing the scope of such provision, the period of time during which such provision is applicable and/or the geographic area to which such provision applies, to the extent necessary for such provision to be adjudged reasonable and enforceable.</w:t>
      </w:r>
    </w:p>
    <w:p>
      <w:pPr>
        <w:spacing w:after="0" w:line="186" w:lineRule="exact"/>
        <w:rPr>
          <w:rFonts w:ascii="Times New Roman" w:cs="Times New Roman" w:eastAsia="Times New Roman" w:hAnsi="Times New Roman"/>
          <w:sz w:val="18"/>
          <w:szCs w:val="18"/>
          <w:color w:val="auto"/>
        </w:rPr>
      </w:pPr>
    </w:p>
    <w:p>
      <w:pPr>
        <w:ind w:left="-656" w:right="80" w:firstLine="656"/>
        <w:spacing w:after="0" w:line="308" w:lineRule="auto"/>
        <w:tabs>
          <w:tab w:leader="none" w:pos="8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provided for or permitted by this Agreement shall be in writing and shall be deemed to have been duly given when delivered in person or three days after it is mailed if delivered by registered or certified mail, return receipt requested, postage prepaid, addressed to the party for whom intended at such party’s address set forth above (for the Company) or to the most recent address for Executive set forth in the Company’s records, or to such other address as such party may designate by notice in writing given in the manner provided herein.</w:t>
      </w:r>
    </w:p>
    <w:p>
      <w:pPr>
        <w:sectPr>
          <w:pgSz w:w="11900" w:h="16838" w:orient="portrait"/>
          <w:cols w:equalWidth="0" w:num="1">
            <w:col w:w="10764"/>
          </w:cols>
          <w:pgMar w:left="896" w:top="607" w:right="239" w:bottom="1440" w:gutter="0" w:footer="0" w:header="0"/>
        </w:sectPr>
      </w:pPr>
    </w:p>
    <w:bookmarkStart w:id="72" w:name="page73"/>
    <w:bookmarkEnd w:id="72"/>
    <w:p>
      <w:pPr>
        <w:ind w:right="320" w:firstLine="656"/>
        <w:spacing w:after="0" w:line="329" w:lineRule="auto"/>
        <w:tabs>
          <w:tab w:leader="none" w:pos="15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section headings in this Agreement are for convenience of reference only, and they form no part of this Agreement and shall not affect its interpretation.</w:t>
      </w:r>
    </w:p>
    <w:p>
      <w:pPr>
        <w:spacing w:after="0" w:line="161" w:lineRule="exact"/>
        <w:rPr>
          <w:rFonts w:ascii="Times New Roman" w:cs="Times New Roman" w:eastAsia="Times New Roman" w:hAnsi="Times New Roman"/>
          <w:sz w:val="18"/>
          <w:szCs w:val="18"/>
          <w:color w:val="auto"/>
        </w:rPr>
      </w:pPr>
    </w:p>
    <w:p>
      <w:pPr>
        <w:jc w:val="both"/>
        <w:ind w:right="280" w:firstLine="656"/>
        <w:spacing w:after="0" w:line="315" w:lineRule="auto"/>
        <w:tabs>
          <w:tab w:leader="none" w:pos="152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AMENDMENTS; COUNTERPARTS</w:t>
      </w:r>
      <w:r>
        <w:rPr>
          <w:rFonts w:ascii="Times New Roman" w:cs="Times New Roman" w:eastAsia="Times New Roman" w:hAnsi="Times New Roman"/>
          <w:sz w:val="17"/>
          <w:szCs w:val="17"/>
          <w:color w:val="auto"/>
        </w:rPr>
        <w:t>. This Agreement constitutes the entire agreement and understanding between Executive and the Company with respect to the subject matter hereof and shall supersede any and all other prior agreements and understandings,</w:t>
      </w:r>
    </w:p>
    <w:p>
      <w:pPr>
        <w:spacing w:after="0" w:line="31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oral or written, relating thereto or the employment of Executive by the Company, including without limitation the Prior Agreement. Executive acknowledges and agrees that the differences between this Agreement and the Prior Agreement, including without limitation the reduction in Executive’s base</w:t>
      </w:r>
    </w:p>
    <w:p>
      <w:pPr>
        <w:ind w:right="40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salary and changes in Executive’s title, responsibilities and reporting relationship, do not constitute Good Reason under the Prior Agreement or this Agreement. This Agreement may not be rescinded, modified, or amended, unless an amendment is agreed to in a writing signed by Executive and by the</w:t>
      </w:r>
    </w:p>
    <w:p>
      <w:pPr>
        <w:ind w:right="120"/>
        <w:spacing w:after="0" w:line="31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Chairman of the Board or an officer of the Company specifically authorized by the Board (other than Executive), and any waiver shall be set forth in writing and signed by the party to be charged. This Agreement may be executed in any number of counterparts, including by facsimile, each of which shall be an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original, but all of which together shall constitute one and the same instrument.</w:t>
      </w:r>
    </w:p>
    <w:p>
      <w:pPr>
        <w:spacing w:after="0" w:line="265" w:lineRule="exact"/>
        <w:rPr>
          <w:rFonts w:ascii="Times New Roman" w:cs="Times New Roman" w:eastAsia="Times New Roman" w:hAnsi="Times New Roman"/>
          <w:sz w:val="17"/>
          <w:szCs w:val="17"/>
          <w:color w:val="auto"/>
        </w:rPr>
      </w:pPr>
    </w:p>
    <w:p>
      <w:pPr>
        <w:ind w:right="340" w:firstLine="656"/>
        <w:spacing w:after="0" w:line="329" w:lineRule="auto"/>
        <w:tabs>
          <w:tab w:leader="none" w:pos="15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INVALIDITY</w:t>
      </w:r>
      <w:r>
        <w:rPr>
          <w:rFonts w:ascii="Times New Roman" w:cs="Times New Roman" w:eastAsia="Times New Roman" w:hAnsi="Times New Roman"/>
          <w:sz w:val="18"/>
          <w:szCs w:val="18"/>
          <w:color w:val="auto"/>
        </w:rPr>
        <w:t>. The invalidity or unenforceability, by statute, court decision, or otherwise, of any term or condition of this Agreement shall not affect the validity or enforceability of any other term or condition hereof.</w:t>
      </w:r>
    </w:p>
    <w:p>
      <w:pPr>
        <w:spacing w:after="0" w:line="161" w:lineRule="exact"/>
        <w:rPr>
          <w:rFonts w:ascii="Times New Roman" w:cs="Times New Roman" w:eastAsia="Times New Roman" w:hAnsi="Times New Roman"/>
          <w:sz w:val="18"/>
          <w:szCs w:val="18"/>
          <w:color w:val="auto"/>
        </w:rPr>
      </w:pPr>
    </w:p>
    <w:p>
      <w:pPr>
        <w:ind w:right="200" w:firstLine="656"/>
        <w:spacing w:after="0" w:line="329" w:lineRule="auto"/>
        <w:tabs>
          <w:tab w:leader="none" w:pos="15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administered in accordance with the laws of Bermuda, without regard to the principles of conflicts of law which might otherwise apply.</w:t>
      </w:r>
    </w:p>
    <w:p>
      <w:pPr>
        <w:spacing w:after="0" w:line="161" w:lineRule="exact"/>
        <w:rPr>
          <w:rFonts w:ascii="Times New Roman" w:cs="Times New Roman" w:eastAsia="Times New Roman" w:hAnsi="Times New Roman"/>
          <w:sz w:val="18"/>
          <w:szCs w:val="18"/>
          <w:color w:val="auto"/>
        </w:rPr>
      </w:pPr>
    </w:p>
    <w:p>
      <w:pPr>
        <w:ind w:right="180" w:firstLine="656"/>
        <w:spacing w:after="0" w:line="297" w:lineRule="auto"/>
        <w:tabs>
          <w:tab w:leader="none" w:pos="15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This Agreement may not be assigned by Executive, and any purported assignment by Executive shall be null and void. All of the terms and conditions of this Agreement shall be binding upon and inure to the benefit of the Company and its successors (including without</w:t>
      </w:r>
    </w:p>
    <w:p>
      <w:pPr>
        <w:ind w:right="340"/>
        <w:spacing w:after="0" w:line="3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limitation any successor to the Company’s business as the result of a merger or consolidation of the Company, whether or not the Company survives such merger or consolidation) and assigns. Successors to the Company shall include, without limitation, any corporation or corporations acquiring, directly or</w:t>
      </w:r>
    </w:p>
    <w:p>
      <w:pPr>
        <w:ind w:right="2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all or substantially all of the assets of the Company whether by merger, consolidation, purchase, or otherwise and such successor shall thereafter be deemed the “Company” for purposes hereof.</w:t>
      </w:r>
    </w:p>
    <w:p>
      <w:pPr>
        <w:spacing w:after="0" w:line="16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ind w:left="660" w:right="120" w:firstLine="645"/>
        <w:spacing w:after="0" w:line="315" w:lineRule="auto"/>
        <w:tabs>
          <w:tab w:leader="none" w:pos="215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xml:space="preserve">. In the event of disputes between the parties with respect to the terms and conditions of this Agreement, such disputes shall be resolved by and through an arbitration proceeding to be conducted under the auspices of the American Arbitration Association (or any like organization successor thereto) in either Bermuda or the city of Raleigh, North Carolina;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either party may seek temporary or preliminary relief with respect to appropriate matters (including, without limitation, enforcement of Sections 4 and 5 above) from a court in aid of arbitration. Such arbitration proceeding shall be conducted pursuant to the commercial arbitration rules (formal or informal) of the American Arbitration Association in as expedited a manner as is then permitted by such rules (the “</w:t>
      </w: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Both the foregoing agreement of the parties to arbitrate any and all such claims, and the results, determination, finding, judgment, and/or award rendered through such Arbitration, shall be final and binding on the parties to this Agreement and may be specifically enforced by legal proceedings. This Section 17(a) is without prejudice to the Executive’s statutory right to complain to an employment inspector and/or employment tribunal under Bermuda’s Employment Act</w:t>
      </w:r>
    </w:p>
    <w:p>
      <w:pPr>
        <w:spacing w:after="0"/>
        <w:tabs>
          <w:tab w:leader="none" w:pos="0" w:val="left"/>
        </w:tabs>
        <w:numPr>
          <w:ilvl w:val="0"/>
          <w:numId w:val="69"/>
        </w:numPr>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jc w:val="both"/>
        <w:ind w:left="660" w:right="200" w:firstLine="645"/>
        <w:spacing w:after="0" w:line="308" w:lineRule="auto"/>
        <w:tabs>
          <w:tab w:leader="none" w:pos="216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Such Arbitration may be initiated by written notice from either party to the other which shall be a compulsory and binding proceeding on each party. The Arbitration shall be conducted by an arbitrator selected in accordance with the procedures of the American Arbitration Association. Time is of the essence of this arbitration procedure, and the arbitrator shall be instructed and required to render his or her decision within 30 days following completion of the Arbitration.</w:t>
      </w:r>
    </w:p>
    <w:p>
      <w:pPr>
        <w:spacing w:after="0" w:line="179" w:lineRule="exact"/>
        <w:rPr>
          <w:rFonts w:ascii="Times New Roman" w:cs="Times New Roman" w:eastAsia="Times New Roman" w:hAnsi="Times New Roman"/>
          <w:sz w:val="18"/>
          <w:szCs w:val="18"/>
          <w:color w:val="auto"/>
        </w:rPr>
      </w:pPr>
    </w:p>
    <w:p>
      <w:pPr>
        <w:ind w:left="660" w:firstLine="645"/>
        <w:spacing w:after="0" w:line="305" w:lineRule="auto"/>
        <w:tabs>
          <w:tab w:leader="none" w:pos="215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 and Jurisdiction</w:t>
      </w:r>
      <w:r>
        <w:rPr>
          <w:rFonts w:ascii="Times New Roman" w:cs="Times New Roman" w:eastAsia="Times New Roman" w:hAnsi="Times New Roman"/>
          <w:sz w:val="18"/>
          <w:szCs w:val="18"/>
          <w:color w:val="auto"/>
        </w:rPr>
        <w:t xml:space="preserve">. Any action to compel arbitration hereunder or otherwise relating to this Agreement shall be brought exclusively in either a Bermuda court or a state court or federal court located in Raleigh, North Carolina,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with respect to an action brought in North Carolina, if a federal court has jurisdiction over the subject matter thereof, then such action shall be brought in federal court, and the Company and Executive hereby irrevocably submit with regard to any such action or proceeding for itself and in respect to its property, generally and unconditionally, to the jurisdiction of the aforesaid courts.</w:t>
      </w:r>
    </w:p>
    <w:p>
      <w:pPr>
        <w:spacing w:after="0" w:line="183"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216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IN THE EVENT OF ANY LITIGATION WITH RESPECT TO ANY MATTER CONNECTED WITH THIS AGREEMENT OR THE AGREEMENTS OR TRANSACTIONS</w:t>
      </w:r>
    </w:p>
    <w:p>
      <w:pPr>
        <w:sectPr>
          <w:pgSz w:w="11900" w:h="16838" w:orient="portrait"/>
          <w:cols w:equalWidth="0" w:num="1">
            <w:col w:w="11400"/>
          </w:cols>
          <w:pgMar w:left="240" w:top="607" w:right="25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CONTEMPLATED HEREUNDER ALL OF THE PARTIES HERETO WAIVE ALL RIGHTS TO A TRIAL BY JURY.</w:t>
      </w:r>
    </w:p>
    <w:p>
      <w:pPr>
        <w:spacing w:after="0" w:line="266" w:lineRule="exact"/>
        <w:rPr>
          <w:sz w:val="20"/>
          <w:szCs w:val="20"/>
          <w:color w:val="auto"/>
        </w:rPr>
      </w:pPr>
    </w:p>
    <w:p>
      <w:pPr>
        <w:ind w:firstLine="656"/>
        <w:spacing w:after="0" w:line="300" w:lineRule="auto"/>
        <w:tabs>
          <w:tab w:leader="none" w:pos="152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Executive’s employment, the Company shall reimburse Executive for expenses reasonably incurred in connection therewith and shall schedule such cooperation to the extent reasonably practicable so as not to unreasonably interfere with Executive’s business or personal affairs. Notwithstanding anything to the contrary, in the event the Company requests cooperation from Executive after his employment with the Company has terminated and at a time when Executive is not receiving any severance pay from the Company, Executive shall not be required to devote more than 40 hours of his time per year with respect to this Section 18, except that such 40 hour cap shall not include or apply to any time spent testifying at a deposition or at trial, or spent testifying before or being interviewed by any administrative or regulatory agency.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Kindly indicate your acceptance of this Agreement by signing and returning a copy of this letter to the Company.</w:t>
      </w:r>
    </w:p>
    <w:p>
      <w:pPr>
        <w:spacing w:after="0" w:line="200" w:lineRule="exact"/>
        <w:rPr>
          <w:sz w:val="20"/>
          <w:szCs w:val="20"/>
          <w:color w:val="auto"/>
        </w:rPr>
      </w:pPr>
    </w:p>
    <w:p>
      <w:pPr>
        <w:spacing w:after="0" w:line="3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JAMES RIVER GROUP HOLDINGS, LTD.</w:t>
      </w:r>
    </w:p>
    <w:p>
      <w:pPr>
        <w:spacing w:after="0" w:line="200" w:lineRule="exact"/>
        <w:rPr>
          <w:sz w:val="20"/>
          <w:szCs w:val="20"/>
          <w:color w:val="auto"/>
        </w:rPr>
      </w:pPr>
    </w:p>
    <w:p>
      <w:pPr>
        <w:spacing w:after="0" w:line="24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 Adam Abram</w:t>
      </w:r>
    </w:p>
    <w:p>
      <w:pPr>
        <w:spacing w:after="0" w:line="27" w:lineRule="exact"/>
        <w:rPr>
          <w:sz w:val="20"/>
          <w:szCs w:val="20"/>
          <w:color w:val="auto"/>
        </w:rPr>
      </w:pPr>
    </w:p>
    <w:p>
      <w:pPr>
        <w:ind w:left="4060"/>
        <w:spacing w:after="0"/>
        <w:tabs>
          <w:tab w:leader="none" w:pos="47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 Adam Abram</w:t>
      </w:r>
    </w:p>
    <w:p>
      <w:pPr>
        <w:spacing w:after="0" w:line="9" w:lineRule="exact"/>
        <w:rPr>
          <w:sz w:val="20"/>
          <w:szCs w:val="20"/>
          <w:color w:val="auto"/>
        </w:rPr>
      </w:pPr>
    </w:p>
    <w:p>
      <w:pPr>
        <w:ind w:left="4060"/>
        <w:spacing w:after="0"/>
        <w:tabs>
          <w:tab w:leader="none" w:pos="4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of Directors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July</w:t>
      </w:r>
      <w:r>
        <w:rPr>
          <w:rFonts w:ascii="Times New Roman" w:cs="Times New Roman" w:eastAsia="Times New Roman" w:hAnsi="Times New Roman"/>
          <w:sz w:val="18"/>
          <w:szCs w:val="18"/>
          <w:color w:val="auto"/>
        </w:rPr>
        <w:t xml:space="preserve"> ,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Robert P. Myron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 Myron</w:t>
      </w:r>
    </w:p>
    <w:p>
      <w:pPr>
        <w:sectPr>
          <w:pgSz w:w="11900" w:h="16838" w:orient="portrait"/>
          <w:cols w:equalWidth="0" w:num="1">
            <w:col w:w="11420"/>
          </w:cols>
          <w:pgMar w:left="240" w:top="607"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Adam Abram, certify that:</w:t>
      </w:r>
    </w:p>
    <w:p>
      <w:pPr>
        <w:spacing w:after="0" w:line="225"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James River Group Holdings, Ltd.;</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 Adam Abram</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C. Doran, certify that:</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James River Group Holdings, Ltd.;</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3610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Sarah C. Doran</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James River Group Holdings, Ltd. (the “Company”) on Form 10-Q for the period ended September 30, 2019 as filed with the Securities and Exchange Commission on the date hereof (the “Report”), we, J. Adam Abram, Chief Executive Officer and Chairman of the Company, and Sarah C. Doran, Chief Financial Officer of the Company, certify, to the best of our knowledge, pursuant to 18 U.S.C. §1350, as adopted pursuant to §906 of the Sarbanes-Oxley Act of 2002, that:</w:t>
      </w:r>
    </w:p>
    <w:p>
      <w:pPr>
        <w:spacing w:after="0" w:line="207" w:lineRule="exact"/>
        <w:rPr>
          <w:sz w:val="20"/>
          <w:szCs w:val="20"/>
          <w:color w:val="auto"/>
        </w:rPr>
      </w:pPr>
    </w:p>
    <w:p>
      <w:pPr>
        <w:ind w:left="860" w:hanging="852"/>
        <w:spacing w:after="0"/>
        <w:tabs>
          <w:tab w:leader="none" w:pos="8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 Adam Abram</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November 7, 2019</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Sarah C. Doran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November 7,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1."/>
      <w:numFmt w:val="decimal"/>
      <w:start w:val="2"/>
    </w:lvl>
  </w:abstractNum>
  <w:abstractNum w:abstractNumId="7">
    <w:nsid w:val="580BD78F"/>
    <w:multiLevelType w:val="hybridMultilevel"/>
    <w:lvl w:ilvl="0">
      <w:lvlJc w:val="left"/>
      <w:lvlText w:val="&amp;"/>
      <w:numFmt w:val="bullet"/>
      <w:start w:val="1"/>
    </w:lvl>
  </w:abstractNum>
  <w:abstractNum w:abstractNumId="8">
    <w:nsid w:val="153EA438"/>
    <w:multiLevelType w:val="hybridMultilevel"/>
    <w:lvl w:ilvl="0">
      <w:lvlJc w:val="left"/>
      <w:lvlText w:val="%1."/>
      <w:numFmt w:val="decimal"/>
      <w:start w:val="6"/>
    </w:lvl>
  </w:abstractNum>
  <w:abstractNum w:abstractNumId="9">
    <w:nsid w:val="3855585C"/>
    <w:multiLevelType w:val="hybridMultilevel"/>
    <w:lvl w:ilvl="0">
      <w:lvlJc w:val="left"/>
      <w:lvlText w:val="%1."/>
      <w:numFmt w:val="decimal"/>
      <w:start w:val="7"/>
    </w:lvl>
  </w:abstractNum>
  <w:abstractNum w:abstractNumId="10">
    <w:nsid w:val="70A64E2A"/>
    <w:multiLevelType w:val="hybridMultilevel"/>
    <w:lvl w:ilvl="0">
      <w:lvlJc w:val="left"/>
      <w:lvlText w:val="(%1)"/>
      <w:numFmt w:val="decimal"/>
      <w:start w:val="2"/>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2"/>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upperLetter"/>
      <w:start w:val="1"/>
    </w:lvl>
  </w:abstractNum>
  <w:abstractNum w:abstractNumId="24">
    <w:nsid w:val="684A481A"/>
    <w:multiLevelType w:val="hybridMultilevel"/>
    <w:lvl w:ilvl="0">
      <w:lvlJc w:val="left"/>
      <w:lvlText w:val="%1."/>
      <w:numFmt w:val="decimal"/>
      <w:start w:val="1"/>
    </w:lvl>
    <w:lvl w:ilvl="1">
      <w:lvlJc w:val="left"/>
      <w:lvlText w:val="(%2)"/>
      <w:numFmt w:val="lowerLetter"/>
      <w:start w:val="1"/>
    </w:lvl>
  </w:abstractNum>
  <w:abstractNum w:abstractNumId="25">
    <w:nsid w:val="579478F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6">
    <w:nsid w:val="749ABB4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
    <w:nsid w:val="3DC240FB"/>
    <w:multiLevelType w:val="hybridMultilevel"/>
    <w:lvl w:ilvl="0">
      <w:lvlJc w:val="left"/>
      <w:lvlText w:val="%1"/>
      <w:numFmt w:val="decimal"/>
      <w:start w:val="1"/>
    </w:lvl>
    <w:lvl w:ilvl="1">
      <w:lvlJc w:val="left"/>
      <w:lvlText w:val="(%2)"/>
      <w:numFmt w:val="lowerLetter"/>
      <w:start w:val="2"/>
    </w:lvl>
  </w:abstractNum>
  <w:abstractNum w:abstractNumId="28">
    <w:nsid w:val="1BA026FA"/>
    <w:multiLevelType w:val="hybridMultilevel"/>
    <w:lvl w:ilvl="0">
      <w:lvlJc w:val="left"/>
      <w:lvlText w:val="%1."/>
      <w:numFmt w:val="decimal"/>
      <w:start w:val="5"/>
    </w:lvl>
    <w:lvl w:ilvl="1">
      <w:lvlJc w:val="left"/>
      <w:lvlText w:val="%2"/>
      <w:numFmt w:val="lowerLetter"/>
      <w:start w:val="1"/>
    </w:lvl>
  </w:abstractNum>
  <w:abstractNum w:abstractNumId="29">
    <w:nsid w:val="79A1DEA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
    <w:nsid w:val="75C6C33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
    <w:nsid w:val="12E685F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2">
    <w:nsid w:val="70C6A529"/>
    <w:multiLevelType w:val="hybridMultilevel"/>
    <w:lvl w:ilvl="0">
      <w:lvlJc w:val="left"/>
      <w:lvlText w:val="(%1)"/>
      <w:numFmt w:val="lowerLetter"/>
      <w:start w:val="2"/>
    </w:lvl>
    <w:lvl w:ilvl="1">
      <w:lvlJc w:val="left"/>
      <w:lvlText w:val="(%2)"/>
      <w:numFmt w:val="lowerRoman"/>
      <w:start w:val="1"/>
    </w:lvl>
  </w:abstractNum>
  <w:abstractNum w:abstractNumId="33">
    <w:nsid w:val="520EEDD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34">
    <w:nsid w:val="374A3FE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5">
    <w:nsid w:val="4F4EF005"/>
    <w:multiLevelType w:val="hybridMultilevel"/>
    <w:lvl w:ilvl="0">
      <w:lvlJc w:val="left"/>
      <w:lvlText w:val="(%1)"/>
      <w:numFmt w:val="lowerLetter"/>
      <w:start w:val="22"/>
    </w:lvl>
    <w:lvl w:ilvl="1">
      <w:lvlJc w:val="left"/>
      <w:lvlText w:val="(%2)"/>
      <w:numFmt w:val="lowerLetter"/>
      <w:start w:val="2"/>
    </w:lvl>
    <w:lvl w:ilvl="2">
      <w:lvlJc w:val="left"/>
      <w:lvlText w:val="(%3)"/>
      <w:numFmt w:val="lowerRoman"/>
      <w:start w:val="1"/>
    </w:lvl>
  </w:abstractNum>
  <w:abstractNum w:abstractNumId="36">
    <w:nsid w:val="23F9C13C"/>
    <w:multiLevelType w:val="hybridMultilevel"/>
    <w:lvl w:ilvl="0">
      <w:lvlJc w:val="left"/>
      <w:lvlText w:val="%1"/>
      <w:numFmt w:val="lowerLetter"/>
      <w:start w:val="1"/>
    </w:lvl>
    <w:lvl w:ilvl="1">
      <w:lvlJc w:val="left"/>
      <w:lvlText w:val="(%2)"/>
      <w:numFmt w:val="lowerLetter"/>
      <w:start w:val="61"/>
    </w:lvl>
  </w:abstractNum>
  <w:abstractNum w:abstractNumId="37">
    <w:nsid w:val="649BB77C"/>
    <w:multiLevelType w:val="hybridMultilevel"/>
    <w:lvl w:ilvl="0">
      <w:lvlJc w:val="left"/>
      <w:lvlText w:val="(%1)"/>
      <w:numFmt w:val="lowerLetter"/>
      <w:start w:val="3"/>
    </w:lvl>
    <w:lvl w:ilvl="1">
      <w:lvlJc w:val="left"/>
      <w:lvlText w:val="%2"/>
      <w:numFmt w:val="lowerLetter"/>
      <w:start w:val="1"/>
    </w:lvl>
  </w:abstractNum>
  <w:abstractNum w:abstractNumId="38">
    <w:nsid w:val="275AC794"/>
    <w:multiLevelType w:val="hybridMultilevel"/>
    <w:lvl w:ilvl="0">
      <w:lvlJc w:val="left"/>
      <w:lvlText w:val="%1"/>
      <w:numFmt w:val="decimal"/>
      <w:start w:val="10"/>
    </w:lvl>
  </w:abstractNum>
  <w:abstractNum w:abstractNumId="39">
    <w:nsid w:val="39386575"/>
    <w:multiLevelType w:val="hybridMultilevel"/>
    <w:lvl w:ilvl="0">
      <w:lvlJc w:val="left"/>
      <w:lvlText w:val="%1."/>
      <w:numFmt w:val="decimal"/>
      <w:start w:val="11"/>
    </w:lvl>
  </w:abstractNum>
  <w:abstractNum w:abstractNumId="40">
    <w:nsid w:val="1CF10FD8"/>
    <w:multiLevelType w:val="hybridMultilevel"/>
    <w:lvl w:ilvl="0">
      <w:lvlJc w:val="left"/>
      <w:lvlText w:val="%1."/>
      <w:numFmt w:val="decimal"/>
      <w:start w:val="14"/>
    </w:lvl>
  </w:abstractNum>
  <w:abstractNum w:abstractNumId="41">
    <w:nsid w:val="180115BE"/>
    <w:multiLevelType w:val="hybridMultilevel"/>
    <w:lvl w:ilvl="0">
      <w:lvlJc w:val="left"/>
      <w:lvlText w:val="%1."/>
      <w:numFmt w:val="decimal"/>
      <w:start w:val="15"/>
    </w:lvl>
    <w:lvl w:ilvl="1">
      <w:lvlJc w:val="left"/>
      <w:lvlText w:val="(%2)"/>
      <w:numFmt w:val="lowerLetter"/>
      <w:start w:val="1"/>
    </w:lvl>
  </w:abstractNum>
  <w:abstractNum w:abstractNumId="42">
    <w:nsid w:val="235BA86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3">
    <w:nsid w:val="47398C89"/>
    <w:multiLevelType w:val="hybridMultilevel"/>
    <w:lvl w:ilvl="0">
      <w:lvlJc w:val="left"/>
      <w:lvlText w:val="(%1)"/>
      <w:numFmt w:val="decimal"/>
      <w:start w:val="30"/>
    </w:lvl>
    <w:lvl w:ilvl="1">
      <w:lvlJc w:val="left"/>
      <w:lvlText w:val="%2."/>
      <w:numFmt w:val="decimal"/>
      <w:start w:val="20"/>
    </w:lvl>
    <w:lvl w:ilvl="2">
      <w:lvlJc w:val="left"/>
      <w:lvlText w:val="(%3)"/>
      <w:numFmt w:val="lowerLetter"/>
      <w:start w:val="3"/>
    </w:lvl>
  </w:abstractNum>
  <w:abstractNum w:abstractNumId="44">
    <w:nsid w:val="354FE9F9"/>
    <w:multiLevelType w:val="hybridMultilevel"/>
    <w:lvl w:ilvl="0">
      <w:lvlJc w:val="left"/>
      <w:lvlText w:val="%1"/>
      <w:numFmt w:val="decimal"/>
      <w:start w:val="1"/>
    </w:lvl>
    <w:lvl w:ilvl="1">
      <w:lvlJc w:val="left"/>
      <w:lvlText w:val="%2."/>
      <w:numFmt w:val="decimal"/>
      <w:start w:val="1"/>
    </w:lvl>
  </w:abstractNum>
  <w:abstractNum w:abstractNumId="45">
    <w:nsid w:val="15B5AF5C"/>
    <w:multiLevelType w:val="hybridMultilevel"/>
    <w:lvl w:ilvl="0">
      <w:lvlJc w:val="left"/>
      <w:lvlText w:val="%1."/>
      <w:numFmt w:val="decimal"/>
      <w:start w:val="2"/>
    </w:lvl>
    <w:lvl w:ilvl="1">
      <w:lvlJc w:val="left"/>
      <w:lvlText w:val="%2"/>
      <w:numFmt w:val="decimal"/>
      <w:start w:val="1"/>
    </w:lvl>
  </w:abstractNum>
  <w:abstractNum w:abstractNumId="46">
    <w:nsid w:val="741226BB"/>
    <w:multiLevelType w:val="hybridMultilevel"/>
    <w:lvl w:ilvl="0">
      <w:lvlJc w:val="left"/>
      <w:lvlText w:val="(%1)"/>
      <w:numFmt w:val="lowerLetter"/>
      <w:start w:val="1"/>
    </w:lvl>
    <w:lvl w:ilvl="1">
      <w:lvlJc w:val="left"/>
      <w:lvlText w:val="(%2)"/>
      <w:numFmt w:val="lowerRoman"/>
      <w:start w:val="1"/>
    </w:lvl>
  </w:abstractNum>
  <w:abstractNum w:abstractNumId="47">
    <w:nsid w:val="D34B6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8">
    <w:nsid w:val="10233C9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49">
    <w:nsid w:val="3F6AB60F"/>
    <w:multiLevelType w:val="hybridMultilevel"/>
    <w:lvl w:ilvl="0">
      <w:lvlJc w:val="left"/>
      <w:lvlText w:val="(%1)"/>
      <w:numFmt w:val="lowerLetter"/>
      <w:start w:val="61"/>
    </w:lvl>
    <w:lvl w:ilvl="1">
      <w:lvlJc w:val="left"/>
      <w:lvlText w:val="(%2)"/>
      <w:numFmt w:val="lowerLetter"/>
      <w:start w:val="6"/>
    </w:lvl>
    <w:lvl w:ilvl="2">
      <w:lvlJc w:val="left"/>
      <w:lvlText w:val="%3"/>
      <w:numFmt w:val="lowerLetter"/>
      <w:start w:val="1"/>
    </w:lvl>
  </w:abstractNum>
  <w:abstractNum w:abstractNumId="50">
    <w:nsid w:val="61574095"/>
    <w:multiLevelType w:val="hybridMultilevel"/>
    <w:lvl w:ilvl="0">
      <w:lvlJc w:val="left"/>
      <w:lvlText w:val="%1."/>
      <w:numFmt w:val="decimal"/>
      <w:start w:val="3"/>
    </w:lvl>
  </w:abstractNum>
  <w:abstractNum w:abstractNumId="51">
    <w:nsid w:val="7E0C57B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2">
    <w:nsid w:val="77AE35EB"/>
    <w:multiLevelType w:val="hybridMultilevel"/>
    <w:lvl w:ilvl="0">
      <w:lvlJc w:val="left"/>
      <w:lvlText w:val="%1."/>
      <w:numFmt w:val="decimal"/>
      <w:start w:val="5"/>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5">
    <w:nsid w:val="5FF87E0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6">
    <w:nsid w:val="2F305DEF"/>
    <w:multiLevelType w:val="hybridMultilevel"/>
    <w:lvl w:ilvl="0">
      <w:lvlJc w:val="left"/>
      <w:lvlText w:val="(%1)"/>
      <w:numFmt w:val="lowerLetter"/>
      <w:start w:val="2"/>
    </w:lvl>
    <w:lvl w:ilvl="1">
      <w:lvlJc w:val="left"/>
      <w:lvlText w:val="(%2)"/>
      <w:numFmt w:val="lowerRoman"/>
      <w:start w:val="1"/>
    </w:lvl>
  </w:abstractNum>
  <w:abstractNum w:abstractNumId="57">
    <w:nsid w:val="25A70BF7"/>
    <w:multiLevelType w:val="hybridMultilevel"/>
    <w:lvl w:ilvl="0">
      <w:lvlJc w:val="left"/>
      <w:lvlText w:val="%1"/>
      <w:numFmt w:val="lowerLetter"/>
      <w:start w:val="1"/>
    </w:lvl>
    <w:lvl w:ilvl="1">
      <w:lvlJc w:val="left"/>
      <w:lvlText w:val="(%2)"/>
      <w:numFmt w:val="lowerLetter"/>
      <w:start w:val="4"/>
    </w:lvl>
  </w:abstractNum>
  <w:abstractNum w:abstractNumId="58">
    <w:nsid w:val="1DBABF00"/>
    <w:multiLevelType w:val="hybridMultilevel"/>
    <w:lvl w:ilvl="0">
      <w:lvlJc w:val="left"/>
      <w:lvlText w:val="(%1)"/>
      <w:numFmt w:val="lowerLetter"/>
      <w:start w:val="61"/>
    </w:lvl>
    <w:lvl w:ilvl="1">
      <w:lvlJc w:val="left"/>
      <w:lvlText w:val="%2"/>
      <w:numFmt w:val="lowerLetter"/>
      <w:start w:val="1"/>
    </w:lvl>
  </w:abstractNum>
  <w:abstractNum w:abstractNumId="59">
    <w:nsid w:val="4AD084E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lowerLetter"/>
      <w:start w:val="1"/>
    </w:lvl>
    <w:lvl w:ilvl="1">
      <w:lvlJc w:val="left"/>
      <w:lvlText w:val="(%2)"/>
      <w:numFmt w:val="lowerLetter"/>
      <w:start w:val="22"/>
    </w:lvl>
  </w:abstractNum>
  <w:abstractNum w:abstractNumId="62">
    <w:nsid w:val="5DB70AE5"/>
    <w:multiLevelType w:val="hybridMultilevel"/>
    <w:lvl w:ilvl="0">
      <w:lvlJc w:val="left"/>
      <w:lvlText w:val="(%1)"/>
      <w:numFmt w:val="lowerLetter"/>
      <w:start w:val="2"/>
    </w:lvl>
    <w:lvl w:ilvl="1">
      <w:lvlJc w:val="left"/>
      <w:lvlText w:val="(%2)"/>
      <w:numFmt w:val="lowerLetter"/>
      <w:start w:val="9"/>
    </w:lvl>
  </w:abstractNum>
  <w:abstractNum w:abstractNumId="63">
    <w:nsid w:val="100F8FCA"/>
    <w:multiLevelType w:val="hybridMultilevel"/>
    <w:lvl w:ilvl="0">
      <w:lvlJc w:val="left"/>
      <w:lvlText w:val="(%1)"/>
      <w:numFmt w:val="lowerRoman"/>
      <w:start w:val="2"/>
    </w:lvl>
  </w:abstractNum>
  <w:abstractNum w:abstractNumId="64">
    <w:nsid w:val="6590700B"/>
    <w:multiLevelType w:val="hybridMultilevel"/>
    <w:lvl w:ilvl="0">
      <w:lvlJc w:val="left"/>
      <w:lvlText w:val="(%1)"/>
      <w:numFmt w:val="lowerRoman"/>
      <w:start w:val="3"/>
    </w:lvl>
  </w:abstractNum>
  <w:abstractNum w:abstractNumId="65">
    <w:nsid w:val="15014ACB"/>
    <w:multiLevelType w:val="hybridMultilevel"/>
    <w:lvl w:ilvl="0">
      <w:lvlJc w:val="left"/>
      <w:lvlText w:val="%1"/>
      <w:numFmt w:val="decimal"/>
      <w:start w:val="1"/>
    </w:lvl>
    <w:lvl w:ilvl="1">
      <w:lvlJc w:val="left"/>
      <w:lvlText w:val="(%2)"/>
      <w:numFmt w:val="lowerLetter"/>
      <w:start w:val="3"/>
    </w:lvl>
  </w:abstractNum>
  <w:abstractNum w:abstractNumId="66">
    <w:nsid w:val="5F5E7FD0"/>
    <w:multiLevelType w:val="hybridMultilevel"/>
    <w:lvl w:ilvl="0">
      <w:lvlJc w:val="left"/>
      <w:lvlText w:val="%1."/>
      <w:numFmt w:val="decimal"/>
      <w:start w:val="8"/>
    </w:lvl>
    <w:lvl w:ilvl="1">
      <w:lvlJc w:val="left"/>
      <w:lvlText w:val="%2"/>
      <w:numFmt w:val="lowerLetter"/>
      <w:start w:val="1"/>
    </w:lvl>
  </w:abstractNum>
  <w:abstractNum w:abstractNumId="67">
    <w:nsid w:val="98A3148"/>
    <w:multiLevelType w:val="hybridMultilevel"/>
    <w:lvl w:ilvl="0">
      <w:lvlJc w:val="left"/>
      <w:lvlText w:val="%1."/>
      <w:numFmt w:val="decimal"/>
      <w:start w:val="12"/>
    </w:lvl>
    <w:lvl w:ilvl="1">
      <w:lvlJc w:val="left"/>
      <w:lvlText w:val="(%2)"/>
      <w:numFmt w:val="lowerLetter"/>
      <w:start w:val="1"/>
    </w:lvl>
  </w:abstractNum>
  <w:abstractNum w:abstractNumId="68">
    <w:nsid w:val="799D0247"/>
    <w:multiLevelType w:val="hybridMultilevel"/>
    <w:lvl w:ilvl="0">
      <w:lvlJc w:val="left"/>
      <w:lvlText w:val="%1."/>
      <w:numFmt w:val="decimal"/>
      <w:start w:val="2"/>
    </w:lvl>
    <w:lvl w:ilvl="1">
      <w:lvlJc w:val="left"/>
      <w:lvlText w:val="(%2)"/>
      <w:numFmt w:val="lowerLetter"/>
      <w:start w:val="2"/>
    </w:lvl>
  </w:abstractNum>
  <w:abstractNum w:abstractNumId="69">
    <w:nsid w:val="6B94764"/>
    <w:multiLevelType w:val="hybridMultilevel"/>
    <w:lvl w:ilvl="0">
      <w:lvlJc w:val="left"/>
      <w:lvlText w:val="%1."/>
      <w:numFmt w:val="decimal"/>
      <w:start w:val="18"/>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17" Type="http://schemas.openxmlformats.org/officeDocument/2006/relationships/hyperlink" Target="http://www.sec.gov/Archives/edgar/data/1620459/000157104914005924/t1401933_ex3-1.htm" TargetMode="External"/><Relationship Id="rId18" Type="http://schemas.openxmlformats.org/officeDocument/2006/relationships/hyperlink" Target="http://www.sec.gov/Archives/edgar/data/1620459/000157104914005924/t1401933_ex3-2.htm" TargetMode="External"/><Relationship Id="rId19" Type="http://schemas.openxmlformats.org/officeDocument/2006/relationships/hyperlink" Target="http://www.sec.gov/Archives/edgar/data/1620459/000157104914005924/t1401933_ex3-3.htm" TargetMode="External"/><Relationship Id="rId20" Type="http://schemas.openxmlformats.org/officeDocument/2006/relationships/hyperlink" Target="http://www.sec.gov/Archives/edgar/data/1620459/000157104914005924/t1401933_ex3-4.htm" TargetMode="External"/><Relationship Id="rId21" Type="http://schemas.openxmlformats.org/officeDocument/2006/relationships/hyperlink" Target="http://www.sec.gov/Archives/edgar/data/1620459/000157104914005924/t1401933_ex3-5.htm" TargetMode="External"/><Relationship Id="rId22" Type="http://schemas.openxmlformats.org/officeDocument/2006/relationships/hyperlink" Target="http://www.sec.gov/Archives/edgar/data/1620459/000157104915001874/t1500493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2019-12-28T02:03:23Z</dcterms:created>
  <dcterms:modified xsi:type="dcterms:W3CDTF">2019-12-28T02:03:23Z</dcterms:modified>
</cp:coreProperties>
</file>