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233680</wp:posOffset>
            </wp:positionH>
            <wp:positionV relativeFrom="page">
              <wp:posOffset>243205</wp:posOffset>
            </wp:positionV>
            <wp:extent cx="70891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-224155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80" w:lineRule="exact"/>
        <w:rPr>
          <w:sz w:val="24"/>
          <w:szCs w:val="24"/>
          <w:color w:val="auto"/>
        </w:rPr>
      </w:pPr>
    </w:p>
    <w:p>
      <w:pPr>
        <w:ind w:left="720"/>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 for the quarterly period</w:t>
      </w:r>
    </w:p>
    <w:p>
      <w:pPr>
        <w:spacing w:after="0" w:line="4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ended March 31, 2020</w:t>
      </w: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460" w:type="dxa"/>
            <w:vAlign w:val="bottom"/>
            <w:vMerge w:val="restart"/>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2"/>
          </w:tcPr>
          <w:p>
            <w:pPr>
              <w:ind w:left="260"/>
              <w:spacing w:after="0"/>
              <w:rPr>
                <w:sz w:val="20"/>
                <w:szCs w:val="20"/>
                <w:color w:val="auto"/>
              </w:rPr>
            </w:pPr>
            <w:r>
              <w:rPr>
                <w:rFonts w:ascii="Arial" w:cs="Arial" w:eastAsia="Arial" w:hAnsi="Arial"/>
                <w:sz w:val="22"/>
                <w:szCs w:val="22"/>
                <w:b w:val="1"/>
                <w:bCs w:val="1"/>
                <w:color w:val="auto"/>
                <w:w w:val="89"/>
              </w:rPr>
              <w:t>Transition report pursuant to Section 13 or 15(d) of the Securities Exchange Act of 1934 for the transition period</w:t>
            </w:r>
          </w:p>
        </w:tc>
        <w:tc>
          <w:tcPr>
            <w:tcW w:w="0" w:type="dxa"/>
            <w:vAlign w:val="bottom"/>
          </w:tcPr>
          <w:p>
            <w:pPr>
              <w:spacing w:after="0"/>
              <w:rPr>
                <w:sz w:val="1"/>
                <w:szCs w:val="1"/>
                <w:color w:val="auto"/>
              </w:rPr>
            </w:pPr>
          </w:p>
        </w:tc>
      </w:tr>
      <w:tr>
        <w:trPr>
          <w:trHeight w:val="304"/>
        </w:trPr>
        <w:tc>
          <w:tcPr>
            <w:tcW w:w="460" w:type="dxa"/>
            <w:vAlign w:val="bottom"/>
            <w:vMerge w:val="continue"/>
          </w:tcPr>
          <w:p>
            <w:pPr>
              <w:spacing w:after="0"/>
              <w:rPr>
                <w:sz w:val="24"/>
                <w:szCs w:val="24"/>
                <w:color w:val="auto"/>
              </w:rPr>
            </w:pPr>
          </w:p>
        </w:tc>
        <w:tc>
          <w:tcPr>
            <w:tcW w:w="3160" w:type="dxa"/>
            <w:vAlign w:val="bottom"/>
          </w:tcPr>
          <w:p>
            <w:pPr>
              <w:ind w:left="260"/>
              <w:spacing w:after="0"/>
              <w:rPr>
                <w:sz w:val="20"/>
                <w:szCs w:val="20"/>
                <w:color w:val="auto"/>
              </w:rPr>
            </w:pPr>
            <w:r>
              <w:rPr>
                <w:rFonts w:ascii="Arial" w:cs="Arial" w:eastAsia="Arial" w:hAnsi="Arial"/>
                <w:sz w:val="22"/>
                <w:szCs w:val="22"/>
                <w:b w:val="1"/>
                <w:bCs w:val="1"/>
                <w:color w:val="auto"/>
              </w:rPr>
              <w:t>from _______ to _______</w:t>
            </w:r>
          </w:p>
        </w:tc>
        <w:tc>
          <w:tcPr>
            <w:tcW w:w="7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4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620" w:type="dxa"/>
            <w:vAlign w:val="bottom"/>
          </w:tcPr>
          <w:p>
            <w:pPr>
              <w:ind w:left="660"/>
              <w:spacing w:after="0"/>
              <w:rPr>
                <w:sz w:val="20"/>
                <w:szCs w:val="20"/>
                <w:color w:val="auto"/>
              </w:rPr>
            </w:pPr>
            <w:r>
              <w:rPr>
                <w:rFonts w:ascii="Arial" w:cs="Arial" w:eastAsia="Arial" w:hAnsi="Arial"/>
                <w:sz w:val="18"/>
                <w:szCs w:val="18"/>
                <w:b w:val="1"/>
                <w:bCs w:val="1"/>
                <w:color w:val="auto"/>
              </w:rPr>
              <w:t>Commission File Number: 001-36777</w:t>
            </w:r>
          </w:p>
        </w:tc>
        <w:tc>
          <w:tcPr>
            <w:tcW w:w="0" w:type="dxa"/>
            <w:vAlign w:val="bottom"/>
          </w:tcPr>
          <w:p>
            <w:pPr>
              <w:spacing w:after="0"/>
              <w:rPr>
                <w:sz w:val="1"/>
                <w:szCs w:val="1"/>
                <w:color w:val="auto"/>
              </w:rPr>
            </w:pPr>
          </w:p>
        </w:tc>
      </w:tr>
      <w:tr>
        <w:trPr>
          <w:trHeight w:val="135"/>
        </w:trPr>
        <w:tc>
          <w:tcPr>
            <w:tcW w:w="460" w:type="dxa"/>
            <w:vAlign w:val="bottom"/>
            <w:tcBorders>
              <w:bottom w:val="single" w:sz="8" w:color="auto"/>
            </w:tcBorders>
          </w:tcPr>
          <w:p>
            <w:pPr>
              <w:spacing w:after="0"/>
              <w:rPr>
                <w:sz w:val="11"/>
                <w:szCs w:val="11"/>
                <w:color w:val="auto"/>
              </w:rPr>
            </w:pPr>
          </w:p>
        </w:tc>
        <w:tc>
          <w:tcPr>
            <w:tcW w:w="1078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547"/>
        </w:trPr>
        <w:tc>
          <w:tcPr>
            <w:tcW w:w="46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gridSpan w:val="2"/>
          </w:tcPr>
          <w:p>
            <w:pPr>
              <w:jc w:val="center"/>
              <w:ind w:right="377"/>
              <w:spacing w:after="0"/>
              <w:rPr>
                <w:sz w:val="20"/>
                <w:szCs w:val="20"/>
                <w:color w:val="auto"/>
              </w:rPr>
            </w:pPr>
            <w:r>
              <w:rPr>
                <w:rFonts w:ascii="Arial" w:cs="Arial" w:eastAsia="Arial" w:hAnsi="Arial"/>
                <w:sz w:val="43"/>
                <w:szCs w:val="43"/>
                <w:b w:val="1"/>
                <w:bCs w:val="1"/>
                <w:color w:val="auto"/>
              </w:rPr>
              <w:t>JAMES RIVER GROUP HOLDINGS, LTD.</w:t>
            </w:r>
          </w:p>
        </w:tc>
        <w:tc>
          <w:tcPr>
            <w:tcW w:w="0" w:type="dxa"/>
            <w:vAlign w:val="bottom"/>
          </w:tcPr>
          <w:p>
            <w:pPr>
              <w:spacing w:after="0"/>
              <w:rPr>
                <w:sz w:val="1"/>
                <w:szCs w:val="1"/>
                <w:color w:val="auto"/>
              </w:rPr>
            </w:pPr>
          </w:p>
        </w:tc>
      </w:tr>
      <w:tr>
        <w:trPr>
          <w:trHeight w:val="723"/>
        </w:trPr>
        <w:tc>
          <w:tcPr>
            <w:tcW w:w="4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620" w:type="dxa"/>
            <w:vAlign w:val="bottom"/>
          </w:tcPr>
          <w:p>
            <w:pPr>
              <w:jc w:val="center"/>
              <w:ind w:right="3517"/>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0" w:type="dxa"/>
            <w:vAlign w:val="bottom"/>
          </w:tcPr>
          <w:p>
            <w:pPr>
              <w:spacing w:after="0"/>
              <w:rPr>
                <w:sz w:val="1"/>
                <w:szCs w:val="1"/>
                <w:color w:val="auto"/>
              </w:rPr>
            </w:pPr>
          </w:p>
        </w:tc>
      </w:tr>
      <w:tr>
        <w:trPr>
          <w:trHeight w:val="594"/>
        </w:trPr>
        <w:tc>
          <w:tcPr>
            <w:tcW w:w="460" w:type="dxa"/>
            <w:vAlign w:val="bottom"/>
          </w:tcPr>
          <w:p>
            <w:pPr>
              <w:spacing w:after="0"/>
              <w:rPr>
                <w:sz w:val="24"/>
                <w:szCs w:val="24"/>
                <w:color w:val="auto"/>
              </w:rPr>
            </w:pPr>
          </w:p>
        </w:tc>
        <w:tc>
          <w:tcPr>
            <w:tcW w:w="3160" w:type="dxa"/>
            <w:vAlign w:val="bottom"/>
          </w:tcPr>
          <w:p>
            <w:pPr>
              <w:jc w:val="center"/>
              <w:ind w:left="1089"/>
              <w:spacing w:after="0"/>
              <w:rPr>
                <w:sz w:val="20"/>
                <w:szCs w:val="20"/>
                <w:color w:val="auto"/>
              </w:rPr>
            </w:pPr>
            <w:r>
              <w:rPr>
                <w:rFonts w:ascii="Arial" w:cs="Arial" w:eastAsia="Arial" w:hAnsi="Arial"/>
                <w:sz w:val="18"/>
                <w:szCs w:val="18"/>
                <w:b w:val="1"/>
                <w:bCs w:val="1"/>
                <w:color w:val="auto"/>
                <w:w w:val="92"/>
              </w:rPr>
              <w:t>Bermuda</w:t>
            </w:r>
          </w:p>
        </w:tc>
        <w:tc>
          <w:tcPr>
            <w:tcW w:w="7620" w:type="dxa"/>
            <w:vAlign w:val="bottom"/>
          </w:tcPr>
          <w:p>
            <w:pPr>
              <w:jc w:val="center"/>
              <w:ind w:left="2217"/>
              <w:spacing w:after="0"/>
              <w:rPr>
                <w:sz w:val="20"/>
                <w:szCs w:val="20"/>
                <w:color w:val="auto"/>
              </w:rPr>
            </w:pPr>
            <w:r>
              <w:rPr>
                <w:rFonts w:ascii="Arial" w:cs="Arial" w:eastAsia="Arial" w:hAnsi="Arial"/>
                <w:sz w:val="18"/>
                <w:szCs w:val="18"/>
                <w:b w:val="1"/>
                <w:bCs w:val="1"/>
                <w:color w:val="auto"/>
                <w:w w:val="91"/>
              </w:rPr>
              <w:t>98-0585280</w:t>
            </w: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3160" w:type="dxa"/>
            <w:vAlign w:val="bottom"/>
          </w:tcPr>
          <w:p>
            <w:pPr>
              <w:jc w:val="center"/>
              <w:ind w:left="1169"/>
              <w:spacing w:after="0"/>
              <w:rPr>
                <w:sz w:val="20"/>
                <w:szCs w:val="20"/>
                <w:color w:val="auto"/>
              </w:rPr>
            </w:pPr>
            <w:r>
              <w:rPr>
                <w:rFonts w:ascii="Arial" w:cs="Arial" w:eastAsia="Arial" w:hAnsi="Arial"/>
                <w:sz w:val="14"/>
                <w:szCs w:val="14"/>
                <w:b w:val="1"/>
                <w:bCs w:val="1"/>
                <w:color w:val="auto"/>
                <w:w w:val="93"/>
              </w:rPr>
              <w:t>(State or other jurisdiction of</w:t>
            </w:r>
          </w:p>
        </w:tc>
        <w:tc>
          <w:tcPr>
            <w:tcW w:w="7620" w:type="dxa"/>
            <w:vAlign w:val="bottom"/>
          </w:tcPr>
          <w:p>
            <w:pPr>
              <w:jc w:val="center"/>
              <w:ind w:left="2257"/>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60" w:type="dxa"/>
            <w:vAlign w:val="bottom"/>
          </w:tcPr>
          <w:p>
            <w:pPr>
              <w:spacing w:after="0"/>
              <w:rPr>
                <w:sz w:val="16"/>
                <w:szCs w:val="16"/>
                <w:color w:val="auto"/>
              </w:rPr>
            </w:pPr>
          </w:p>
        </w:tc>
        <w:tc>
          <w:tcPr>
            <w:tcW w:w="3160" w:type="dxa"/>
            <w:vAlign w:val="bottom"/>
          </w:tcPr>
          <w:p>
            <w:pPr>
              <w:jc w:val="center"/>
              <w:ind w:left="1169"/>
              <w:spacing w:after="0"/>
              <w:rPr>
                <w:sz w:val="20"/>
                <w:szCs w:val="20"/>
                <w:color w:val="auto"/>
              </w:rPr>
            </w:pPr>
            <w:r>
              <w:rPr>
                <w:rFonts w:ascii="Arial" w:cs="Arial" w:eastAsia="Arial" w:hAnsi="Arial"/>
                <w:sz w:val="14"/>
                <w:szCs w:val="14"/>
                <w:b w:val="1"/>
                <w:bCs w:val="1"/>
                <w:color w:val="auto"/>
                <w:w w:val="94"/>
              </w:rPr>
              <w:t>incorporation or organization)</w:t>
            </w:r>
          </w:p>
        </w:tc>
        <w:tc>
          <w:tcPr>
            <w:tcW w:w="7620" w:type="dxa"/>
            <w:vAlign w:val="bottom"/>
          </w:tcPr>
          <w:p>
            <w:pPr>
              <w:jc w:val="center"/>
              <w:ind w:left="2277"/>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bl>
    <w:p>
      <w:pPr>
        <w:spacing w:after="0" w:line="210" w:lineRule="exact"/>
        <w:rPr>
          <w:sz w:val="24"/>
          <w:szCs w:val="24"/>
          <w:color w:val="auto"/>
        </w:rPr>
      </w:pPr>
    </w:p>
    <w:p>
      <w:pPr>
        <w:jc w:val="center"/>
        <w:ind w:left="500" w:right="2640"/>
        <w:spacing w:after="0" w:line="275" w:lineRule="auto"/>
        <w:rPr>
          <w:sz w:val="20"/>
          <w:szCs w:val="20"/>
          <w:color w:val="auto"/>
        </w:rPr>
      </w:pPr>
      <w:r>
        <w:rPr>
          <w:rFonts w:ascii="Arial" w:cs="Arial" w:eastAsia="Arial" w:hAnsi="Arial"/>
          <w:sz w:val="18"/>
          <w:szCs w:val="18"/>
          <w:b w:val="1"/>
          <w:bCs w:val="1"/>
          <w:color w:val="auto"/>
        </w:rPr>
        <w:t>Wellesley House, 2nd Floor, 90 Pitts Bay Road, Pembroke HM08, Bermuda (Address of principal executive offices) (Zip Code)</w:t>
      </w:r>
    </w:p>
    <w:p>
      <w:pPr>
        <w:spacing w:after="0" w:line="228"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(441) 278-4580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338"/>
        </w:trPr>
        <w:tc>
          <w:tcPr>
            <w:tcW w:w="2280" w:type="dxa"/>
            <w:vAlign w:val="bottom"/>
          </w:tcPr>
          <w:p>
            <w:pPr>
              <w:spacing w:after="0"/>
              <w:rPr>
                <w:sz w:val="24"/>
                <w:szCs w:val="24"/>
                <w:color w:val="auto"/>
              </w:rPr>
            </w:pPr>
          </w:p>
        </w:tc>
        <w:tc>
          <w:tcPr>
            <w:tcW w:w="2760" w:type="dxa"/>
            <w:vAlign w:val="bottom"/>
            <w:gridSpan w:val="2"/>
          </w:tcPr>
          <w:p>
            <w:pPr>
              <w:jc w:val="center"/>
              <w:ind w:right="1460"/>
              <w:spacing w:after="0"/>
              <w:rPr>
                <w:sz w:val="20"/>
                <w:szCs w:val="20"/>
                <w:color w:val="auto"/>
              </w:rPr>
            </w:pPr>
            <w:r>
              <w:rPr>
                <w:rFonts w:ascii="Arial" w:cs="Arial" w:eastAsia="Arial" w:hAnsi="Arial"/>
                <w:sz w:val="18"/>
                <w:szCs w:val="18"/>
                <w:color w:val="auto"/>
                <w:w w:val="90"/>
              </w:rPr>
              <w:t>Title of each class</w:t>
            </w: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Trading Symbol(s)</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w w:val="88"/>
              </w:rPr>
              <w:t>Names of each exchange on which registered</w:t>
            </w:r>
          </w:p>
        </w:tc>
      </w:tr>
      <w:tr>
        <w:trPr>
          <w:trHeight w:val="20"/>
        </w:trPr>
        <w:tc>
          <w:tcPr>
            <w:tcW w:w="22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r>
      <w:tr>
        <w:trPr>
          <w:trHeight w:val="290"/>
        </w:trPr>
        <w:tc>
          <w:tcPr>
            <w:tcW w:w="5040" w:type="dxa"/>
            <w:vAlign w:val="bottom"/>
            <w:gridSpan w:val="3"/>
          </w:tcPr>
          <w:p>
            <w:pPr>
              <w:jc w:val="center"/>
              <w:ind w:left="750"/>
              <w:spacing w:after="0"/>
              <w:rPr>
                <w:sz w:val="20"/>
                <w:szCs w:val="20"/>
                <w:color w:val="auto"/>
              </w:rPr>
            </w:pPr>
            <w:r>
              <w:rPr>
                <w:rFonts w:ascii="Arial" w:cs="Arial" w:eastAsia="Arial" w:hAnsi="Arial"/>
                <w:sz w:val="18"/>
                <w:szCs w:val="18"/>
                <w:color w:val="auto"/>
                <w:w w:val="88"/>
              </w:rPr>
              <w:t>Common Shares, par value $0.0002 per share</w:t>
            </w: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JRVR</w:t>
            </w:r>
          </w:p>
        </w:tc>
        <w:tc>
          <w:tcPr>
            <w:tcW w:w="180" w:type="dxa"/>
            <w:vAlign w:val="bottom"/>
          </w:tcPr>
          <w:p>
            <w:pPr>
              <w:spacing w:after="0"/>
              <w:rPr>
                <w:sz w:val="24"/>
                <w:szCs w:val="24"/>
                <w:color w:val="auto"/>
              </w:rPr>
            </w:pPr>
          </w:p>
        </w:tc>
        <w:tc>
          <w:tcPr>
            <w:tcW w:w="3260" w:type="dxa"/>
            <w:vAlign w:val="bottom"/>
          </w:tcPr>
          <w:p>
            <w:pPr>
              <w:ind w:left="400"/>
              <w:spacing w:after="0"/>
              <w:rPr>
                <w:sz w:val="20"/>
                <w:szCs w:val="20"/>
                <w:color w:val="auto"/>
              </w:rPr>
            </w:pPr>
            <w:r>
              <w:rPr>
                <w:rFonts w:ascii="Arial" w:cs="Arial" w:eastAsia="Arial" w:hAnsi="Arial"/>
                <w:sz w:val="18"/>
                <w:szCs w:val="18"/>
                <w:color w:val="auto"/>
              </w:rPr>
              <w:t>NASDAQ  Global Select Market</w:t>
            </w:r>
          </w:p>
        </w:tc>
      </w:tr>
    </w:tbl>
    <w:p>
      <w:pPr>
        <w:spacing w:after="0" w:line="12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7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4" w:lineRule="exact"/>
        <w:rPr>
          <w:sz w:val="24"/>
          <w:szCs w:val="24"/>
          <w:color w:val="auto"/>
        </w:rPr>
      </w:pPr>
    </w:p>
    <w:p>
      <w:pPr>
        <w:ind w:left="40"/>
        <w:spacing w:after="0" w:line="184" w:lineRule="exact"/>
        <w:tabs>
          <w:tab w:leader="none" w:pos="2180" w:val="left"/>
          <w:tab w:leader="none" w:pos="3880" w:val="left"/>
          <w:tab w:leader="none" w:pos="5900" w:val="left"/>
          <w:tab w:leader="none" w:pos="8480" w:val="left"/>
          <w:tab w:leader="none" w:pos="1104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79"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7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the registrant's common shares outstanding at April 28, 2020: 30,520,428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James River Group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r>
      <w:tr>
        <w:trPr>
          <w:trHeight w:val="256"/>
        </w:trPr>
        <w:tc>
          <w:tcPr>
            <w:tcW w:w="10500" w:type="dxa"/>
            <w:vAlign w:val="bottom"/>
            <w:tcBorders>
              <w:bottom w:val="single" w:sz="8" w:color="CCEEFF"/>
            </w:tcBorders>
            <w:gridSpan w:val="4"/>
            <w:shd w:val="clear" w:color="auto" w:fill="CCEEFF"/>
          </w:tcPr>
          <w:p>
            <w:pPr>
              <w:ind w:lef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 FINANCIAL INFORMATION</w:t>
              </w:r>
            </w:hyperlink>
          </w:p>
        </w:tc>
        <w:tc>
          <w:tcPr>
            <w:tcW w:w="740" w:type="dxa"/>
            <w:vAlign w:val="bottom"/>
            <w:tcBorders>
              <w:bottom w:val="single" w:sz="8" w:color="CCEEFF"/>
            </w:tcBorders>
            <w:shd w:val="clear" w:color="auto" w:fill="CCEEFF"/>
          </w:tcPr>
          <w:p>
            <w:pPr>
              <w:spacing w:after="0"/>
              <w:rPr>
                <w:sz w:val="22"/>
                <w:szCs w:val="22"/>
                <w:color w:val="auto"/>
              </w:rPr>
            </w:pPr>
          </w:p>
        </w:tc>
      </w:tr>
      <w:tr>
        <w:trPr>
          <w:trHeight w:val="270"/>
        </w:trPr>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50"/>
        </w:trPr>
        <w:tc>
          <w:tcPr>
            <w:tcW w:w="10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w:t>
              </w:r>
            </w:hyperlink>
          </w:p>
        </w:tc>
        <w:tc>
          <w:tcPr>
            <w:tcW w:w="946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w:t>
              </w:r>
            </w:hyperlink>
          </w:p>
        </w:tc>
        <w:tc>
          <w:tcPr>
            <w:tcW w:w="740" w:type="dxa"/>
            <w:vAlign w:val="bottom"/>
            <w:tcBorders>
              <w:bottom w:val="single" w:sz="8" w:color="CCEEFF"/>
            </w:tcBorders>
            <w:shd w:val="clear" w:color="auto" w:fill="CCEEFF"/>
          </w:tcPr>
          <w:p>
            <w:pPr>
              <w:spacing w:after="0"/>
              <w:rPr>
                <w:sz w:val="21"/>
                <w:szCs w:val="21"/>
                <w:color w:val="auto"/>
              </w:rPr>
            </w:pPr>
          </w:p>
        </w:tc>
      </w:tr>
      <w:tr>
        <w:trPr>
          <w:trHeight w:val="270"/>
        </w:trPr>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946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Sheets—March 31, 2020 and December 31, 2019</w:t>
              </w:r>
            </w:hyperlink>
          </w:p>
        </w:tc>
        <w:tc>
          <w:tcPr>
            <w:tcW w:w="74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5</w:t>
              </w:r>
            </w:hyperlink>
          </w:p>
        </w:tc>
      </w:tr>
      <w:tr>
        <w:trPr>
          <w:trHeight w:val="270"/>
        </w:trPr>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03"/>
        </w:trPr>
        <w:tc>
          <w:tcPr>
            <w:tcW w:w="1040" w:type="dxa"/>
            <w:vAlign w:val="bottom"/>
            <w:tcBorders>
              <w:bottom w:val="single" w:sz="8" w:color="CCEEFF"/>
            </w:tcBorders>
            <w:shd w:val="clear" w:color="auto" w:fill="CCEEFF"/>
          </w:tcPr>
          <w:p>
            <w:pPr>
              <w:spacing w:after="0"/>
              <w:rPr>
                <w:sz w:val="17"/>
                <w:szCs w:val="17"/>
                <w:color w:val="auto"/>
              </w:rPr>
            </w:pPr>
          </w:p>
        </w:tc>
        <w:tc>
          <w:tcPr>
            <w:tcW w:w="938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(Loss) Income and Comprehensive (Loss) Income—Three Months Ended March 31, 2020</w:t>
              </w:r>
            </w:hyperlink>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r>
      <w:tr>
        <w:trPr>
          <w:trHeight w:val="243"/>
        </w:trPr>
        <w:tc>
          <w:tcPr>
            <w:tcW w:w="1040" w:type="dxa"/>
            <w:vAlign w:val="bottom"/>
            <w:shd w:val="clear" w:color="auto" w:fill="CCEEFF"/>
          </w:tcPr>
          <w:p>
            <w:pPr>
              <w:spacing w:after="0"/>
              <w:rPr>
                <w:sz w:val="21"/>
                <w:szCs w:val="21"/>
                <w:color w:val="auto"/>
              </w:rPr>
            </w:pPr>
          </w:p>
        </w:tc>
        <w:tc>
          <w:tcPr>
            <w:tcW w:w="9460" w:type="dxa"/>
            <w:vAlign w:val="bottom"/>
            <w:gridSpan w:val="3"/>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2019</w:t>
              </w:r>
            </w:hyperlink>
          </w:p>
        </w:tc>
        <w:tc>
          <w:tcPr>
            <w:tcW w:w="740" w:type="dxa"/>
            <w:vAlign w:val="bottom"/>
            <w:shd w:val="clear" w:color="auto" w:fill="CCEEFF"/>
          </w:tcPr>
          <w:p>
            <w:pPr>
              <w:jc w:val="center"/>
              <w:spacing w:after="0" w:line="196" w:lineRule="exact"/>
              <w:rPr>
                <w:rFonts w:ascii="Arial" w:cs="Arial" w:eastAsia="Arial" w:hAnsi="Arial"/>
                <w:sz w:val="18"/>
                <w:szCs w:val="18"/>
                <w:u w:val="single" w:color="auto"/>
                <w:color w:val="0000EE"/>
                <w:w w:val="99"/>
              </w:rPr>
            </w:pPr>
            <w:hyperlink w:anchor="page7">
              <w:r>
                <w:rPr>
                  <w:rFonts w:ascii="Arial" w:cs="Arial" w:eastAsia="Arial" w:hAnsi="Arial"/>
                  <w:sz w:val="18"/>
                  <w:szCs w:val="18"/>
                  <w:u w:val="single" w:color="auto"/>
                  <w:color w:val="0000EE"/>
                  <w:w w:val="99"/>
                </w:rPr>
                <w:t>7</w:t>
              </w:r>
            </w:hyperlink>
          </w:p>
        </w:tc>
      </w:tr>
      <w:tr>
        <w:trPr>
          <w:trHeight w:val="270"/>
        </w:trPr>
        <w:tc>
          <w:tcPr>
            <w:tcW w:w="1040" w:type="dxa"/>
            <w:vAlign w:val="bottom"/>
            <w:tcBorders>
              <w:top w:val="single" w:sz="8" w:color="CCEEFF"/>
            </w:tcBorders>
          </w:tcPr>
          <w:p>
            <w:pPr>
              <w:spacing w:after="0"/>
              <w:rPr>
                <w:sz w:val="23"/>
                <w:szCs w:val="23"/>
                <w:color w:val="auto"/>
              </w:rPr>
            </w:pPr>
          </w:p>
        </w:tc>
        <w:tc>
          <w:tcPr>
            <w:tcW w:w="680" w:type="dxa"/>
            <w:vAlign w:val="bottom"/>
            <w:tcBorders>
              <w:top w:val="single" w:sz="8" w:color="0000EE"/>
            </w:tcBorders>
          </w:tcPr>
          <w:p>
            <w:pPr>
              <w:spacing w:after="0"/>
              <w:rPr>
                <w:sz w:val="23"/>
                <w:szCs w:val="23"/>
                <w:color w:val="auto"/>
              </w:rPr>
            </w:pPr>
          </w:p>
        </w:tc>
        <w:tc>
          <w:tcPr>
            <w:tcW w:w="87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946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w w:val="96"/>
              </w:rPr>
            </w:pPr>
            <w:hyperlink w:anchor="page8">
              <w:r>
                <w:rPr>
                  <w:rFonts w:ascii="Arial" w:cs="Arial" w:eastAsia="Arial" w:hAnsi="Arial"/>
                  <w:sz w:val="18"/>
                  <w:szCs w:val="18"/>
                  <w:u w:val="single" w:color="auto"/>
                  <w:color w:val="0000EE"/>
                  <w:w w:val="96"/>
                </w:rPr>
                <w:t>Condensed Consolidated Statements of Changes in Shareholders’ Equity—Three Months Ended March 31, 2020 and 2019</w:t>
              </w:r>
            </w:hyperlink>
          </w:p>
        </w:tc>
        <w:tc>
          <w:tcPr>
            <w:tcW w:w="74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99"/>
              </w:rPr>
            </w:pPr>
            <w:hyperlink w:anchor="page8">
              <w:r>
                <w:rPr>
                  <w:rFonts w:ascii="Arial" w:cs="Arial" w:eastAsia="Arial" w:hAnsi="Arial"/>
                  <w:sz w:val="18"/>
                  <w:szCs w:val="18"/>
                  <w:u w:val="single" w:color="auto"/>
                  <w:color w:val="0000EE"/>
                  <w:w w:val="99"/>
                </w:rPr>
                <w:t>8</w:t>
              </w:r>
            </w:hyperlink>
          </w:p>
        </w:tc>
      </w:tr>
      <w:tr>
        <w:trPr>
          <w:trHeight w:val="270"/>
        </w:trPr>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946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Consolidated Statements of Cash Flows—Three Months Ended March 31, 2020 and 2019</w:t>
              </w:r>
            </w:hyperlink>
          </w:p>
        </w:tc>
        <w:tc>
          <w:tcPr>
            <w:tcW w:w="74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99"/>
              </w:rPr>
            </w:pPr>
            <w:hyperlink w:anchor="page9">
              <w:r>
                <w:rPr>
                  <w:rFonts w:ascii="Arial" w:cs="Arial" w:eastAsia="Arial" w:hAnsi="Arial"/>
                  <w:sz w:val="18"/>
                  <w:szCs w:val="18"/>
                  <w:u w:val="single" w:color="auto"/>
                  <w:color w:val="0000EE"/>
                  <w:w w:val="99"/>
                </w:rPr>
                <w:t>9</w:t>
              </w:r>
            </w:hyperlink>
          </w:p>
        </w:tc>
      </w:tr>
      <w:tr>
        <w:trPr>
          <w:trHeight w:val="270"/>
        </w:trPr>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946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Condensed Consolidated Financial Statements</w:t>
              </w:r>
            </w:hyperlink>
          </w:p>
        </w:tc>
        <w:tc>
          <w:tcPr>
            <w:tcW w:w="74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10">
              <w:r>
                <w:rPr>
                  <w:rFonts w:ascii="Arial" w:cs="Arial" w:eastAsia="Arial" w:hAnsi="Arial"/>
                  <w:sz w:val="18"/>
                  <w:szCs w:val="18"/>
                  <w:u w:val="single" w:color="auto"/>
                  <w:color w:val="0000EE"/>
                  <w:w w:val="89"/>
                </w:rPr>
                <w:t>10</w:t>
              </w:r>
            </w:hyperlink>
          </w:p>
        </w:tc>
      </w:tr>
      <w:tr>
        <w:trPr>
          <w:trHeight w:val="270"/>
        </w:trPr>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50"/>
        </w:trPr>
        <w:tc>
          <w:tcPr>
            <w:tcW w:w="10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2.</w:t>
              </w:r>
            </w:hyperlink>
          </w:p>
        </w:tc>
        <w:tc>
          <w:tcPr>
            <w:tcW w:w="946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Management's Discussion and Analysis of Financial Condition and Results of Operations</w:t>
              </w:r>
            </w:hyperlink>
          </w:p>
        </w:tc>
        <w:tc>
          <w:tcPr>
            <w:tcW w:w="74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29</w:t>
              </w:r>
            </w:hyperlink>
          </w:p>
        </w:tc>
      </w:tr>
      <w:tr>
        <w:trPr>
          <w:trHeight w:val="270"/>
        </w:trPr>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946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Critical Accounting Policies and Estimates</w:t>
              </w:r>
            </w:hyperlink>
          </w:p>
        </w:tc>
        <w:tc>
          <w:tcPr>
            <w:tcW w:w="74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29</w:t>
              </w:r>
            </w:hyperlink>
          </w:p>
        </w:tc>
      </w:tr>
      <w:tr>
        <w:trPr>
          <w:trHeight w:val="270"/>
        </w:trPr>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50"/>
        </w:trPr>
        <w:tc>
          <w:tcPr>
            <w:tcW w:w="10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Item 3.</w:t>
              </w:r>
            </w:hyperlink>
          </w:p>
        </w:tc>
        <w:tc>
          <w:tcPr>
            <w:tcW w:w="946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Quantitative and Qualitative Disclosures About Market Risk</w:t>
              </w:r>
            </w:hyperlink>
          </w:p>
        </w:tc>
        <w:tc>
          <w:tcPr>
            <w:tcW w:w="74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50">
              <w:r>
                <w:rPr>
                  <w:rFonts w:ascii="Arial" w:cs="Arial" w:eastAsia="Arial" w:hAnsi="Arial"/>
                  <w:sz w:val="18"/>
                  <w:szCs w:val="18"/>
                  <w:u w:val="single" w:color="auto"/>
                  <w:color w:val="0000EE"/>
                  <w:w w:val="89"/>
                </w:rPr>
                <w:t>50</w:t>
              </w:r>
            </w:hyperlink>
          </w:p>
        </w:tc>
      </w:tr>
      <w:tr>
        <w:trPr>
          <w:trHeight w:val="270"/>
        </w:trPr>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50"/>
        </w:trPr>
        <w:tc>
          <w:tcPr>
            <w:tcW w:w="10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Item 4.</w:t>
              </w:r>
            </w:hyperlink>
          </w:p>
        </w:tc>
        <w:tc>
          <w:tcPr>
            <w:tcW w:w="946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Controls and Procedures</w:t>
              </w:r>
            </w:hyperlink>
          </w:p>
        </w:tc>
        <w:tc>
          <w:tcPr>
            <w:tcW w:w="74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50">
              <w:r>
                <w:rPr>
                  <w:rFonts w:ascii="Arial" w:cs="Arial" w:eastAsia="Arial" w:hAnsi="Arial"/>
                  <w:sz w:val="18"/>
                  <w:szCs w:val="18"/>
                  <w:u w:val="single" w:color="auto"/>
                  <w:color w:val="0000EE"/>
                  <w:w w:val="89"/>
                </w:rPr>
                <w:t>50</w:t>
              </w:r>
            </w:hyperlink>
          </w:p>
        </w:tc>
      </w:tr>
      <w:tr>
        <w:trPr>
          <w:trHeight w:val="270"/>
        </w:trPr>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50"/>
        </w:trPr>
        <w:tc>
          <w:tcPr>
            <w:tcW w:w="10500" w:type="dxa"/>
            <w:vAlign w:val="bottom"/>
            <w:tcBorders>
              <w:bottom w:val="single" w:sz="8" w:color="CCEEFF"/>
            </w:tcBorders>
            <w:gridSpan w:val="4"/>
            <w:shd w:val="clear" w:color="auto" w:fill="CCEEFF"/>
          </w:tcPr>
          <w:p>
            <w:pPr>
              <w:ind w:left="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PART II. OTHER INFORMATION</w:t>
              </w:r>
            </w:hyperlink>
          </w:p>
        </w:tc>
        <w:tc>
          <w:tcPr>
            <w:tcW w:w="740" w:type="dxa"/>
            <w:vAlign w:val="bottom"/>
            <w:tcBorders>
              <w:bottom w:val="single" w:sz="8" w:color="CCEEFF"/>
            </w:tcBorders>
            <w:shd w:val="clear" w:color="auto" w:fill="CCEEFF"/>
          </w:tcPr>
          <w:p>
            <w:pPr>
              <w:spacing w:after="0"/>
              <w:rPr>
                <w:sz w:val="21"/>
                <w:szCs w:val="21"/>
                <w:color w:val="auto"/>
              </w:rPr>
            </w:pPr>
          </w:p>
        </w:tc>
      </w:tr>
      <w:tr>
        <w:trPr>
          <w:trHeight w:val="270"/>
        </w:trPr>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50"/>
        </w:trPr>
        <w:tc>
          <w:tcPr>
            <w:tcW w:w="10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Item 1.</w:t>
              </w:r>
            </w:hyperlink>
          </w:p>
        </w:tc>
        <w:tc>
          <w:tcPr>
            <w:tcW w:w="946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Legal Proceedings</w:t>
              </w:r>
            </w:hyperlink>
          </w:p>
        </w:tc>
        <w:tc>
          <w:tcPr>
            <w:tcW w:w="74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50">
              <w:r>
                <w:rPr>
                  <w:rFonts w:ascii="Arial" w:cs="Arial" w:eastAsia="Arial" w:hAnsi="Arial"/>
                  <w:sz w:val="18"/>
                  <w:szCs w:val="18"/>
                  <w:u w:val="single" w:color="auto"/>
                  <w:color w:val="0000EE"/>
                  <w:w w:val="89"/>
                </w:rPr>
                <w:t>50</w:t>
              </w:r>
            </w:hyperlink>
          </w:p>
        </w:tc>
      </w:tr>
      <w:tr>
        <w:trPr>
          <w:trHeight w:val="243"/>
        </w:trPr>
        <w:tc>
          <w:tcPr>
            <w:tcW w:w="1040" w:type="dxa"/>
            <w:vAlign w:val="bottom"/>
          </w:tcPr>
          <w:p>
            <w:pPr>
              <w:ind w:left="40"/>
              <w:spacing w:after="0"/>
              <w:rPr>
                <w:rFonts w:ascii="Arial" w:cs="Arial" w:eastAsia="Arial" w:hAnsi="Arial"/>
                <w:sz w:val="18"/>
                <w:szCs w:val="18"/>
                <w:color w:val="0000EE"/>
              </w:rPr>
            </w:pPr>
            <w:hyperlink w:anchor="page50">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9460" w:type="dxa"/>
            <w:vAlign w:val="bottom"/>
            <w:gridSpan w:val="3"/>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Risk Factors</w:t>
              </w:r>
            </w:hyperlink>
          </w:p>
        </w:tc>
        <w:tc>
          <w:tcPr>
            <w:tcW w:w="740" w:type="dxa"/>
            <w:vAlign w:val="bottom"/>
          </w:tcPr>
          <w:p>
            <w:pPr>
              <w:jc w:val="center"/>
              <w:spacing w:after="0"/>
              <w:rPr>
                <w:rFonts w:ascii="Arial" w:cs="Arial" w:eastAsia="Arial" w:hAnsi="Arial"/>
                <w:sz w:val="18"/>
                <w:szCs w:val="18"/>
                <w:u w:val="single" w:color="auto"/>
                <w:color w:val="0000EE"/>
                <w:w w:val="89"/>
              </w:rPr>
            </w:pPr>
            <w:hyperlink w:anchor="page50">
              <w:r>
                <w:rPr>
                  <w:rFonts w:ascii="Arial" w:cs="Arial" w:eastAsia="Arial" w:hAnsi="Arial"/>
                  <w:sz w:val="18"/>
                  <w:szCs w:val="18"/>
                  <w:u w:val="single" w:color="auto"/>
                  <w:color w:val="0000EE"/>
                  <w:w w:val="89"/>
                </w:rPr>
                <w:t>50</w:t>
              </w:r>
            </w:hyperlink>
          </w:p>
        </w:tc>
      </w:tr>
      <w:tr>
        <w:trPr>
          <w:trHeight w:val="27"/>
        </w:trPr>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Item 2.</w:t>
              </w:r>
            </w:hyperlink>
          </w:p>
        </w:tc>
        <w:tc>
          <w:tcPr>
            <w:tcW w:w="946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Unregistered Sales of Equity Securities and Use of Proceeds</w:t>
              </w:r>
            </w:hyperlink>
          </w:p>
        </w:tc>
        <w:tc>
          <w:tcPr>
            <w:tcW w:w="74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52">
              <w:r>
                <w:rPr>
                  <w:rFonts w:ascii="Arial" w:cs="Arial" w:eastAsia="Arial" w:hAnsi="Arial"/>
                  <w:sz w:val="18"/>
                  <w:szCs w:val="18"/>
                  <w:u w:val="single" w:color="auto"/>
                  <w:color w:val="0000EE"/>
                  <w:w w:val="89"/>
                </w:rPr>
                <w:t>52</w:t>
              </w:r>
            </w:hyperlink>
          </w:p>
        </w:tc>
      </w:tr>
      <w:tr>
        <w:trPr>
          <w:trHeight w:val="243"/>
        </w:trPr>
        <w:tc>
          <w:tcPr>
            <w:tcW w:w="1040" w:type="dxa"/>
            <w:vAlign w:val="bottom"/>
          </w:tcPr>
          <w:p>
            <w:pPr>
              <w:ind w:left="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Item 3.</w:t>
              </w:r>
            </w:hyperlink>
          </w:p>
        </w:tc>
        <w:tc>
          <w:tcPr>
            <w:tcW w:w="9460" w:type="dxa"/>
            <w:vAlign w:val="bottom"/>
            <w:gridSpan w:val="3"/>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Defaults Upon Senior Securities</w:t>
              </w:r>
            </w:hyperlink>
          </w:p>
        </w:tc>
        <w:tc>
          <w:tcPr>
            <w:tcW w:w="740" w:type="dxa"/>
            <w:vAlign w:val="bottom"/>
          </w:tcPr>
          <w:p>
            <w:pPr>
              <w:jc w:val="center"/>
              <w:spacing w:after="0"/>
              <w:rPr>
                <w:rFonts w:ascii="Arial" w:cs="Arial" w:eastAsia="Arial" w:hAnsi="Arial"/>
                <w:sz w:val="18"/>
                <w:szCs w:val="18"/>
                <w:u w:val="single" w:color="auto"/>
                <w:color w:val="0000EE"/>
                <w:w w:val="89"/>
              </w:rPr>
            </w:pPr>
            <w:hyperlink w:anchor="page52">
              <w:r>
                <w:rPr>
                  <w:rFonts w:ascii="Arial" w:cs="Arial" w:eastAsia="Arial" w:hAnsi="Arial"/>
                  <w:sz w:val="18"/>
                  <w:szCs w:val="18"/>
                  <w:u w:val="single" w:color="auto"/>
                  <w:color w:val="0000EE"/>
                  <w:w w:val="89"/>
                </w:rPr>
                <w:t>52</w:t>
              </w:r>
            </w:hyperlink>
          </w:p>
        </w:tc>
      </w:tr>
      <w:tr>
        <w:trPr>
          <w:trHeight w:val="27"/>
        </w:trPr>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Item 4.</w:t>
              </w:r>
            </w:hyperlink>
          </w:p>
        </w:tc>
        <w:tc>
          <w:tcPr>
            <w:tcW w:w="946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Mine Safety Disclosure</w:t>
              </w:r>
            </w:hyperlink>
          </w:p>
        </w:tc>
        <w:tc>
          <w:tcPr>
            <w:tcW w:w="74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52">
              <w:r>
                <w:rPr>
                  <w:rFonts w:ascii="Arial" w:cs="Arial" w:eastAsia="Arial" w:hAnsi="Arial"/>
                  <w:sz w:val="18"/>
                  <w:szCs w:val="18"/>
                  <w:u w:val="single" w:color="auto"/>
                  <w:color w:val="0000EE"/>
                  <w:w w:val="89"/>
                </w:rPr>
                <w:t>52</w:t>
              </w:r>
            </w:hyperlink>
          </w:p>
        </w:tc>
      </w:tr>
      <w:tr>
        <w:trPr>
          <w:trHeight w:val="243"/>
        </w:trPr>
        <w:tc>
          <w:tcPr>
            <w:tcW w:w="1040" w:type="dxa"/>
            <w:vAlign w:val="bottom"/>
          </w:tcPr>
          <w:p>
            <w:pPr>
              <w:ind w:left="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Item 5.</w:t>
              </w:r>
            </w:hyperlink>
          </w:p>
        </w:tc>
        <w:tc>
          <w:tcPr>
            <w:tcW w:w="9460" w:type="dxa"/>
            <w:vAlign w:val="bottom"/>
            <w:gridSpan w:val="3"/>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Other Information</w:t>
              </w:r>
            </w:hyperlink>
          </w:p>
        </w:tc>
        <w:tc>
          <w:tcPr>
            <w:tcW w:w="740" w:type="dxa"/>
            <w:vAlign w:val="bottom"/>
          </w:tcPr>
          <w:p>
            <w:pPr>
              <w:jc w:val="center"/>
              <w:spacing w:after="0"/>
              <w:rPr>
                <w:rFonts w:ascii="Arial" w:cs="Arial" w:eastAsia="Arial" w:hAnsi="Arial"/>
                <w:sz w:val="18"/>
                <w:szCs w:val="18"/>
                <w:u w:val="single" w:color="auto"/>
                <w:color w:val="0000EE"/>
                <w:w w:val="89"/>
              </w:rPr>
            </w:pPr>
            <w:hyperlink w:anchor="page52">
              <w:r>
                <w:rPr>
                  <w:rFonts w:ascii="Arial" w:cs="Arial" w:eastAsia="Arial" w:hAnsi="Arial"/>
                  <w:sz w:val="18"/>
                  <w:szCs w:val="18"/>
                  <w:u w:val="single" w:color="auto"/>
                  <w:color w:val="0000EE"/>
                  <w:w w:val="89"/>
                </w:rPr>
                <w:t>52</w:t>
              </w:r>
            </w:hyperlink>
          </w:p>
        </w:tc>
      </w:tr>
      <w:tr>
        <w:trPr>
          <w:trHeight w:val="27"/>
        </w:trPr>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6.</w:t>
              </w:r>
            </w:hyperlink>
          </w:p>
        </w:tc>
        <w:tc>
          <w:tcPr>
            <w:tcW w:w="946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Exhibits</w:t>
              </w:r>
            </w:hyperlink>
          </w:p>
        </w:tc>
        <w:tc>
          <w:tcPr>
            <w:tcW w:w="74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53">
              <w:r>
                <w:rPr>
                  <w:rFonts w:ascii="Arial" w:cs="Arial" w:eastAsia="Arial" w:hAnsi="Arial"/>
                  <w:sz w:val="18"/>
                  <w:szCs w:val="18"/>
                  <w:u w:val="single" w:color="auto"/>
                  <w:color w:val="0000EE"/>
                  <w:w w:val="89"/>
                </w:rPr>
                <w:t>53</w:t>
              </w:r>
            </w:hyperlink>
          </w:p>
        </w:tc>
      </w:tr>
      <w:tr>
        <w:trPr>
          <w:trHeight w:val="270"/>
        </w:trPr>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50"/>
        </w:trPr>
        <w:tc>
          <w:tcPr>
            <w:tcW w:w="10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Signatures</w:t>
              </w:r>
            </w:hyperlink>
          </w:p>
        </w:tc>
        <w:tc>
          <w:tcPr>
            <w:tcW w:w="680" w:type="dxa"/>
            <w:vAlign w:val="bottom"/>
            <w:tcBorders>
              <w:bottom w:val="single" w:sz="8" w:color="CCEEFF"/>
            </w:tcBorders>
            <w:shd w:val="clear" w:color="auto" w:fill="CCEEFF"/>
          </w:tcPr>
          <w:p>
            <w:pPr>
              <w:spacing w:after="0"/>
              <w:rPr>
                <w:sz w:val="21"/>
                <w:szCs w:val="21"/>
                <w:color w:val="auto"/>
              </w:rPr>
            </w:pPr>
          </w:p>
        </w:tc>
        <w:tc>
          <w:tcPr>
            <w:tcW w:w="8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54">
              <w:r>
                <w:rPr>
                  <w:rFonts w:ascii="Arial" w:cs="Arial" w:eastAsia="Arial" w:hAnsi="Arial"/>
                  <w:sz w:val="18"/>
                  <w:szCs w:val="18"/>
                  <w:u w:val="single" w:color="auto"/>
                  <w:color w:val="0000EE"/>
                  <w:w w:val="89"/>
                </w:rPr>
                <w:t>54</w:t>
              </w:r>
            </w:hyperlink>
          </w:p>
        </w:tc>
      </w:tr>
      <w:tr>
        <w:trPr>
          <w:trHeight w:val="648"/>
        </w:trPr>
        <w:tc>
          <w:tcPr>
            <w:tcW w:w="1040" w:type="dxa"/>
            <w:vAlign w:val="bottom"/>
          </w:tcPr>
          <w:p>
            <w:pPr>
              <w:spacing w:after="0"/>
              <w:rPr>
                <w:sz w:val="24"/>
                <w:szCs w:val="24"/>
                <w:color w:val="auto"/>
              </w:rPr>
            </w:pPr>
          </w:p>
        </w:tc>
        <w:tc>
          <w:tcPr>
            <w:tcW w:w="9380" w:type="dxa"/>
            <w:vAlign w:val="bottom"/>
            <w:gridSpan w:val="2"/>
          </w:tcPr>
          <w:p>
            <w:pPr>
              <w:ind w:left="45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actual results may differ materially from those expressed in, or implied by, the forward-looking statements included in this Quarterly Report as a result of various factors, many of which are beyond our control, including, among others:</w:t>
      </w:r>
    </w:p>
    <w:p>
      <w:pPr>
        <w:spacing w:after="0" w:line="224" w:lineRule="exact"/>
        <w:rPr>
          <w:sz w:val="20"/>
          <w:szCs w:val="20"/>
          <w:color w:val="auto"/>
        </w:rPr>
      </w:pPr>
    </w:p>
    <w:p>
      <w:pPr>
        <w:ind w:left="820" w:hanging="488"/>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inherent uncertainty of estimating reserves and the possibility that incurred losses may be greater than our loss and loss adjustment expense reserves;</w:t>
      </w:r>
    </w:p>
    <w:p>
      <w:pPr>
        <w:spacing w:after="0" w:line="62"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inaccurate estimates and judgments in our risk management may expose us to greater risks than intended;</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loss of key members of our management team or key employees and our ability to attract and retain personnel;</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adverse economic factors resulting in the sale of fewer policies than expected or an increase in the frequency or severity of claims, or both;</w:t>
      </w:r>
    </w:p>
    <w:p>
      <w:pPr>
        <w:spacing w:after="0" w:line="140" w:lineRule="exact"/>
        <w:rPr>
          <w:rFonts w:ascii="Arial" w:cs="Arial" w:eastAsia="Arial" w:hAnsi="Arial"/>
          <w:sz w:val="16"/>
          <w:szCs w:val="16"/>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decline in our financial strength rating resulting in a reduction of new or renewal business;</w:t>
      </w:r>
    </w:p>
    <w:p>
      <w:pPr>
        <w:spacing w:after="0" w:line="117" w:lineRule="exact"/>
        <w:rPr>
          <w:rFonts w:ascii="Arial" w:cs="Arial" w:eastAsia="Arial" w:hAnsi="Arial"/>
          <w:sz w:val="18"/>
          <w:szCs w:val="18"/>
          <w:color w:val="auto"/>
        </w:rPr>
      </w:pPr>
    </w:p>
    <w:p>
      <w:pPr>
        <w:ind w:left="820" w:right="60" w:hanging="488"/>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reliance on a select group of brokers and agents for a significant portion of our business and the impact of our potential failure to maintain, such relationships;</w:t>
      </w:r>
    </w:p>
    <w:p>
      <w:pPr>
        <w:spacing w:after="0" w:line="62" w:lineRule="exact"/>
        <w:rPr>
          <w:rFonts w:ascii="Arial" w:cs="Arial" w:eastAsia="Arial" w:hAnsi="Arial"/>
          <w:sz w:val="18"/>
          <w:szCs w:val="18"/>
          <w:color w:val="auto"/>
        </w:rPr>
      </w:pPr>
    </w:p>
    <w:p>
      <w:pPr>
        <w:ind w:left="820" w:right="20" w:hanging="488"/>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reliance on a select group of customers for a significant portion of our business and the impact of our potential failure to maintain, or decision to terminate, such relationships;</w:t>
      </w:r>
    </w:p>
    <w:p>
      <w:pPr>
        <w:spacing w:after="0" w:line="62" w:lineRule="exact"/>
        <w:rPr>
          <w:rFonts w:ascii="Arial" w:cs="Arial" w:eastAsia="Arial" w:hAnsi="Arial"/>
          <w:sz w:val="18"/>
          <w:szCs w:val="18"/>
          <w:color w:val="auto"/>
        </w:rPr>
      </w:pPr>
    </w:p>
    <w:p>
      <w:pPr>
        <w:ind w:left="820" w:right="320" w:hanging="488"/>
        <w:spacing w:after="0" w:line="263"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losses resulting from reinsurance counterparties failing to pay us on reinsurance claims, insurance companies with whom we have a fronting arrangement failing to pay us for claims, or an insured group of companies with whom we have an indemnification arrangement failing to perform their reimbursement obligations;</w:t>
      </w:r>
    </w:p>
    <w:p>
      <w:pPr>
        <w:spacing w:after="0" w:line="75"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laws or government regulation, including tax or insurance law and regulations;</w:t>
      </w:r>
    </w:p>
    <w:p>
      <w:pPr>
        <w:spacing w:after="0" w:line="117" w:lineRule="exact"/>
        <w:rPr>
          <w:rFonts w:ascii="Arial" w:cs="Arial" w:eastAsia="Arial" w:hAnsi="Arial"/>
          <w:sz w:val="18"/>
          <w:szCs w:val="18"/>
          <w:color w:val="auto"/>
        </w:rPr>
      </w:pPr>
    </w:p>
    <w:p>
      <w:pPr>
        <w:ind w:left="820" w:right="160" w:hanging="488"/>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ongoing effect of Public Law No. 115-97, informally titled the Tax Cuts and Jobs Act, which may have a significant effect on us including, among other things, by potentially increasing our tax rate, as well as taxes on our shareholders;</w:t>
      </w:r>
    </w:p>
    <w:p>
      <w:pPr>
        <w:spacing w:after="0" w:line="62" w:lineRule="exact"/>
        <w:rPr>
          <w:rFonts w:ascii="Arial" w:cs="Arial" w:eastAsia="Arial" w:hAnsi="Arial"/>
          <w:sz w:val="18"/>
          <w:szCs w:val="18"/>
          <w:color w:val="auto"/>
        </w:rPr>
      </w:pPr>
    </w:p>
    <w:p>
      <w:pPr>
        <w:ind w:left="820" w:right="80" w:hanging="488"/>
        <w:spacing w:after="0" w:line="342"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spacing w:after="0" w:line="15" w:lineRule="exact"/>
        <w:rPr>
          <w:rFonts w:ascii="Arial" w:cs="Arial" w:eastAsia="Arial" w:hAnsi="Arial"/>
          <w:sz w:val="16"/>
          <w:szCs w:val="16"/>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or any of its foreign subsidiaries becoming subject to U.S. federal income taxation;</w:t>
      </w:r>
    </w:p>
    <w:p>
      <w:pPr>
        <w:spacing w:after="0" w:line="117" w:lineRule="exact"/>
        <w:rPr>
          <w:rFonts w:ascii="Arial" w:cs="Arial" w:eastAsia="Arial" w:hAnsi="Arial"/>
          <w:sz w:val="18"/>
          <w:szCs w:val="18"/>
          <w:color w:val="auto"/>
        </w:rPr>
      </w:pPr>
    </w:p>
    <w:p>
      <w:pPr>
        <w:ind w:left="820" w:right="540" w:hanging="488"/>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failure of any of the loss limitations or exclusions we utilize to shield us from unanticipated financial losses or legal exposures, or other liabilities;</w:t>
      </w:r>
    </w:p>
    <w:p>
      <w:pPr>
        <w:spacing w:after="0" w:line="62" w:lineRule="exact"/>
        <w:rPr>
          <w:rFonts w:ascii="Arial" w:cs="Arial" w:eastAsia="Arial" w:hAnsi="Arial"/>
          <w:sz w:val="18"/>
          <w:szCs w:val="18"/>
          <w:color w:val="auto"/>
        </w:rPr>
      </w:pPr>
    </w:p>
    <w:p>
      <w:pPr>
        <w:ind w:left="820" w:right="540" w:hanging="488"/>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losses from catastrophic events, such as natural disasters and terrorist acts, which substantially exceed our expectations and/or exceed the amount of reinsurance we have purchased to protect us from such events;</w:t>
      </w:r>
    </w:p>
    <w:p>
      <w:pPr>
        <w:spacing w:after="0" w:line="80"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the effects of the COVID-19 pandemic and associated government actions on our operations and financial performance;</w:t>
      </w:r>
    </w:p>
    <w:p>
      <w:pPr>
        <w:spacing w:after="0" w:line="107" w:lineRule="exact"/>
        <w:rPr>
          <w:rFonts w:ascii="Arial" w:cs="Arial" w:eastAsia="Arial" w:hAnsi="Arial"/>
          <w:sz w:val="22"/>
          <w:szCs w:val="22"/>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effects on our business of emerging claim and coverage issues;</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exposure to credit risk, interest rate risk and other market risk in our investment portfolio;</w:t>
      </w:r>
    </w:p>
    <w:p>
      <w:pPr>
        <w:spacing w:after="0" w:line="117" w:lineRule="exact"/>
        <w:rPr>
          <w:rFonts w:ascii="Arial" w:cs="Arial" w:eastAsia="Arial" w:hAnsi="Arial"/>
          <w:sz w:val="18"/>
          <w:szCs w:val="18"/>
          <w:color w:val="auto"/>
        </w:rPr>
      </w:pPr>
    </w:p>
    <w:p>
      <w:pPr>
        <w:ind w:left="820" w:right="520" w:hanging="488"/>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reinsurance coverage at prices and on terms that allow us to transfer risk and adequately protect our company against financial loss;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sectPr>
      </w:pPr>
    </w:p>
    <w:bookmarkStart w:id="3" w:name="page4"/>
    <w:bookmarkEnd w:id="3"/>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internal or external fraud, operational errors, systems malfunctions or cyber security incidents;</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inadequacy of premiums we charge to compensate us for our losses incurred;</w:t>
      </w:r>
    </w:p>
    <w:p>
      <w:pPr>
        <w:spacing w:after="0" w:line="15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effective internal controls in accordance with Sarbanes-Oxley Act of 2002, as amended (“Sarbanes-Oxley”); and</w:t>
      </w:r>
    </w:p>
    <w:p>
      <w:pPr>
        <w:spacing w:after="0" w:line="130"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financial condition, regulations or other factors that may restrict our subsidiaries’ ability to pay us dividends.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 information about these risks and uncertainties, as well as others that may cause actual results to differ materially from those in the forward-looking statements, is contained in our filings with the U.S. Securities and Exchange Commission ("SEC"), including our Annual Report on Form 10-K filed with the SEC on February 27, 2020.</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41"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4"/>
                <w:szCs w:val="14"/>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8"/>
        </w:trPr>
        <w:tc>
          <w:tcPr>
            <w:tcW w:w="8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gridSpan w:val="4"/>
          </w:tcPr>
          <w:p>
            <w:pPr>
              <w:jc w:val="right"/>
              <w:ind w:right="872"/>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5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Invested assets: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Fixed maturity securities, available-for-sale, at fair value (amortized cost: 2020 – $1,540,822; 2019 – $1,398,533)</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1,570,605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1,433,626</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Equity securities, at fair value (cost: 2020 – $77,218; 2019 – $73,244)</w:t>
            </w: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71,394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80,735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Bank loan participations (2020: at fair value; 2019: held-for-investment, at amortized cost, net of allowance)</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260,864</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71,058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156,925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invested assets</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61,210</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Total invested assets</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1,963,642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1,993,360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291,223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206,912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1,107,321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1,199,164</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Accrued investment income</w:t>
            </w: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13,781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13,597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Premiums receivable and agents’ balances, net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312,842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369,462</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Reinsurance recoverable on unpaid losses, net</w:t>
            </w: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691,669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668,045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Reinsurance recoverable on paid losses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33,221</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Prepaid reinsurance premiums</w:t>
            </w: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205,175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178,976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58,618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62,006</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36,791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36,940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181,831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91,716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80,891</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4,996,810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5,024,405</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4"/>
                <w:szCs w:val="14"/>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8"/>
        </w:trPr>
        <w:tc>
          <w:tcPr>
            <w:tcW w:w="8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gridSpan w:val="4"/>
          </w:tcPr>
          <w:p>
            <w:pPr>
              <w:jc w:val="right"/>
              <w:ind w:right="192"/>
              <w:spacing w:after="0"/>
              <w:rPr>
                <w:sz w:val="20"/>
                <w:szCs w:val="20"/>
                <w:color w:val="auto"/>
              </w:rPr>
            </w:pPr>
            <w:r>
              <w:rPr>
                <w:rFonts w:ascii="Arial" w:cs="Arial" w:eastAsia="Arial" w:hAnsi="Arial"/>
                <w:sz w:val="14"/>
                <w:szCs w:val="14"/>
                <w:b w:val="1"/>
                <w:bCs w:val="1"/>
                <w:i w:val="1"/>
                <w:iCs w:val="1"/>
                <w:color w:val="auto"/>
                <w:w w:val="91"/>
              </w:rPr>
              <w:t>(in thousands, except share amounts)</w:t>
            </w:r>
          </w:p>
        </w:tc>
        <w:tc>
          <w:tcPr>
            <w:tcW w:w="0" w:type="dxa"/>
            <w:vAlign w:val="bottom"/>
          </w:tcPr>
          <w:p>
            <w:pPr>
              <w:spacing w:after="0"/>
              <w:rPr>
                <w:sz w:val="1"/>
                <w:szCs w:val="1"/>
                <w:color w:val="auto"/>
              </w:rPr>
            </w:pPr>
          </w:p>
        </w:tc>
      </w:tr>
      <w:tr>
        <w:trPr>
          <w:trHeight w:val="25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Reserve for losses and loss adjustment expenses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2,043,358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2,045,506</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539,564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524,377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Payables to reinsurers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109,499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108,059</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Funds held</w:t>
            </w: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1,107,321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1,199,164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debt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158,300</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Junior subordinated debt</w:t>
            </w: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104,055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104,055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51,808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58,416</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43,588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47,947</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4,276,493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4,245,824</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180"/>
              <w:spacing w:after="0"/>
              <w:rPr>
                <w:sz w:val="20"/>
                <w:szCs w:val="20"/>
                <w:color w:val="auto"/>
              </w:rPr>
            </w:pPr>
            <w:r>
              <w:rPr>
                <w:rFonts w:ascii="Arial" w:cs="Arial" w:eastAsia="Arial" w:hAnsi="Arial"/>
                <w:sz w:val="18"/>
                <w:szCs w:val="18"/>
                <w:color w:val="auto"/>
                <w:w w:val="89"/>
              </w:rPr>
              <w:t>Common Shares – 2020 and 2019: $0.0002 par value; 200,000,000 shares authorized; 30,520,428 and 30,424,391</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shares issued and outstanding, respectively</w:t>
            </w:r>
          </w:p>
        </w:tc>
        <w:tc>
          <w:tcPr>
            <w:tcW w:w="20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Preferred Shares – 2020 and 2019: $0.00125 par value; 20,000,000 shares authorized; no shares issued and</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657,704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657,875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89,586</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31,114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720,317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778,581</w:t>
            </w:r>
          </w:p>
        </w:tc>
        <w:tc>
          <w:tcPr>
            <w:tcW w:w="0" w:type="dxa"/>
            <w:vAlign w:val="bottom"/>
          </w:tcPr>
          <w:p>
            <w:pPr>
              <w:spacing w:after="0"/>
              <w:rPr>
                <w:sz w:val="1"/>
                <w:szCs w:val="1"/>
                <w:color w:val="auto"/>
              </w:rPr>
            </w:pP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4,996,810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5,024,405</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 Income and Comprehensive (Loss) Income (Unaudited)</w:t>
      </w:r>
    </w:p>
    <w:p>
      <w:pPr>
        <w:spacing w:after="0" w:line="200" w:lineRule="exact"/>
        <w:rPr>
          <w:sz w:val="20"/>
          <w:szCs w:val="20"/>
          <w:color w:val="auto"/>
        </w:rPr>
      </w:pPr>
    </w:p>
    <w:p>
      <w:pPr>
        <w:spacing w:after="0" w:line="399"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13335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196"/>
        </w:trPr>
        <w:tc>
          <w:tcPr>
            <w:tcW w:w="8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gridSpan w:val="4"/>
          </w:tcPr>
          <w:p>
            <w:pPr>
              <w:jc w:val="right"/>
              <w:ind w:right="191"/>
              <w:spacing w:after="0"/>
              <w:rPr>
                <w:sz w:val="20"/>
                <w:szCs w:val="20"/>
                <w:color w:val="auto"/>
              </w:rPr>
            </w:pPr>
            <w:r>
              <w:rPr>
                <w:rFonts w:ascii="Arial" w:cs="Arial" w:eastAsia="Arial" w:hAnsi="Arial"/>
                <w:sz w:val="14"/>
                <w:szCs w:val="14"/>
                <w:b w:val="1"/>
                <w:bCs w:val="1"/>
                <w:i w:val="1"/>
                <w:iCs w:val="1"/>
                <w:color w:val="auto"/>
                <w:w w:val="91"/>
              </w:rPr>
              <w:t>(in thousands, except share amounts)</w:t>
            </w:r>
          </w:p>
        </w:tc>
      </w:tr>
      <w:tr>
        <w:trPr>
          <w:trHeight w:val="25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Gross written premiums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283,841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327,334</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 written premiums</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(119,593)</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Net written premiums</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134,654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207,741</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unearned premiums</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(17,589)</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Net earned premiums</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145,918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190,152</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19,431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Net realized and unrealized (losses) gains on investments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(58,407)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1,625</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2,919</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110,284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214,127</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Losses and loss adjustment expenses</w:t>
            </w: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96,856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139,927</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45,752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2,808</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151,502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188,636</w:t>
            </w:r>
          </w:p>
        </w:tc>
      </w:tr>
      <w:tr>
        <w:trPr>
          <w:trHeight w:val="27"/>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taxes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25,491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2,763</w:t>
            </w:r>
          </w:p>
        </w:tc>
      </w:tr>
      <w:tr>
        <w:trPr>
          <w:trHeight w:val="27"/>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22,728</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(losses) gains, net of taxes of $(1,391) in 2020 and $1,446 in 2019</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20,260</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comprehensive (loss)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(40,734)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42,988</w:t>
            </w:r>
          </w:p>
        </w:tc>
      </w:tr>
      <w:tr>
        <w:trPr>
          <w:trHeight w:val="23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data:</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Basic (loss) earnings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0.76</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(loss) earnings per share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0.75</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Dividend declared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0.30</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30,476,307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30,059,398</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30,476,307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30,472,304</w:t>
            </w:r>
          </w:p>
        </w:tc>
      </w:tr>
      <w:tr>
        <w:trPr>
          <w:trHeight w:val="27"/>
        </w:trPr>
        <w:tc>
          <w:tcPr>
            <w:tcW w:w="8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8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2"/>
                <w:szCs w:val="12"/>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3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10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2"/>
              </w:rPr>
              <w:t>Shares (Par)</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Shares</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gridSpan w:val="10"/>
          </w:tcPr>
          <w:p>
            <w:pPr>
              <w:ind w:left="380"/>
              <w:spacing w:after="0"/>
              <w:rPr>
                <w:sz w:val="20"/>
                <w:szCs w:val="20"/>
                <w:color w:val="auto"/>
              </w:rPr>
            </w:pPr>
            <w:r>
              <w:rPr>
                <w:rFonts w:ascii="Arial" w:cs="Arial" w:eastAsia="Arial" w:hAnsi="Arial"/>
                <w:sz w:val="14"/>
                <w:szCs w:val="14"/>
                <w:b w:val="1"/>
                <w:bCs w:val="1"/>
                <w:i w:val="1"/>
                <w:iCs w:val="1"/>
                <w:color w:val="auto"/>
              </w:rPr>
              <w:t>(in thousands, except share amounts)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2019</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30,424,391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657,875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89,586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778,581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Dividends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Vesting of RSUs</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96,037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Compensation expense under share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incentive plans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Cumulative effect of fair value option</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election (see Note 1)</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ind w:left="40"/>
              <w:spacing w:after="0"/>
              <w:rPr>
                <w:sz w:val="20"/>
                <w:szCs w:val="20"/>
                <w:color w:val="auto"/>
              </w:rPr>
            </w:pPr>
            <w:r>
              <w:rPr>
                <w:rFonts w:ascii="Arial" w:cs="Arial" w:eastAsia="Arial" w:hAnsi="Arial"/>
                <w:sz w:val="18"/>
                <w:szCs w:val="18"/>
                <w:color w:val="auto"/>
                <w:w w:val="98"/>
              </w:rPr>
              <w:t>Cumulative effect of adoption of ASU No.</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2016-13 (see Note 1)</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March 31, 2020</w:t>
            </w: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30,520,428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657,704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35,412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720,317</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2018</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29,988,460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645,310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79,753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709,241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22,728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22,728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20,260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Dividends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98,975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Vesting of RSUs</w:t>
            </w: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74,610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 under share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incentive plans</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Adoption of ASU No. 2016-02,</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derecognition of build-to-suit lease</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8,280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8,280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2019</w:t>
            </w: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30,162,045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648,242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2"/>
              </w:rPr>
              <w:t>101,617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4,432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754,297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8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(65,305)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35,450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Securities available-for-sale:</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Purchases – fixed maturity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(130,362)</w:t>
            </w:r>
          </w:p>
        </w:tc>
        <w:tc>
          <w:tcPr>
            <w:tcW w:w="0" w:type="dxa"/>
            <w:vAlign w:val="bottom"/>
          </w:tcPr>
          <w:p>
            <w:pPr>
              <w:spacing w:after="0"/>
              <w:rPr>
                <w:sz w:val="1"/>
                <w:szCs w:val="1"/>
                <w:color w:val="auto"/>
              </w:rPr>
            </w:pPr>
          </w:p>
        </w:tc>
      </w:tr>
      <w:tr>
        <w:trPr>
          <w:trHeight w:val="243"/>
        </w:trPr>
        <w:tc>
          <w:tcPr>
            <w:tcW w:w="8400" w:type="dxa"/>
            <w:vAlign w:val="bottom"/>
          </w:tcPr>
          <w:p>
            <w:pPr>
              <w:ind w:left="200"/>
              <w:spacing w:after="0"/>
              <w:rPr>
                <w:sz w:val="20"/>
                <w:szCs w:val="20"/>
                <w:color w:val="auto"/>
              </w:rPr>
            </w:pPr>
            <w:r>
              <w:rPr>
                <w:rFonts w:ascii="Arial" w:cs="Arial" w:eastAsia="Arial" w:hAnsi="Arial"/>
                <w:sz w:val="18"/>
                <w:szCs w:val="18"/>
                <w:color w:val="auto"/>
              </w:rPr>
              <w:t>Sales – fixed maturity securities</w:t>
            </w: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4,513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45,466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Maturities and calls – fixed maturity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39,215</w:t>
            </w:r>
          </w:p>
        </w:tc>
        <w:tc>
          <w:tcPr>
            <w:tcW w:w="0" w:type="dxa"/>
            <w:vAlign w:val="bottom"/>
          </w:tcPr>
          <w:p>
            <w:pPr>
              <w:spacing w:after="0"/>
              <w:rPr>
                <w:sz w:val="1"/>
                <w:szCs w:val="1"/>
                <w:color w:val="auto"/>
              </w:rPr>
            </w:pPr>
          </w:p>
        </w:tc>
      </w:tr>
      <w:tr>
        <w:trPr>
          <w:trHeight w:val="243"/>
        </w:trPr>
        <w:tc>
          <w:tcPr>
            <w:tcW w:w="8400" w:type="dxa"/>
            <w:vAlign w:val="bottom"/>
          </w:tcPr>
          <w:p>
            <w:pPr>
              <w:ind w:left="200"/>
              <w:spacing w:after="0"/>
              <w:rPr>
                <w:sz w:val="20"/>
                <w:szCs w:val="20"/>
                <w:color w:val="auto"/>
              </w:rPr>
            </w:pPr>
            <w:r>
              <w:rPr>
                <w:rFonts w:ascii="Arial" w:cs="Arial" w:eastAsia="Arial" w:hAnsi="Arial"/>
                <w:sz w:val="18"/>
                <w:szCs w:val="18"/>
                <w:color w:val="auto"/>
              </w:rPr>
              <w:t>Purchases – equity securities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Sales – equity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Bank loan participations: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(21,746)</w:t>
            </w:r>
          </w:p>
        </w:tc>
        <w:tc>
          <w:tcPr>
            <w:tcW w:w="0" w:type="dxa"/>
            <w:vAlign w:val="bottom"/>
          </w:tcPr>
          <w:p>
            <w:pPr>
              <w:spacing w:after="0"/>
              <w:rPr>
                <w:sz w:val="1"/>
                <w:szCs w:val="1"/>
                <w:color w:val="auto"/>
              </w:rPr>
            </w:pPr>
          </w:p>
        </w:tc>
      </w:tr>
      <w:tr>
        <w:trPr>
          <w:trHeight w:val="243"/>
        </w:trPr>
        <w:tc>
          <w:tcPr>
            <w:tcW w:w="8400" w:type="dxa"/>
            <w:vAlign w:val="bottom"/>
          </w:tcPr>
          <w:p>
            <w:pPr>
              <w:ind w:left="200"/>
              <w:spacing w:after="0"/>
              <w:rPr>
                <w:sz w:val="20"/>
                <w:szCs w:val="20"/>
                <w:color w:val="auto"/>
              </w:rPr>
            </w:pPr>
            <w:r>
              <w:rPr>
                <w:rFonts w:ascii="Arial" w:cs="Arial" w:eastAsia="Arial" w:hAnsi="Arial"/>
                <w:sz w:val="18"/>
                <w:szCs w:val="18"/>
                <w:color w:val="auto"/>
              </w:rPr>
              <w:t>Sales</w:t>
            </w: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9,735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Maturities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11,355</w:t>
            </w:r>
          </w:p>
        </w:tc>
        <w:tc>
          <w:tcPr>
            <w:tcW w:w="0" w:type="dxa"/>
            <w:vAlign w:val="bottom"/>
          </w:tcPr>
          <w:p>
            <w:pPr>
              <w:spacing w:after="0"/>
              <w:rPr>
                <w:sz w:val="1"/>
                <w:szCs w:val="1"/>
                <w:color w:val="auto"/>
              </w:rPr>
            </w:pP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Other invested assets: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00" w:type="dxa"/>
            <w:vAlign w:val="bottom"/>
          </w:tcPr>
          <w:p>
            <w:pPr>
              <w:ind w:left="200"/>
              <w:spacing w:after="0"/>
              <w:rPr>
                <w:sz w:val="20"/>
                <w:szCs w:val="20"/>
                <w:color w:val="auto"/>
              </w:rPr>
            </w:pPr>
            <w:r>
              <w:rPr>
                <w:rFonts w:ascii="Arial" w:cs="Arial" w:eastAsia="Arial" w:hAnsi="Arial"/>
                <w:sz w:val="18"/>
                <w:szCs w:val="18"/>
                <w:color w:val="auto"/>
              </w:rPr>
              <w:t>Return of capital</w:t>
            </w: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Redemptions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Short-term investments, net</w:t>
            </w: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85,867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(10,168)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receivable or payable,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14,643</w:t>
            </w:r>
          </w:p>
        </w:tc>
        <w:tc>
          <w:tcPr>
            <w:tcW w:w="0" w:type="dxa"/>
            <w:vAlign w:val="bottom"/>
          </w:tcPr>
          <w:p>
            <w:pPr>
              <w:spacing w:after="0"/>
              <w:rPr>
                <w:sz w:val="1"/>
                <w:szCs w:val="1"/>
                <w:color w:val="auto"/>
              </w:rPr>
            </w:pP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(47,369)</w:t>
            </w:r>
          </w:p>
        </w:tc>
        <w:tc>
          <w:tcPr>
            <w:tcW w:w="0" w:type="dxa"/>
            <w:vAlign w:val="bottom"/>
          </w:tcPr>
          <w:p>
            <w:pPr>
              <w:spacing w:after="0"/>
              <w:rPr>
                <w:sz w:val="1"/>
                <w:szCs w:val="1"/>
                <w:color w:val="auto"/>
              </w:rPr>
            </w:pP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debt issuances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Senior debt repayments</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Issuance of common shares under equity incentive plans</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 repurchases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37"/>
        </w:trPr>
        <w:tc>
          <w:tcPr>
            <w:tcW w:w="840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107,494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(27,986)</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cash equivalents, and restricted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(39,905)</w:t>
            </w:r>
          </w:p>
        </w:tc>
        <w:tc>
          <w:tcPr>
            <w:tcW w:w="0" w:type="dxa"/>
            <w:vAlign w:val="bottom"/>
          </w:tcPr>
          <w:p>
            <w:pPr>
              <w:spacing w:after="0"/>
              <w:rPr>
                <w:sz w:val="1"/>
                <w:szCs w:val="1"/>
                <w:color w:val="auto"/>
              </w:rPr>
            </w:pP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equivalents at beginning of period</w:t>
            </w: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1,406,076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172,457</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equivalents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1,398,544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132,552</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information</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3,248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right="9420" w:firstLine="8"/>
        <w:spacing w:after="0" w:line="400" w:lineRule="auto"/>
        <w:tabs>
          <w:tab w:leader="none" w:pos="305"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Organization</w:t>
      </w:r>
    </w:p>
    <w:p>
      <w:pPr>
        <w:ind w:right="20" w:firstLine="324"/>
        <w:spacing w:after="0" w:line="277" w:lineRule="auto"/>
        <w:rPr>
          <w:sz w:val="20"/>
          <w:szCs w:val="20"/>
          <w:color w:val="auto"/>
        </w:rPr>
      </w:pPr>
      <w:r>
        <w:rPr>
          <w:rFonts w:ascii="Arial" w:cs="Arial" w:eastAsia="Arial" w:hAnsi="Arial"/>
          <w:sz w:val="18"/>
          <w:szCs w:val="18"/>
          <w:color w:val="auto"/>
        </w:rPr>
        <w:t>James River Group Holdings, Ltd. (referred to as “JRG Holdings” or, with its subsidiaries, the “Company”) is an exempted holding company registered in Bermuda, organized for the purpose of acquiring and managing insurance and reinsurance entities.</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owns five insurance companies based in the United States (“U.S.”) focused on specialty insurance niches and two Bermuda-based reinsurance companies as described below:</w:t>
      </w:r>
    </w:p>
    <w:p>
      <w:pPr>
        <w:spacing w:after="0" w:line="62" w:lineRule="exact"/>
        <w:rPr>
          <w:sz w:val="20"/>
          <w:szCs w:val="20"/>
          <w:color w:val="auto"/>
        </w:rPr>
      </w:pPr>
    </w:p>
    <w:p>
      <w:pPr>
        <w:ind w:left="66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James River Group Holdings UK Limited (“James River UK”) is an insurance holding company formed in 2015 in the United Kingdom (“U.K.”). JRG Holdings contributed James River Group, Inc. (“James River Group”), a U.S. insurance holding company, to James River UK in 2015.</w:t>
      </w:r>
    </w:p>
    <w:p>
      <w:pPr>
        <w:spacing w:after="0" w:line="15"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James River Insurance Company is an Ohio domiciled excess and surplus lines insurance company that, with its wholly-owned insurance subsidiary, James River Casualty Company, a Virginia domiciled company, is authorized to write business in every state and the District of Columbia.</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Falls Lake National Insurance Company (“Falls Lake National”) is an Ohio domiciled insurance company which wholly owns Stonewood Insurance Company (“Stonewood Insurance”), a North Carolina domiciled company, and Falls Lake Fire and Casualty Company, a California domiciled company. Falls Lake National and its subsidiaries primarily write specialty admitted fronting and program business and individual risk workers' compensation insurance.</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JRG Reinsurance Company Ltd. (“JRG Re”) was formed in 2007 and commenced operations in 2008. JRG Re, a Bermuda domiciled reinsurer, primarily provides non-catastrophe casualty reinsurance to U.S. third parties and, through December 31, 2017, to the Company’s U.S.-based insurance subsidiaries.</w:t>
      </w:r>
    </w:p>
    <w:p>
      <w:pPr>
        <w:spacing w:after="0" w:line="7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Carolina Re Ltd (“Carolina Re”) was formed in 2018 and as of January 1, 2018 provides reinsurance to the Company’s U.S.-based insurance subsidiaries. Carolina Re is also the cedent on a stop loss reinsurance treaty with JRG 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2019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2019 was derived from the Company’s audited annual consolidated financial statements.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Intercompany transactions and balances have been eliminated.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Preparation of the condensed consolidated financial statements in conformity with U.S. GAAP requires management to make estimates and assumptions that affect the amounts reported in the condensed consolidated financial statements and accompanying disclosures. Those estimates are inherently subject to change, and actual results may ultimately differ from those estimates.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spacing w:after="0" w:line="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$31.3 million and $31.2 million as of March 31, 2020 and December 31, 2019, respectively, representing the Company’s maximum exposure to loss.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 The outbreak of the coronavirus pandemic in the first quarter of 2020 led to significant unrealized losses in our investment portfolio that were recognized in earnings. As a result, the Company had a pre-tax loss of $41.2 million for the three months ended March 31, 2020 and recorded a U.S. federal income tax benefit of $4.4 million. For the three months ended March 31, 2019, our U.S. federal income tax expense was 10.8% of income before taxes.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Standards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 xml:space="preserve">On January 1, 2020, the Company adopted ASU 2016-13, </w:t>
      </w:r>
      <w:r>
        <w:rPr>
          <w:rFonts w:ascii="Arial" w:cs="Arial" w:eastAsia="Arial" w:hAnsi="Arial"/>
          <w:sz w:val="18"/>
          <w:szCs w:val="18"/>
          <w:i w:val="1"/>
          <w:iCs w:val="1"/>
          <w:color w:val="231F20"/>
        </w:rPr>
        <w:t>Financial Instruments - Credit Losses (Topic 326): Measurement of Credit Losses on</w:t>
      </w:r>
      <w:r>
        <w:rPr>
          <w:rFonts w:ascii="Arial" w:cs="Arial" w:eastAsia="Arial" w:hAnsi="Arial"/>
          <w:sz w:val="18"/>
          <w:szCs w:val="18"/>
          <w:color w:val="231F20"/>
        </w:rPr>
        <w:t xml:space="preserve"> </w:t>
      </w:r>
      <w:r>
        <w:rPr>
          <w:rFonts w:ascii="Arial" w:cs="Arial" w:eastAsia="Arial" w:hAnsi="Arial"/>
          <w:sz w:val="18"/>
          <w:szCs w:val="18"/>
          <w:i w:val="1"/>
          <w:iCs w:val="1"/>
          <w:color w:val="231F20"/>
        </w:rPr>
        <w:t>Financial Instruments</w:t>
      </w:r>
      <w:r>
        <w:rPr>
          <w:rFonts w:ascii="Arial" w:cs="Arial" w:eastAsia="Arial" w:hAnsi="Arial"/>
          <w:sz w:val="18"/>
          <w:szCs w:val="18"/>
          <w:color w:val="231F20"/>
        </w:rPr>
        <w:t>, using the modified retrospective approach, by which a cumulative-effect adjustment was made to retained earnings as of the date of</w:t>
      </w:r>
      <w:r>
        <w:rPr>
          <w:rFonts w:ascii="Arial" w:cs="Arial" w:eastAsia="Arial" w:hAnsi="Arial"/>
          <w:sz w:val="18"/>
          <w:szCs w:val="18"/>
          <w:i w:val="1"/>
          <w:iCs w:val="1"/>
          <w:color w:val="231F20"/>
        </w:rPr>
        <w:t xml:space="preserve"> </w:t>
      </w:r>
      <w:r>
        <w:rPr>
          <w:rFonts w:ascii="Arial" w:cs="Arial" w:eastAsia="Arial" w:hAnsi="Arial"/>
          <w:sz w:val="18"/>
          <w:szCs w:val="18"/>
          <w:color w:val="231F20"/>
        </w:rPr>
        <w:t>adoption. This update requires financial assets measured at amortized cost, such as bank loan participations held for investment, to be presented at the net amount expected to be collected by means of an allowance for credit losses that is reflected in net income. Credit losses relating to available-for-sale debt securities are recorded through an allowance for credit losses, with the amount of the allowance limited to the amount by which fair value is below amortized cost.</w:t>
      </w:r>
    </w:p>
    <w:p>
      <w:pPr>
        <w:spacing w:after="0" w:line="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231F20"/>
        </w:rPr>
        <w:t xml:space="preserve">In connection with the adoption of this ASU, the Company elected the fair value option in accounting for bank loan participations effective January 1, 2020. The targeted transition relief offered by ASU 2019-05, </w:t>
      </w:r>
      <w:r>
        <w:rPr>
          <w:rFonts w:ascii="Arial" w:cs="Arial" w:eastAsia="Arial" w:hAnsi="Arial"/>
          <w:sz w:val="16"/>
          <w:szCs w:val="16"/>
          <w:i w:val="1"/>
          <w:iCs w:val="1"/>
          <w:color w:val="231F20"/>
        </w:rPr>
        <w:t>Financial Instruments - Credit Losses (Topic 326): Targeted Transition Relief</w:t>
      </w:r>
      <w:r>
        <w:rPr>
          <w:rFonts w:ascii="Arial" w:cs="Arial" w:eastAsia="Arial" w:hAnsi="Arial"/>
          <w:sz w:val="16"/>
          <w:szCs w:val="16"/>
          <w:color w:val="231F20"/>
        </w:rPr>
        <w:t xml:space="preserve"> was applied to elect the fair value option to account for bank loan participations already held at the January 1, 2020 date of adoption. Under the fair value option, bank loan participations are measured at fair value, and changes in unrealized gains and losses in bank loan participations are reported in our income statement as net realized and unrealized (losses) gains on investments. At adoption on January 1, 2020, the Company reduced the carrying value of its bank loan portfolio to fair value through an $8.4 million adjustment with a $7.8 million (net of tax) cumulative effect adjustment to reduce retained earnings.</w:t>
      </w:r>
    </w:p>
    <w:p>
      <w:pPr>
        <w:spacing w:after="0" w:line="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Upon adoption of this ASU, the Company established an allowance for uncollectible reinsurance balances through a $265,000 (net of tax) cumulative effect adjustment to retained earnings. Because we purchase reinsurance from financially strong reinsurers or we have collateral securing the recoverables, the effect of adoption was not material to our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Company’s available-for-sale fixed maturity securities are summarized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Cost or</w:t>
            </w: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5"/>
          </w:tcPr>
          <w:p>
            <w:pPr>
              <w:ind w:left="76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2020</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State and municipal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173,919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181,375</w:t>
            </w:r>
          </w:p>
        </w:tc>
        <w:tc>
          <w:tcPr>
            <w:tcW w:w="0" w:type="dxa"/>
            <w:vAlign w:val="bottom"/>
          </w:tcPr>
          <w:p>
            <w:pPr>
              <w:spacing w:after="0"/>
              <w:rPr>
                <w:sz w:val="1"/>
                <w:szCs w:val="1"/>
                <w:color w:val="auto"/>
              </w:rPr>
            </w:pPr>
          </w:p>
        </w:tc>
      </w:tr>
      <w:tr>
        <w:trPr>
          <w:trHeight w:val="243"/>
        </w:trPr>
        <w:tc>
          <w:tcPr>
            <w:tcW w:w="5520" w:type="dxa"/>
            <w:vAlign w:val="bottom"/>
          </w:tcPr>
          <w:p>
            <w:pPr>
              <w:ind w:left="20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298,904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9,366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307,439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669,191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685,021</w:t>
            </w:r>
          </w:p>
        </w:tc>
        <w:tc>
          <w:tcPr>
            <w:tcW w:w="0" w:type="dxa"/>
            <w:vAlign w:val="bottom"/>
          </w:tcPr>
          <w:p>
            <w:pPr>
              <w:spacing w:after="0"/>
              <w:rPr>
                <w:sz w:val="1"/>
                <w:szCs w:val="1"/>
                <w:color w:val="auto"/>
              </w:rPr>
            </w:pPr>
          </w:p>
        </w:tc>
      </w:tr>
      <w:tr>
        <w:trPr>
          <w:trHeight w:val="243"/>
        </w:trPr>
        <w:tc>
          <w:tcPr>
            <w:tcW w:w="5520" w:type="dxa"/>
            <w:vAlign w:val="bottom"/>
          </w:tcPr>
          <w:p>
            <w:pPr>
              <w:ind w:left="20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274,448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268,979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securities and obligations guaranteed by the U.S.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government</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122,335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126,023</w:t>
            </w:r>
          </w:p>
        </w:tc>
        <w:tc>
          <w:tcPr>
            <w:tcW w:w="0" w:type="dxa"/>
            <w:vAlign w:val="bottom"/>
          </w:tcPr>
          <w:p>
            <w:pPr>
              <w:spacing w:after="0"/>
              <w:rPr>
                <w:sz w:val="1"/>
                <w:szCs w:val="1"/>
                <w:color w:val="auto"/>
              </w:rPr>
            </w:pPr>
          </w:p>
        </w:tc>
      </w:tr>
      <w:tr>
        <w:trPr>
          <w:trHeight w:val="243"/>
        </w:trPr>
        <w:tc>
          <w:tcPr>
            <w:tcW w:w="5520" w:type="dxa"/>
            <w:vAlign w:val="bottom"/>
          </w:tcPr>
          <w:p>
            <w:pPr>
              <w:ind w:left="200"/>
              <w:spacing w:after="0"/>
              <w:rPr>
                <w:sz w:val="20"/>
                <w:szCs w:val="20"/>
                <w:color w:val="auto"/>
              </w:rPr>
            </w:pPr>
            <w:r>
              <w:rPr>
                <w:rFonts w:ascii="Arial" w:cs="Arial" w:eastAsia="Arial" w:hAnsi="Arial"/>
                <w:sz w:val="18"/>
                <w:szCs w:val="18"/>
                <w:color w:val="auto"/>
              </w:rPr>
              <w:t>Redeemable preferred stock</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1,540,822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44,434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1,570,605</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December 31, 2019</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0"/>
              <w:spacing w:after="0"/>
              <w:rPr>
                <w:sz w:val="20"/>
                <w:szCs w:val="20"/>
                <w:color w:val="auto"/>
              </w:rPr>
            </w:pPr>
            <w:r>
              <w:rPr>
                <w:rFonts w:ascii="Arial" w:cs="Arial" w:eastAsia="Arial" w:hAnsi="Arial"/>
                <w:sz w:val="18"/>
                <w:szCs w:val="18"/>
                <w:color w:val="auto"/>
              </w:rPr>
              <w:t>State and municipal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159,894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7,949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167,101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Residential mortgage-backed</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261,524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264,146</w:t>
            </w:r>
          </w:p>
        </w:tc>
        <w:tc>
          <w:tcPr>
            <w:tcW w:w="0" w:type="dxa"/>
            <w:vAlign w:val="bottom"/>
          </w:tcPr>
          <w:p>
            <w:pPr>
              <w:spacing w:after="0"/>
              <w:rPr>
                <w:sz w:val="1"/>
                <w:szCs w:val="1"/>
                <w:color w:val="auto"/>
              </w:rPr>
            </w:pPr>
          </w:p>
        </w:tc>
      </w:tr>
      <w:tr>
        <w:trPr>
          <w:trHeight w:val="243"/>
        </w:trPr>
        <w:tc>
          <w:tcPr>
            <w:tcW w:w="552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611,304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21,306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632,221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249,309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252,457</w:t>
            </w:r>
          </w:p>
        </w:tc>
        <w:tc>
          <w:tcPr>
            <w:tcW w:w="0" w:type="dxa"/>
            <w:vAlign w:val="bottom"/>
          </w:tcPr>
          <w:p>
            <w:pPr>
              <w:spacing w:after="0"/>
              <w:rPr>
                <w:sz w:val="1"/>
                <w:szCs w:val="1"/>
                <w:color w:val="auto"/>
              </w:rPr>
            </w:pPr>
          </w:p>
        </w:tc>
      </w:tr>
      <w:tr>
        <w:trPr>
          <w:trHeight w:val="229"/>
        </w:trPr>
        <w:tc>
          <w:tcPr>
            <w:tcW w:w="5520" w:type="dxa"/>
            <w:vAlign w:val="bottom"/>
          </w:tcPr>
          <w:p>
            <w:pPr>
              <w:ind w:left="200"/>
              <w:spacing w:after="0"/>
              <w:rPr>
                <w:sz w:val="20"/>
                <w:szCs w:val="20"/>
                <w:color w:val="auto"/>
              </w:rPr>
            </w:pPr>
            <w:r>
              <w:rPr>
                <w:rFonts w:ascii="Arial" w:cs="Arial" w:eastAsia="Arial" w:hAnsi="Arial"/>
                <w:sz w:val="18"/>
                <w:szCs w:val="18"/>
                <w:color w:val="auto"/>
              </w:rPr>
              <w:t>U.S. Treasury securities and obligations guaranteed by the U.S.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government</w:t>
            </w:r>
          </w:p>
        </w:tc>
        <w:tc>
          <w:tcPr>
            <w:tcW w:w="22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114,477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115,667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Redeemable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1,398,533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37,691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1,433,626</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amortized cost and fair value of available-for-sale investments in fixed maturity securities at March 31, 2020 are summarized, by contractual maturity,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Cost or</w:t>
            </w:r>
          </w:p>
        </w:tc>
        <w:tc>
          <w:tcPr>
            <w:tcW w:w="460" w:type="dxa"/>
            <w:vAlign w:val="bottom"/>
          </w:tcPr>
          <w:p>
            <w:pPr>
              <w:spacing w:after="0"/>
              <w:rPr>
                <w:sz w:val="14"/>
                <w:szCs w:val="14"/>
                <w:color w:val="auto"/>
              </w:rPr>
            </w:pPr>
          </w:p>
        </w:tc>
        <w:tc>
          <w:tcPr>
            <w:tcW w:w="9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8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Amortized</w:t>
            </w:r>
          </w:p>
        </w:tc>
        <w:tc>
          <w:tcPr>
            <w:tcW w:w="4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108,264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108,823</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472,749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484,651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253,007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260,236</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After ten years</w:t>
            </w:r>
          </w:p>
        </w:tc>
        <w:tc>
          <w:tcPr>
            <w:tcW w:w="22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131,425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138,709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mortgage-backed</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298,904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307,439</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274,448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268,979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1,540,822</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7"/>
              </w:rPr>
              <w:t>1,570,605</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Actual maturities may differ for some securities because borrowers have the right to call or prepay obligations with or without penalties.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center"/>
              <w:ind w:right="134"/>
              <w:spacing w:after="0"/>
              <w:rPr>
                <w:sz w:val="20"/>
                <w:szCs w:val="20"/>
                <w:color w:val="auto"/>
              </w:rPr>
            </w:pPr>
            <w:r>
              <w:rPr>
                <w:rFonts w:ascii="Arial" w:cs="Arial" w:eastAsia="Arial" w:hAnsi="Arial"/>
                <w:sz w:val="14"/>
                <w:szCs w:val="14"/>
                <w:b w:val="1"/>
                <w:bCs w:val="1"/>
                <w:color w:val="auto"/>
                <w:w w:val="96"/>
              </w:rPr>
              <w:t>12 Months or More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4"/>
                <w:szCs w:val="14"/>
                <w:b w:val="1"/>
                <w:bCs w:val="1"/>
                <w:i w:val="1"/>
                <w:iCs w:val="1"/>
                <w:color w:val="auto"/>
                <w:w w:val="89"/>
              </w:rPr>
              <w:t>(in thousands)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2020</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municipal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33,372</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Residential mortgage-backed</w:t>
            </w:r>
          </w:p>
        </w:tc>
        <w:tc>
          <w:tcPr>
            <w:tcW w:w="2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27,670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Commercial mortgage and asset-backed</w:t>
            </w:r>
          </w:p>
        </w:tc>
        <w:tc>
          <w:tcPr>
            <w:tcW w:w="2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109,143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37,859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147,002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(9,259)</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Redeemable preferred stock</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97"/>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329,071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39,137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368,208</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(14,651)</w:t>
            </w:r>
          </w:p>
        </w:tc>
        <w:tc>
          <w:tcPr>
            <w:tcW w:w="0" w:type="dxa"/>
            <w:vAlign w:val="bottom"/>
          </w:tcPr>
          <w:p>
            <w:pPr>
              <w:spacing w:after="0"/>
              <w:rPr>
                <w:sz w:val="1"/>
                <w:szCs w:val="1"/>
                <w:color w:val="auto"/>
              </w:rPr>
            </w:pPr>
          </w:p>
        </w:tc>
      </w:tr>
      <w:tr>
        <w:trPr>
          <w:trHeight w:val="237"/>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2019</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municipal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30,695</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Residential mortgage-backed</w:t>
            </w:r>
          </w:p>
        </w:tc>
        <w:tc>
          <w:tcPr>
            <w:tcW w:w="2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23,632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37,363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60,995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45,550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Commercial mortgage and asset-backed</w:t>
            </w:r>
          </w:p>
        </w:tc>
        <w:tc>
          <w:tcPr>
            <w:tcW w:w="2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46,434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56,720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103,154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Treasury securities and obligations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guaranteed by the U.S. government</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15,642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7"/>
        </w:trPr>
        <w:tc>
          <w:tcPr>
            <w:tcW w:w="3940" w:type="dxa"/>
            <w:vAlign w:val="bottom"/>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154,118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111,851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265,969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outbreak of the coronavirus pandemic in the first quarter of 2020 and uncertainty around the extent of its economic impact caused severe declines in financial markets which are reflected in the fair values of our investments. At March 31, 2020, the Company held fixed maturity securities of 147 issuers that were in an unrealized loss position with a total fair value of $368.2 million and gross unrealized losses of $14.7 million. None of the fixed maturity securities with unrealized losses has ever missed, or been delinquent on, a scheduled principal or interest payment. At March 31, 2020, 99.6% of the Company’s fixed maturity security portfolio was rated “BBB-” or better (“investment grade”) by Standard &amp; Poor’s or received an equivalent rating from another nationally recognized rating agency. Fixed maturity securities with ratings below investment grade by Standard &amp; Poor’s or another nationally recognized rating agency at March 31, 2020 had an aggregate fair value of $5.6 million and an aggregate net unrealized gain of $17,000.</w:t>
      </w:r>
    </w:p>
    <w:p>
      <w:pPr>
        <w:spacing w:after="0" w:line="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 xml:space="preserve">The Company adopted ASU 2016-13, </w:t>
      </w:r>
      <w:r>
        <w:rPr>
          <w:rFonts w:ascii="Arial" w:cs="Arial" w:eastAsia="Arial" w:hAnsi="Arial"/>
          <w:sz w:val="18"/>
          <w:szCs w:val="18"/>
          <w:i w:val="1"/>
          <w:iCs w:val="1"/>
          <w:color w:val="231F20"/>
        </w:rPr>
        <w:t>Financial Instruments - Credit Losses (Topic 326): Measurement of Credit Losses on Financial Instruments</w:t>
      </w:r>
      <w:r>
        <w:rPr>
          <w:rFonts w:ascii="Arial" w:cs="Arial" w:eastAsia="Arial" w:hAnsi="Arial"/>
          <w:sz w:val="18"/>
          <w:szCs w:val="18"/>
          <w:color w:val="231F20"/>
        </w:rPr>
        <w:t xml:space="preserve"> on January 1, 2020. This update changed the impairment model for available-for-sale fixed maturities and requires the Company to determine whether unrealized losses on available-for-sale fixed maturities are due to credit-related factors. An allowance for credit losses is established for any credit-related impairments, limited to the amount by which fair value is below amortized cost. Changes in the allowance for credit losses are recognized in earnings and included in n</w:t>
      </w:r>
      <w:r>
        <w:rPr>
          <w:rFonts w:ascii="Arial" w:cs="Arial" w:eastAsia="Arial" w:hAnsi="Arial"/>
          <w:sz w:val="18"/>
          <w:szCs w:val="18"/>
          <w:color w:val="000000"/>
        </w:rPr>
        <w:t>et realized and unrealized (losses) gains on investments</w:t>
      </w:r>
      <w:r>
        <w:rPr>
          <w:rFonts w:ascii="Arial" w:cs="Arial" w:eastAsia="Arial" w:hAnsi="Arial"/>
          <w:sz w:val="18"/>
          <w:szCs w:val="18"/>
          <w:color w:val="231F20"/>
        </w:rPr>
        <w:t>. Unrealized losses that are not credit-related will continue to be recognized in other comprehensive income.</w:t>
      </w:r>
    </w:p>
    <w:p>
      <w:pPr>
        <w:spacing w:after="0" w:line="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March 31, 2020. </w:t>
      </w:r>
      <w:r>
        <w:rPr>
          <w:rFonts w:ascii="Arial" w:cs="Arial" w:eastAsia="Arial" w:hAnsi="Arial"/>
          <w:sz w:val="17"/>
          <w:szCs w:val="17"/>
          <w:color w:val="231F20"/>
        </w:rPr>
        <w:t>Management does not intend to sell</w:t>
      </w:r>
      <w:r>
        <w:rPr>
          <w:rFonts w:ascii="Arial" w:cs="Arial" w:eastAsia="Arial" w:hAnsi="Arial"/>
          <w:sz w:val="17"/>
          <w:szCs w:val="17"/>
          <w:color w:val="auto"/>
        </w:rPr>
        <w:t xml:space="preserve"> </w:t>
      </w:r>
      <w:r>
        <w:rPr>
          <w:rFonts w:ascii="Arial" w:cs="Arial" w:eastAsia="Arial" w:hAnsi="Arial"/>
          <w:sz w:val="17"/>
          <w:szCs w:val="17"/>
          <w:color w:val="231F20"/>
        </w:rPr>
        <w:t>the securities in an unrealized loss position, and it is not “more likely than not” that the Company will be required to sell these securities before a recovery in their value to their amortized cost basis occurs.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231F20"/>
        </w:rPr>
        <w:t>Management concluded that none of the fixed maturity securities with an unrealized loss at December 31, 2019 had experienced an other-than-temporary impairment. At March 31, 2019, management concluded that three fixed maturity securities from one issuer that we intended to sell at a loss in the second quarter were impaired. The Company recorded impairment losses on these securities of $271,000 in the three months ended March 31, 2019.</w:t>
      </w:r>
    </w:p>
    <w:p>
      <w:pPr>
        <w:spacing w:after="0" w:line="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 xml:space="preserve">In connection with the adoption of ASU 2016-13, the Company elected the fair value option in accounting for bank loan participations effective January 1, 2020. The targeted transition relief offered by ASU 2019-05, </w:t>
      </w:r>
      <w:r>
        <w:rPr>
          <w:rFonts w:ascii="Arial" w:cs="Arial" w:eastAsia="Arial" w:hAnsi="Arial"/>
          <w:sz w:val="17"/>
          <w:szCs w:val="17"/>
          <w:i w:val="1"/>
          <w:iCs w:val="1"/>
          <w:color w:val="231F20"/>
        </w:rPr>
        <w:t>Financial Instruments - Credit Losses (Topic 326): Targeted Transition Relief</w:t>
      </w:r>
      <w:r>
        <w:rPr>
          <w:rFonts w:ascii="Arial" w:cs="Arial" w:eastAsia="Arial" w:hAnsi="Arial"/>
          <w:sz w:val="17"/>
          <w:szCs w:val="17"/>
          <w:color w:val="231F20"/>
        </w:rPr>
        <w:t xml:space="preserve"> was applied to elect the fair value option to account for bank loan participations already held at the January 1, 2020 date of adoption. Under the fair value option, bank loan participations are measured at fair value, and changes in unrealized gains and losses in bank loan participations are reported in our income statement as net realized and unrealized gains (losses) on investments. At adoption on January 1, 2020, the Company applied the amendments on a modified retrospective basis, reducing the carrying value of its bank loan portfolio to fair value through an $8.4 million adjustment with a $7.8 million (net of tax) cumulative effect adjustment to reduce retained earnings.</w:t>
      </w:r>
    </w:p>
    <w:p>
      <w:pPr>
        <w:spacing w:after="0" w:line="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31F20"/>
        </w:rPr>
        <w:t>Applying the fair value option to the bank loan portfolio will increase volatility in the Company's financial statements, but management believes it is less subjective and less burdensome to implement and maintain than ASU 2016-13, which would have otherwise been required. At March 31, 2020, the Company's bank loan portfolio had an aggregate fair value of $202.9 million and unpaid principal of $260.2 million. Interest income on bank loan participations included in net investment income was $4.1 million and $5.1 million for the three months ended March 31, 2020 and 2019, respectively. Net realized and unrealized (losses) gains on investments includes losses of $43.9 million related to changes in unrealized gains and losses on bank loan participations in the three months ended March 31, 2020 and management concluded that $5.0 million of those losses were due to credit-related impairments. Losses due to credit-related impairments were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spacing w:after="0" w:line="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Prior to the election of the fair value option on January 1, 2020, bank loan participations were classified as held-for-investment and carried at amortized cost net of any allowance for credit losses. Under the prior accounting method, management concluded that seven loans from six issuers in the Company's bank loan portfolio were impaired at December 31, 2019. At December 31, 2019, the impaired loans had a carrying value of $6.9 million, unpaid principal of $14.3 million, and an allowance for credit losses of $7.2 million, $5.1 million of which related to two loans from one issuer who was experiencing liquidity concerns resulting from revenue declines and poor growth prospects in its most profitable segment. Management concluded that two of the loans in the Company’s loan portfolio were impaired at March 31, 2019. At March 31, 2019, the impaired loans had a carrying value of $4.4 million, unpaid principal of $5.9 million, and an allowance for credit losses of $1.5 million.</w:t>
      </w:r>
    </w:p>
    <w:p>
      <w:pPr>
        <w:spacing w:after="0" w:line="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31F20"/>
        </w:rPr>
        <w:t>Bank loan participations generally provide a higher yield than our portfolio of fixed maturities and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231F20"/>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March 31, 2020 or December 31, 2019.</w:t>
      </w:r>
    </w:p>
    <w:p>
      <w:pPr>
        <w:spacing w:after="0" w:line="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The average recorded investment in impaired bank loans was $2.2 million during the three months ended March 31, 2019. No investment income was recognized during the period that the loans were impaired and net realized investment losses of $1.5 million were recorded in the three months ended March 31, 2019 for changes in the fair value of impaired bank loans.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net realized and unrealized gains and losses on investments are summarized as follows:</w:t>
      </w:r>
    </w:p>
    <w:p>
      <w:pPr>
        <w:spacing w:after="0" w:line="271"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13335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196"/>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spacing w:after="0"/>
              <w:rPr>
                <w:sz w:val="17"/>
                <w:szCs w:val="17"/>
                <w:color w:val="auto"/>
              </w:rPr>
            </w:pPr>
          </w:p>
        </w:tc>
      </w:tr>
      <w:tr>
        <w:trPr>
          <w:trHeight w:val="25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177</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losses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37"/>
        </w:trPr>
        <w:tc>
          <w:tcPr>
            <w:tcW w:w="84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loan participations: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losses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Changes in fair values of bank loan participations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(43,947)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(45,153)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(1,679)</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losses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Changes in fair values of equity securities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3,549</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Short-term investments and other:</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gains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Gross realized losses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(58,407)</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1,625</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Realized investment gains or losses are determined on a specific identification basis.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invests selectively in private debt and equity opportunities. These investments, which together comprise the Company’s other invested assets, are primarily focused in renewable energy, limited partnerships, and bank holding companies.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837"/>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center"/>
              <w:ind w:right="353"/>
              <w:spacing w:after="0"/>
              <w:rPr>
                <w:sz w:val="20"/>
                <w:szCs w:val="20"/>
                <w:color w:val="auto"/>
              </w:rPr>
            </w:pPr>
            <w:r>
              <w:rPr>
                <w:rFonts w:ascii="Arial" w:cs="Arial" w:eastAsia="Arial" w:hAnsi="Arial"/>
                <w:sz w:val="14"/>
                <w:szCs w:val="14"/>
                <w:b w:val="1"/>
                <w:bCs w:val="1"/>
                <w:color w:val="auto"/>
                <w:w w:val="93"/>
              </w:rPr>
              <w:t>Investment Income</w:t>
            </w: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3"/>
                <w:szCs w:val="13"/>
                <w:color w:val="auto"/>
              </w:rPr>
            </w:pPr>
          </w:p>
        </w:tc>
        <w:tc>
          <w:tcPr>
            <w:tcW w:w="2340" w:type="dxa"/>
            <w:vAlign w:val="bottom"/>
            <w:gridSpan w:val="4"/>
          </w:tcPr>
          <w:p>
            <w:pPr>
              <w:jc w:val="center"/>
              <w:ind w:right="353"/>
              <w:spacing w:after="0" w:line="153" w:lineRule="exact"/>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5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Renewable energy LLCs </w:t>
            </w:r>
            <w:r>
              <w:rPr>
                <w:rFonts w:ascii="Arial" w:cs="Arial" w:eastAsia="Arial" w:hAnsi="Arial"/>
                <w:sz w:val="18"/>
                <w:szCs w:val="18"/>
                <w:i w:val="1"/>
                <w:iCs w:val="1"/>
                <w:color w:val="auto"/>
              </w:rPr>
              <w:t>(a)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31,305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31,219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Renewable energy notes receivable (</w:t>
            </w:r>
            <w:r>
              <w:rPr>
                <w:rFonts w:ascii="Arial" w:cs="Arial" w:eastAsia="Arial" w:hAnsi="Arial"/>
                <w:sz w:val="18"/>
                <w:szCs w:val="18"/>
                <w:i w:val="1"/>
                <w:iCs w:val="1"/>
                <w:color w:val="auto"/>
              </w:rPr>
              <w:t>b)</w:t>
            </w:r>
          </w:p>
        </w:tc>
        <w:tc>
          <w:tcPr>
            <w:tcW w:w="2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2,680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8,750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Limited partnerships </w:t>
            </w:r>
            <w:r>
              <w:rPr>
                <w:rFonts w:ascii="Arial" w:cs="Arial" w:eastAsia="Arial" w:hAnsi="Arial"/>
                <w:sz w:val="18"/>
                <w:szCs w:val="18"/>
                <w:i w:val="1"/>
                <w:iCs w:val="1"/>
                <w:color w:val="auto"/>
              </w:rPr>
              <w:t>(c)</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9,212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16,741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 xml:space="preserve">Bank holding companies </w:t>
            </w:r>
            <w:r>
              <w:rPr>
                <w:rFonts w:ascii="Arial" w:cs="Arial" w:eastAsia="Arial" w:hAnsi="Arial"/>
                <w:sz w:val="18"/>
                <w:szCs w:val="18"/>
                <w:i w:val="1"/>
                <w:iCs w:val="1"/>
                <w:color w:val="auto"/>
              </w:rPr>
              <w:t>(d)</w:t>
            </w:r>
          </w:p>
        </w:tc>
        <w:tc>
          <w:tcPr>
            <w:tcW w:w="2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invested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47,697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61,210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20" w:hanging="201"/>
        <w:spacing w:after="0" w:line="291" w:lineRule="auto"/>
        <w:rPr>
          <w:sz w:val="20"/>
          <w:szCs w:val="20"/>
          <w:color w:val="auto"/>
        </w:rPr>
      </w:pPr>
      <w:r>
        <w:rPr>
          <w:rFonts w:ascii="Arial" w:cs="Arial" w:eastAsia="Arial" w:hAnsi="Arial"/>
          <w:sz w:val="16"/>
          <w:szCs w:val="16"/>
          <w:color w:val="auto"/>
        </w:rPr>
        <w:t>(a)The Company’s Corporate and Other segment owns equity interests ranging from 2.6% to 32.2% in various LLCs whose principal objective is capital appreciation and income generation from owning and operating renewable energy production facilities (wind and solar). The LLCs are managed by an entity for which two former directors served as officers, and the Company’s Chairman and Chief Executive Officer ("CEO") has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$747,000 and $253,000 in the three months ended March 31, 2020 and 2019, respectively.</w:t>
      </w:r>
    </w:p>
    <w:p>
      <w:pPr>
        <w:sectPr>
          <w:pgSz w:w="11900" w:h="16838" w:orient="portrait"/>
          <w:cols w:equalWidth="0" w:num="1">
            <w:col w:w="11240"/>
          </w:cols>
          <w:pgMar w:left="320" w:top="125" w:right="339" w:bottom="1440" w:gutter="0" w:footer="0" w:header="0"/>
        </w:sect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jc w:val="both"/>
        <w:ind w:left="220" w:hanging="215"/>
        <w:spacing w:after="0" w:line="279" w:lineRule="auto"/>
        <w:rPr>
          <w:sz w:val="20"/>
          <w:szCs w:val="20"/>
          <w:color w:val="auto"/>
        </w:rPr>
      </w:pPr>
      <w:r>
        <w:rPr>
          <w:rFonts w:ascii="Arial" w:cs="Arial" w:eastAsia="Arial" w:hAnsi="Arial"/>
          <w:sz w:val="17"/>
          <w:szCs w:val="17"/>
          <w:color w:val="auto"/>
        </w:rPr>
        <w:t>(b)</w:t>
      </w:r>
      <w:r>
        <w:rPr>
          <w:rFonts w:ascii="Arial" w:cs="Arial" w:eastAsia="Arial" w:hAnsi="Arial"/>
          <w:sz w:val="17"/>
          <w:szCs w:val="17"/>
          <w:color w:val="231F20"/>
        </w:rPr>
        <w:t>The Company's Corporate and Other segment has invested in notes receivable for renewable energy projects. At December 31, 2019, the Company held</w:t>
      </w:r>
      <w:r>
        <w:rPr>
          <w:rFonts w:ascii="Arial" w:cs="Arial" w:eastAsia="Arial" w:hAnsi="Arial"/>
          <w:sz w:val="17"/>
          <w:szCs w:val="17"/>
          <w:color w:val="auto"/>
        </w:rPr>
        <w:t xml:space="preserve"> </w:t>
      </w:r>
      <w:r>
        <w:rPr>
          <w:rFonts w:ascii="Arial" w:cs="Arial" w:eastAsia="Arial" w:hAnsi="Arial"/>
          <w:sz w:val="17"/>
          <w:szCs w:val="17"/>
          <w:color w:val="231F20"/>
        </w:rPr>
        <w:t xml:space="preserve">an $8.8 million note issued by an </w:t>
      </w:r>
      <w:r>
        <w:rPr>
          <w:rFonts w:ascii="Arial" w:cs="Arial" w:eastAsia="Arial" w:hAnsi="Arial"/>
          <w:sz w:val="17"/>
          <w:szCs w:val="17"/>
          <w:color w:val="000000"/>
        </w:rPr>
        <w:t>entity for which two of our former directors serve as officers</w:t>
      </w:r>
      <w:r>
        <w:rPr>
          <w:rFonts w:ascii="Arial" w:cs="Arial" w:eastAsia="Arial" w:hAnsi="Arial"/>
          <w:sz w:val="17"/>
          <w:szCs w:val="17"/>
          <w:color w:val="231F20"/>
        </w:rPr>
        <w:t>. During the three months ended March 31, 2020, the Company received repayment of $6.1 million of the original note principal. Interest on the note, which matures in 2021, is fixed at 15.0%. Interest income on the note was $166,000 and $328,000 for the three months ended March 31, 2020 and 2019, respectively.</w:t>
      </w:r>
    </w:p>
    <w:p>
      <w:pPr>
        <w:spacing w:after="0" w:line="63" w:lineRule="exact"/>
        <w:rPr>
          <w:sz w:val="20"/>
          <w:szCs w:val="20"/>
          <w:color w:val="auto"/>
        </w:rPr>
      </w:pPr>
    </w:p>
    <w:p>
      <w:pPr>
        <w:jc w:val="both"/>
        <w:ind w:left="220" w:hanging="201"/>
        <w:spacing w:after="0" w:line="254" w:lineRule="auto"/>
        <w:rPr>
          <w:sz w:val="20"/>
          <w:szCs w:val="20"/>
          <w:color w:val="auto"/>
        </w:rPr>
      </w:pPr>
      <w:r>
        <w:rPr>
          <w:rFonts w:ascii="Arial" w:cs="Arial" w:eastAsia="Arial" w:hAnsi="Arial"/>
          <w:sz w:val="18"/>
          <w:szCs w:val="18"/>
          <w:color w:val="auto"/>
        </w:rPr>
        <w:t xml:space="preserve">(c)The Company owns investments in limited partnerships that invest in concentrated portfolios including publicly-traded small cap equities, loans of middle market private equity sponsored companies, and tranches of distressed home loans. </w:t>
      </w:r>
      <w:r>
        <w:rPr>
          <w:rFonts w:ascii="Arial" w:cs="Arial" w:eastAsia="Arial" w:hAnsi="Arial"/>
          <w:sz w:val="18"/>
          <w:szCs w:val="18"/>
          <w:color w:val="231F20"/>
        </w:rPr>
        <w:t>Income f</w:t>
      </w:r>
      <w:r>
        <w:rPr>
          <w:rFonts w:ascii="Arial" w:cs="Arial" w:eastAsia="Arial" w:hAnsi="Arial"/>
          <w:sz w:val="18"/>
          <w:szCs w:val="18"/>
          <w:color w:val="auto"/>
        </w:rPr>
        <w:t xml:space="preserve">rom the partnerships is recognized under the equity method of accounting. The Company’s Corporate and Other segment held an investment in a limited partnership with a carrying value of $2.7 million at March 31, 2020. The Company recognized investment losses of $710,000 and investment income of $481,000 on the investment for the three months ended March 31, 2020 and </w:t>
      </w:r>
      <w:r>
        <w:rPr>
          <w:rFonts w:ascii="Arial" w:cs="Arial" w:eastAsia="Arial" w:hAnsi="Arial"/>
          <w:sz w:val="18"/>
          <w:szCs w:val="18"/>
          <w:color w:val="231F20"/>
        </w:rPr>
        <w:t>2019</w:t>
      </w:r>
      <w:r>
        <w:rPr>
          <w:rFonts w:ascii="Arial" w:cs="Arial" w:eastAsia="Arial" w:hAnsi="Arial"/>
          <w:sz w:val="18"/>
          <w:szCs w:val="18"/>
          <w:color w:val="auto"/>
        </w:rPr>
        <w:t xml:space="preserve">, respectively. The Company’s Excess and Surplus Lines segment holds investments in limited partnerships of $6.5 million at March 31, 2020. Investment income of $141,000 and $1.6 million was recognized on the investments for the three months ended March 31, 2020 and </w:t>
      </w:r>
      <w:r>
        <w:rPr>
          <w:rFonts w:ascii="Arial" w:cs="Arial" w:eastAsia="Arial" w:hAnsi="Arial"/>
          <w:sz w:val="18"/>
          <w:szCs w:val="18"/>
          <w:color w:val="231F20"/>
        </w:rPr>
        <w:t>2019</w:t>
      </w:r>
      <w:r>
        <w:rPr>
          <w:rFonts w:ascii="Arial" w:cs="Arial" w:eastAsia="Arial" w:hAnsi="Arial"/>
          <w:sz w:val="18"/>
          <w:szCs w:val="18"/>
          <w:color w:val="auto"/>
        </w:rPr>
        <w:t>, respectively.</w:t>
      </w:r>
    </w:p>
    <w:p>
      <w:pPr>
        <w:spacing w:after="0" w:line="87" w:lineRule="exact"/>
        <w:rPr>
          <w:sz w:val="20"/>
          <w:szCs w:val="20"/>
          <w:color w:val="auto"/>
        </w:rPr>
      </w:pPr>
    </w:p>
    <w:p>
      <w:pPr>
        <w:jc w:val="both"/>
        <w:ind w:left="220" w:hanging="215"/>
        <w:spacing w:after="0" w:line="301" w:lineRule="auto"/>
        <w:rPr>
          <w:sz w:val="20"/>
          <w:szCs w:val="20"/>
          <w:color w:val="auto"/>
        </w:rPr>
      </w:pPr>
      <w:r>
        <w:rPr>
          <w:rFonts w:ascii="Arial" w:cs="Arial" w:eastAsia="Arial" w:hAnsi="Arial"/>
          <w:sz w:val="16"/>
          <w:szCs w:val="16"/>
          <w:color w:val="auto"/>
        </w:rPr>
        <w:t>(d)The Company's Corporate and Other segment holds $4.5 million of subordinated notes issued by a bank holding company for which the Company’s Chairman and CEO was previously the Lead Independent Director and an investor and for which one of the Company’s directors was an investor and is currently a holder of the subordinated notes (the "Bank Holding Company"). Interest on the notes, which mature on August 12, 2023, is fixed at 7.6% per annum. Interest income on the notes was $86,000 in both the three months ended March 31, 2020 and 2019, respectively.</w:t>
      </w:r>
    </w:p>
    <w:p>
      <w:pPr>
        <w:spacing w:after="0" w:line="4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231F20"/>
        </w:rPr>
        <w:t>At March 31, 2020 and December 31, 2019, the Company held an investment in a CLO where one of the underlying loans was issued by the Bank Holding Company. The investment, with a carrying value of $2.3 million at March 31, 2020, is classified as an available-for-sale fixed maturity.</w:t>
      </w:r>
    </w:p>
    <w:p>
      <w:pPr>
        <w:spacing w:after="0" w:line="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Goodwill and Intangible Assets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March 31, 2020 and December 31, 2019.</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gross carrying amounts and accumulated amortization for each major specifically identifiable intangible asset class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836"/>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300" w:type="dxa"/>
            <w:vAlign w:val="bottom"/>
          </w:tcPr>
          <w:p>
            <w:pPr>
              <w:spacing w:after="0"/>
              <w:rPr>
                <w:sz w:val="13"/>
                <w:szCs w:val="13"/>
                <w:color w:val="auto"/>
              </w:rPr>
            </w:pPr>
          </w:p>
        </w:tc>
        <w:tc>
          <w:tcPr>
            <w:tcW w:w="11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12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3"/>
                <w:szCs w:val="13"/>
                <w:color w:val="auto"/>
              </w:rPr>
            </w:pPr>
          </w:p>
        </w:tc>
        <w:tc>
          <w:tcPr>
            <w:tcW w:w="116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6"/>
                <w:szCs w:val="16"/>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160" w:type="dxa"/>
            <w:vAlign w:val="bottom"/>
          </w:tcPr>
          <w:p>
            <w:pPr>
              <w:jc w:val="right"/>
              <w:ind w:right="175"/>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720" w:type="dxa"/>
            <w:vAlign w:val="bottom"/>
            <w:tcBorders>
              <w:top w:val="single" w:sz="8" w:color="auto"/>
            </w:tcBorders>
            <w:gridSpan w:val="5"/>
          </w:tcPr>
          <w:p>
            <w:pPr>
              <w:ind w:left="7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Intangible Assets</w:t>
            </w: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Indefinite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22,200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22,200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licenses and authorities</w:t>
            </w: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Indefinite</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w w:val="98"/>
              </w:rPr>
              <w:t>Identifiable intangibles not subject to amortization</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31,164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31,164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Broker relationships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24.6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11,611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5,984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11,611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5,835</w:t>
            </w:r>
          </w:p>
        </w:tc>
        <w:tc>
          <w:tcPr>
            <w:tcW w:w="0" w:type="dxa"/>
            <w:vAlign w:val="bottom"/>
          </w:tcPr>
          <w:p>
            <w:pPr>
              <w:spacing w:after="0"/>
              <w:rPr>
                <w:sz w:val="1"/>
                <w:szCs w:val="1"/>
                <w:color w:val="auto"/>
              </w:rPr>
            </w:pPr>
          </w:p>
        </w:tc>
      </w:tr>
      <w:tr>
        <w:trPr>
          <w:trHeight w:val="236"/>
        </w:trPr>
        <w:tc>
          <w:tcPr>
            <w:tcW w:w="3940" w:type="dxa"/>
            <w:vAlign w:val="bottom"/>
          </w:tcPr>
          <w:p>
            <w:pPr>
              <w:ind w:left="40"/>
              <w:spacing w:after="0"/>
              <w:rPr>
                <w:sz w:val="20"/>
                <w:szCs w:val="20"/>
                <w:color w:val="auto"/>
              </w:rPr>
            </w:pPr>
            <w:r>
              <w:rPr>
                <w:rFonts w:ascii="Arial" w:cs="Arial" w:eastAsia="Arial" w:hAnsi="Arial"/>
                <w:sz w:val="18"/>
                <w:szCs w:val="18"/>
                <w:color w:val="auto"/>
                <w:w w:val="94"/>
              </w:rPr>
              <w:t>Identifiable intangible assets subject to amortization</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11,611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5,984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11,611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5,835</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9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42,775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42,775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5,835</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16</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Earnings Per Share</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represents a reconciliation of the numerator and denominator of the basic and diluted earnings per share computations contained in the condensed consolidated financial statements:</w:t>
      </w:r>
    </w:p>
    <w:p>
      <w:pPr>
        <w:spacing w:after="0" w:line="216"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156"/>
        </w:trPr>
        <w:tc>
          <w:tcPr>
            <w:tcW w:w="8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20" w:type="dxa"/>
            <w:vAlign w:val="bottom"/>
            <w:gridSpan w:val="4"/>
          </w:tcPr>
          <w:p>
            <w:pPr>
              <w:jc w:val="right"/>
              <w:ind w:right="172"/>
              <w:spacing w:after="0" w:line="156" w:lineRule="exact"/>
              <w:rPr>
                <w:sz w:val="20"/>
                <w:szCs w:val="20"/>
                <w:color w:val="auto"/>
              </w:rPr>
            </w:pPr>
            <w:r>
              <w:rPr>
                <w:rFonts w:ascii="Arial" w:cs="Arial" w:eastAsia="Arial" w:hAnsi="Arial"/>
                <w:sz w:val="14"/>
                <w:szCs w:val="14"/>
                <w:b w:val="1"/>
                <w:bCs w:val="1"/>
                <w:i w:val="1"/>
                <w:iCs w:val="1"/>
                <w:color w:val="auto"/>
                <w:w w:val="90"/>
              </w:rPr>
              <w:t>(in thousands, except share and per share</w:t>
            </w:r>
          </w:p>
        </w:tc>
      </w:tr>
      <w:tr>
        <w:trPr>
          <w:trHeight w:val="188"/>
        </w:trPr>
        <w:tc>
          <w:tcPr>
            <w:tcW w:w="8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3"/>
          </w:tcPr>
          <w:p>
            <w:pPr>
              <w:jc w:val="right"/>
              <w:ind w:right="70"/>
              <w:spacing w:after="0"/>
              <w:rPr>
                <w:sz w:val="20"/>
                <w:szCs w:val="20"/>
                <w:color w:val="auto"/>
              </w:rPr>
            </w:pPr>
            <w:r>
              <w:rPr>
                <w:rFonts w:ascii="Arial" w:cs="Arial" w:eastAsia="Arial" w:hAnsi="Arial"/>
                <w:sz w:val="14"/>
                <w:szCs w:val="14"/>
                <w:b w:val="1"/>
                <w:bCs w:val="1"/>
                <w:i w:val="1"/>
                <w:iCs w:val="1"/>
                <w:color w:val="auto"/>
              </w:rPr>
              <w:t>amounts)</w:t>
            </w:r>
          </w:p>
        </w:tc>
        <w:tc>
          <w:tcPr>
            <w:tcW w:w="1060" w:type="dxa"/>
            <w:vAlign w:val="bottom"/>
          </w:tcPr>
          <w:p>
            <w:pPr>
              <w:spacing w:after="0"/>
              <w:rPr>
                <w:sz w:val="16"/>
                <w:szCs w:val="16"/>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to shareholders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22,728</w:t>
            </w:r>
          </w:p>
        </w:tc>
      </w:tr>
      <w:tr>
        <w:trPr>
          <w:trHeight w:val="324"/>
        </w:trPr>
        <w:tc>
          <w:tcPr>
            <w:tcW w:w="8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30,476,307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30,059,398</w:t>
            </w: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 equivalents</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412,906</w:t>
            </w:r>
          </w:p>
        </w:tc>
      </w:tr>
      <w:tr>
        <w:trPr>
          <w:trHeight w:val="297"/>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30,476,307</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30,472,304</w:t>
            </w:r>
          </w:p>
        </w:tc>
      </w:tr>
      <w:tr>
        <w:trPr>
          <w:trHeight w:val="311"/>
        </w:trPr>
        <w:tc>
          <w:tcPr>
            <w:tcW w:w="8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(Loss) earnings per share:</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0.76</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Common share equivalents</w:t>
            </w:r>
          </w:p>
        </w:tc>
        <w:tc>
          <w:tcPr>
            <w:tcW w:w="2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0.75</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three months ended March 31, 2020 and 2019, common share equivalents of 309,443 and 171,509 shares, respectively, were excluded from the calculations of diluted earnings per share as their effects were anti-dilutive.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Reserve for Losses and Loss Adjustment Expenses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net of reinsurance, to the gross amounts reported in the condensed consolidated balance sheets:</w:t>
      </w:r>
    </w:p>
    <w:p>
      <w:pPr>
        <w:spacing w:after="0" w:line="216"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13335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87" w:lineRule="exact"/>
        <w:rPr>
          <w:sz w:val="20"/>
          <w:szCs w:val="20"/>
          <w:color w:val="auto"/>
        </w:rPr>
      </w:pPr>
    </w:p>
    <w:p>
      <w:pPr>
        <w:ind w:left="8960"/>
        <w:spacing w:after="0"/>
        <w:tabs>
          <w:tab w:leader="none" w:pos="104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23495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 w:lineRule="exact"/>
        <w:rPr>
          <w:sz w:val="20"/>
          <w:szCs w:val="20"/>
          <w:color w:val="auto"/>
        </w:rPr>
      </w:pPr>
    </w:p>
    <w:p>
      <w:pPr>
        <w:ind w:left="9420"/>
        <w:spacing w:after="0"/>
        <w:rPr>
          <w:sz w:val="20"/>
          <w:szCs w:val="20"/>
          <w:color w:val="auto"/>
        </w:rPr>
      </w:pPr>
      <w:r>
        <w:rPr>
          <w:rFonts w:ascii="Arial" w:cs="Arial" w:eastAsia="Arial" w:hAnsi="Arial"/>
          <w:sz w:val="14"/>
          <w:szCs w:val="14"/>
          <w:b w:val="1"/>
          <w:bCs w:val="1"/>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Reserve for losses and loss adjustment expenses net of reinsurance recoverables at beginning of period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1,377,461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1,194,088</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Add: Incurred losses and loss adjustment expenses net of reinsurance: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year</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138,959</w:t>
            </w:r>
          </w:p>
        </w:tc>
        <w:tc>
          <w:tcPr>
            <w:tcW w:w="0" w:type="dxa"/>
            <w:vAlign w:val="bottom"/>
          </w:tcPr>
          <w:p>
            <w:pPr>
              <w:spacing w:after="0"/>
              <w:rPr>
                <w:sz w:val="1"/>
                <w:szCs w:val="1"/>
                <w:color w:val="auto"/>
              </w:rPr>
            </w:pPr>
          </w:p>
        </w:tc>
      </w:tr>
      <w:tr>
        <w:trPr>
          <w:trHeight w:val="243"/>
        </w:trPr>
        <w:tc>
          <w:tcPr>
            <w:tcW w:w="8440" w:type="dxa"/>
            <w:vAlign w:val="bottom"/>
          </w:tcPr>
          <w:p>
            <w:pPr>
              <w:ind w:left="200"/>
              <w:spacing w:after="0"/>
              <w:rPr>
                <w:sz w:val="20"/>
                <w:szCs w:val="20"/>
                <w:color w:val="auto"/>
              </w:rPr>
            </w:pPr>
            <w:r>
              <w:rPr>
                <w:rFonts w:ascii="Arial" w:cs="Arial" w:eastAsia="Arial" w:hAnsi="Arial"/>
                <w:sz w:val="18"/>
                <w:szCs w:val="18"/>
                <w:color w:val="auto"/>
              </w:rPr>
              <w:t>Prior years</w:t>
            </w: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incurred losses and loss and adjustment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139,927</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Deduct: Loss and loss adjustment expense payments net of reinsurance: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year</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43"/>
        </w:trPr>
        <w:tc>
          <w:tcPr>
            <w:tcW w:w="8440" w:type="dxa"/>
            <w:vAlign w:val="bottom"/>
          </w:tcPr>
          <w:p>
            <w:pPr>
              <w:ind w:left="200"/>
              <w:spacing w:after="0"/>
              <w:rPr>
                <w:sz w:val="20"/>
                <w:szCs w:val="20"/>
                <w:color w:val="auto"/>
              </w:rPr>
            </w:pPr>
            <w:r>
              <w:rPr>
                <w:rFonts w:ascii="Arial" w:cs="Arial" w:eastAsia="Arial" w:hAnsi="Arial"/>
                <w:sz w:val="18"/>
                <w:szCs w:val="18"/>
                <w:color w:val="auto"/>
              </w:rPr>
              <w:t>Prior years</w:t>
            </w: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118,357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107,684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loss and loss adjustment expense payments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122,628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112,363</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Reserve for losses and loss adjustment expenses net of reinsurance recoverables at end of period</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1,351,689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1,221,652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Reinsurance recoverables on unpaid losses and loss adjustment expenses at end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691,669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508,655</w:t>
            </w:r>
          </w:p>
        </w:tc>
        <w:tc>
          <w:tcPr>
            <w:tcW w:w="0" w:type="dxa"/>
            <w:vAlign w:val="bottom"/>
          </w:tcPr>
          <w:p>
            <w:pPr>
              <w:spacing w:after="0"/>
              <w:rPr>
                <w:sz w:val="1"/>
                <w:szCs w:val="1"/>
                <w:color w:val="auto"/>
              </w:rPr>
            </w:pPr>
          </w:p>
        </w:tc>
      </w:tr>
      <w:tr>
        <w:trPr>
          <w:trHeight w:val="209"/>
        </w:trPr>
        <w:tc>
          <w:tcPr>
            <w:tcW w:w="8440" w:type="dxa"/>
            <w:vAlign w:val="bottom"/>
          </w:tcPr>
          <w:p>
            <w:pPr>
              <w:ind w:left="40"/>
              <w:spacing w:after="0"/>
              <w:rPr>
                <w:sz w:val="20"/>
                <w:szCs w:val="20"/>
                <w:color w:val="auto"/>
              </w:rPr>
            </w:pPr>
            <w:r>
              <w:rPr>
                <w:rFonts w:ascii="Arial" w:cs="Arial" w:eastAsia="Arial" w:hAnsi="Arial"/>
                <w:sz w:val="18"/>
                <w:szCs w:val="18"/>
                <w:color w:val="auto"/>
                <w:w w:val="94"/>
              </w:rPr>
              <w:t>Reserve for losses and loss adjustment expenses gross of reinsurance recoverables on unpaid losses and loss</w:t>
            </w: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2,043,358</w:t>
            </w:r>
          </w:p>
        </w:tc>
        <w:tc>
          <w:tcPr>
            <w:tcW w:w="10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1,730,307</w:t>
            </w:r>
          </w:p>
        </w:tc>
        <w:tc>
          <w:tcPr>
            <w:tcW w:w="0" w:type="dxa"/>
            <w:vAlign w:val="bottom"/>
          </w:tcPr>
          <w:p>
            <w:pPr>
              <w:spacing w:after="0"/>
              <w:rPr>
                <w:sz w:val="1"/>
                <w:szCs w:val="1"/>
                <w:color w:val="auto"/>
              </w:rPr>
            </w:pPr>
          </w:p>
        </w:tc>
      </w:tr>
      <w:tr>
        <w:trPr>
          <w:trHeight w:val="242"/>
        </w:trPr>
        <w:tc>
          <w:tcPr>
            <w:tcW w:w="8440" w:type="dxa"/>
            <w:vAlign w:val="bottom"/>
          </w:tcPr>
          <w:p>
            <w:pPr>
              <w:ind w:left="40"/>
              <w:spacing w:after="0"/>
              <w:rPr>
                <w:sz w:val="20"/>
                <w:szCs w:val="20"/>
                <w:color w:val="auto"/>
              </w:rPr>
            </w:pPr>
            <w:r>
              <w:rPr>
                <w:rFonts w:ascii="Arial" w:cs="Arial" w:eastAsia="Arial" w:hAnsi="Arial"/>
                <w:sz w:val="18"/>
                <w:szCs w:val="18"/>
                <w:color w:val="auto"/>
              </w:rPr>
              <w:t>adjustment expenses at end of period</w:t>
            </w:r>
          </w:p>
        </w:tc>
        <w:tc>
          <w:tcPr>
            <w:tcW w:w="3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experienced $874,000 of adverse reserve development in the three months ended March 31, 2020 on the reserve for losses and loss adjustment expenses held at December 31, 2019. This reserve development included $3,000 of favorable development in the Excess and Surplus Lines segment, $1.0 million of favorable development in the Specialty Admitted Insurance segment due to favorable development in the workers' compensation business for prior accident years, and $1.9 million of adverse development in the Casualty Reinsurance segment.</w:t>
      </w:r>
    </w:p>
    <w:p>
      <w:pPr>
        <w:spacing w:after="0" w:line="6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experienced $1.0 million of adverse reserve development in the three months ended March 31, 2019 on the reserve for losses and loss adjustment expenses held at December 31, 2018. This reserve development included $10,000 of favorable development in the Excess and Surplus Lines segment. The Specialty Admitted Insurance segment experienced $2.0 million of favorable development due to favorable development in the workers' compensation business for prior accident years. The Company also experienced $3.0 million of adverse development in the Casualty Reinsurance segment primarily related to losses from risk profiles and treaty structures that the Company no longer writes.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(Loss) Income</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components of other comprehensive (loss) income:</w:t>
      </w:r>
    </w:p>
    <w:p>
      <w:pPr>
        <w:spacing w:after="0" w:line="271"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13335</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196"/>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spacing w:after="0"/>
              <w:rPr>
                <w:sz w:val="17"/>
                <w:szCs w:val="17"/>
                <w:color w:val="auto"/>
              </w:rPr>
            </w:pPr>
          </w:p>
        </w:tc>
      </w:tr>
      <w:tr>
        <w:trPr>
          <w:trHeight w:val="25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gains arising during the period, before U.S.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21,478</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U.S. income taxes</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(1,447)</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gains arising during the period, net of U.S.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20,031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Less reclassification adjustment:</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gains (losses)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U.S. income taxes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 for investment gains (losses) realized in net income</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(3,919)</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20,260</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51"/>
        <w:spacing w:after="0" w:line="279" w:lineRule="auto"/>
        <w:rPr>
          <w:sz w:val="20"/>
          <w:szCs w:val="20"/>
          <w:color w:val="auto"/>
        </w:rPr>
      </w:pPr>
      <w:r>
        <w:rPr>
          <w:rFonts w:ascii="Arial" w:cs="Arial" w:eastAsia="Arial" w:hAnsi="Arial"/>
          <w:sz w:val="17"/>
          <w:szCs w:val="17"/>
          <w:color w:val="auto"/>
        </w:rPr>
        <w:t xml:space="preserve">In addition to the $214,000 of net realized investment gains and $228,000 of net realized investment losses on available-for-sale fixed maturities for the three </w:t>
      </w:r>
      <w:r>
        <w:rPr>
          <w:rFonts w:ascii="Arial" w:cs="Arial" w:eastAsia="Arial" w:hAnsi="Arial"/>
          <w:sz w:val="17"/>
          <w:szCs w:val="17"/>
          <w:color w:val="231F20"/>
        </w:rPr>
        <w:t>months ended March 31, 2020</w:t>
      </w:r>
      <w:r>
        <w:rPr>
          <w:rFonts w:ascii="Arial" w:cs="Arial" w:eastAsia="Arial" w:hAnsi="Arial"/>
          <w:sz w:val="17"/>
          <w:szCs w:val="17"/>
          <w:color w:val="auto"/>
        </w:rPr>
        <w:t xml:space="preserve"> and 2019, respectively, the Company also recognized $45.2 million and $1.7 million of net realized and unrealized investment losses in the respective periods on its investments in bank loan participations and $13.5 million of net realized and unrealized losses and $3.5 million of net realized and unrealized gains in the respective periods on its investments in equity securities.</w:t>
      </w:r>
    </w:p>
    <w:p>
      <w:pPr>
        <w:spacing w:after="0" w:line="5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a party to various lawsuits arising in the ordinary course of its operations. The Company believes that the ultimate resolution of these matters will not materially impact its financial position, cash flows, or results of operations.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response to the outbreak of the coronavirus pandemic in the first quarter of 2020, many state and local governments in the United States and around the world have instituted emergency restrictions that have substantially limited the operation of non-essential businesses and the activities of individuals. These restrictions could result in significant adverse effects on our policyholders and many different types of small and mid-sized businesses within the Company’s client base, particularly those in the retail, hospitality and food and beverage industries, among many others. The ultimate effect of COVID-19 on the economy is not known nor is the ultimate length of the restrictions and any accompanying effects. Moreover, the Federal Reserve has taken action to lower the Federal Funds rate and the U.S. equity markets have experienced substantial volatility in reaction to COVID-19, both of which have, along with other factors, placed pressure on net investment income and have resulted in material realized and unrealized losses in our investment portfolio.</w:t>
      </w:r>
    </w:p>
    <w:p>
      <w:pPr>
        <w:spacing w:after="0" w:line="5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effect of COVID-19 and related events could have a negative effect on the Company, including as a result of quarantines, market volatility, market downturns, actions of lawmakers and regulators, changes in consumer behavior, business closures, deterioration in the credit quality of policyholders or the inability of policyholders to pay their premium and deductible obligations to the Company, and deterioration in the credit quality of reinsurers or insurance entities with which we have a fronting arrangement or the inability of insurers or the insurance entities for which we are fronting to pay their obligations to the Company. At the federal and state level, there have been proposals by lawmakers to retroactively amend business interruption insurance policies to cover claims related to COVID-19 when such insurance policies otherwise would exclude such risks. In addition, a number of states have instituted, and other states are considering instituting, changes designed to effectively expand workers’ compensation coverage by creating presumptions of compensability of claims for certain types of workers. If these efforts are successful and enforceable, the Company may be forced to pay claims under policies for which it received inadequate premiums to cover such risks, and therefore the Company’s reserves may be inadequate to pay such claims. At the state level, insurance departments throughout the country have issued bulletins and regulations urging or requiring insurers to extend grace periods for the payment of policy premiums and to refrain from canceling or non-renewing policies for the non-payment of policy premiums for policyholders adversely affected by COVID-19. It is uncertain what impact these government mandates may have on our ability to recover unpaid premiums on the affected policies or what our obligations may be for the payment of claims made under policies for which we have not received premium payments. Further, demand for the insurance policies that the Company offers is highly dependent upon the business environment in the markets in which the Company operates. Given the ongoing and dynamic nature of the circumstances, it is not possible to predict the ultimate impact of the coronavirus outbreak, but it could have a material adverse impact on the business prospects, financial condition or results of operations of the Company.</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JRG Re has entered into three letter of credit facilities with banks as security to third-party reinsureds on reinsurance assumed by JRG Re. JRG Re has established custodial accounts to secure these letters of credit. Under a $75.0 million facility, $20.5 million of letters of credit were issued through March 31, 2020 which were secured by deposits of $36.7 million. Under a $102.5 million facility, $76.0 million of letters of credit were issued through March 31, 2020 which were secured by deposits of $95.5 million. Under a $100.0 million facility, $25.7 million of letters of credit were issued through March 31, 2020 which were secured by deposits of $52.0 million. JRG Re has also established trust accounts to secure its obligations to selected reinsureds. The total amount deposited in the trust accounts for the benefit of third-party reinsureds was $294.9 million at March 31, 2020.</w:t>
      </w:r>
    </w:p>
    <w:p>
      <w:pPr>
        <w:spacing w:after="0" w:line="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previously issued a set of insurance contracts to Rasier LLC and its affiliates (collectively, “Rasier”) under which the Company pays losses and loss adjustment expenses on the contracts. The Company has indemnity agreements with Rasier (non-insurance entities) and is contractually entitled to receive reimbursement for a significant portion of the losses and loss adjustment expenses paid on behalf of Rasier and other expenses incurred by the Company. Rasier is required to collateralize all amounts currently due to the Company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of policy limits liabilities. The collateral is provided through a collateral trust arrangement established in favor of the Company by a captive insurance company affiliate of Rasier.</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permitted under our indemnification agreements with Rasier and the associated trust agreement, we have withdrawn the collateral posted to the trust account. At March 31, 2020, the Company held collateral funds of $1,107.3 million. The funds withdrawn from the trust account, currently invested in short term securities and included in restricted cash equivalents on the Company's consolidated balance sheet, will be used to reimburse the Company for the losses and loss adjustment expenses paid on behalf of Rasier and other related expenses incurred by the Company to the extent not paid as required under the indemnity agreements.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7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has four reportable segments: the Excess and Surplus Lines segment, the Specialty Admitted Insurance segment, the Casualty Reinsurance segment, and the Corporate and Other segment. Segment profit (loss) is measured by underwriting profit (loss), which is generally defined as net earned premiums less loss and loss adjustment expenses and other operating expenses of the operating segments. Included in “other income” on the condensed consolidated statements of (loss) income and comprehensive (loss) income is gross fee income of $1.6 million and $2.7 million that is included in underwriting profit for the three months ended March 31, 2020 and 2019, respectively. Segment results are reported prior to the effects of intercompany reinsurance agreements among the Company’s insurance subsidiaries.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segment results: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3"/>
              <w:spacing w:after="0"/>
              <w:rPr>
                <w:sz w:val="20"/>
                <w:szCs w:val="20"/>
                <w:color w:val="auto"/>
              </w:rPr>
            </w:pPr>
            <w:r>
              <w:rPr>
                <w:rFonts w:ascii="Arial" w:cs="Arial" w:eastAsia="Arial" w:hAnsi="Arial"/>
                <w:sz w:val="14"/>
                <w:szCs w:val="14"/>
                <w:b w:val="1"/>
                <w:bCs w:val="1"/>
                <w:color w:val="auto"/>
                <w:w w:val="88"/>
              </w:rPr>
              <w:t>Excess and</w:t>
            </w:r>
          </w:p>
        </w:tc>
        <w:tc>
          <w:tcPr>
            <w:tcW w:w="340" w:type="dxa"/>
            <w:vAlign w:val="bottom"/>
          </w:tcPr>
          <w:p>
            <w:pPr>
              <w:spacing w:after="0"/>
              <w:rPr>
                <w:sz w:val="14"/>
                <w:szCs w:val="14"/>
                <w:color w:val="auto"/>
              </w:rPr>
            </w:pPr>
          </w:p>
        </w:tc>
        <w:tc>
          <w:tcPr>
            <w:tcW w:w="1140" w:type="dxa"/>
            <w:vAlign w:val="bottom"/>
          </w:tcPr>
          <w:p>
            <w:pPr>
              <w:jc w:val="center"/>
              <w:ind w:right="173"/>
              <w:spacing w:after="0"/>
              <w:rPr>
                <w:sz w:val="20"/>
                <w:szCs w:val="20"/>
                <w:color w:val="auto"/>
              </w:rPr>
            </w:pPr>
            <w:r>
              <w:rPr>
                <w:rFonts w:ascii="Arial" w:cs="Arial" w:eastAsia="Arial" w:hAnsi="Arial"/>
                <w:sz w:val="14"/>
                <w:szCs w:val="14"/>
                <w:b w:val="1"/>
                <w:bCs w:val="1"/>
                <w:color w:val="auto"/>
                <w:w w:val="91"/>
              </w:rPr>
              <w:t>Specialty</w:t>
            </w:r>
          </w:p>
        </w:tc>
        <w:tc>
          <w:tcPr>
            <w:tcW w:w="260" w:type="dxa"/>
            <w:vAlign w:val="bottom"/>
          </w:tcPr>
          <w:p>
            <w:pPr>
              <w:spacing w:after="0"/>
              <w:rPr>
                <w:sz w:val="14"/>
                <w:szCs w:val="14"/>
                <w:color w:val="auto"/>
              </w:rPr>
            </w:pPr>
          </w:p>
        </w:tc>
        <w:tc>
          <w:tcPr>
            <w:tcW w:w="118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2"/>
              </w:rPr>
              <w:t>Casualty</w:t>
            </w:r>
          </w:p>
        </w:tc>
        <w:tc>
          <w:tcPr>
            <w:tcW w:w="320" w:type="dxa"/>
            <w:vAlign w:val="bottom"/>
          </w:tcPr>
          <w:p>
            <w:pPr>
              <w:spacing w:after="0"/>
              <w:rPr>
                <w:sz w:val="14"/>
                <w:szCs w:val="14"/>
                <w:color w:val="auto"/>
              </w:rPr>
            </w:pPr>
          </w:p>
        </w:tc>
        <w:tc>
          <w:tcPr>
            <w:tcW w:w="114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Corporate</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33"/>
              <w:spacing w:after="0" w:line="149" w:lineRule="exact"/>
              <w:rPr>
                <w:sz w:val="20"/>
                <w:szCs w:val="20"/>
                <w:color w:val="auto"/>
              </w:rPr>
            </w:pPr>
            <w:r>
              <w:rPr>
                <w:rFonts w:ascii="Arial" w:cs="Arial" w:eastAsia="Arial" w:hAnsi="Arial"/>
                <w:sz w:val="14"/>
                <w:szCs w:val="14"/>
                <w:b w:val="1"/>
                <w:bCs w:val="1"/>
                <w:color w:val="auto"/>
                <w:w w:val="91"/>
              </w:rPr>
              <w:t>Surplus</w:t>
            </w:r>
          </w:p>
        </w:tc>
        <w:tc>
          <w:tcPr>
            <w:tcW w:w="340" w:type="dxa"/>
            <w:vAlign w:val="bottom"/>
          </w:tcPr>
          <w:p>
            <w:pPr>
              <w:spacing w:after="0"/>
              <w:rPr>
                <w:sz w:val="12"/>
                <w:szCs w:val="12"/>
                <w:color w:val="auto"/>
              </w:rPr>
            </w:pPr>
          </w:p>
        </w:tc>
        <w:tc>
          <w:tcPr>
            <w:tcW w:w="1140" w:type="dxa"/>
            <w:vAlign w:val="bottom"/>
          </w:tcPr>
          <w:p>
            <w:pPr>
              <w:jc w:val="center"/>
              <w:ind w:right="193"/>
              <w:spacing w:after="0" w:line="149" w:lineRule="exact"/>
              <w:rPr>
                <w:sz w:val="20"/>
                <w:szCs w:val="20"/>
                <w:color w:val="auto"/>
              </w:rPr>
            </w:pPr>
            <w:r>
              <w:rPr>
                <w:rFonts w:ascii="Arial" w:cs="Arial" w:eastAsia="Arial" w:hAnsi="Arial"/>
                <w:sz w:val="14"/>
                <w:szCs w:val="14"/>
                <w:b w:val="1"/>
                <w:bCs w:val="1"/>
                <w:color w:val="auto"/>
                <w:w w:val="95"/>
              </w:rPr>
              <w:t>Admitted</w:t>
            </w: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center"/>
              <w:ind w:right="153"/>
              <w:spacing w:after="0" w:line="149" w:lineRule="exact"/>
              <w:rPr>
                <w:sz w:val="20"/>
                <w:szCs w:val="20"/>
                <w:color w:val="auto"/>
              </w:rPr>
            </w:pPr>
            <w:r>
              <w:rPr>
                <w:rFonts w:ascii="Arial" w:cs="Arial" w:eastAsia="Arial" w:hAnsi="Arial"/>
                <w:sz w:val="14"/>
                <w:szCs w:val="14"/>
                <w:b w:val="1"/>
                <w:bCs w:val="1"/>
                <w:color w:val="auto"/>
                <w:w w:val="88"/>
              </w:rPr>
              <w:t>and</w:t>
            </w:r>
          </w:p>
        </w:tc>
        <w:tc>
          <w:tcPr>
            <w:tcW w:w="40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2"/>
              </w:rPr>
              <w:t>Lines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3"/>
              </w:rPr>
              <w:t>Insurance</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2"/>
              </w:rPr>
              <w:t>Reinsurance</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Other</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center"/>
              <w:ind w:right="73"/>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2020</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136,197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102,802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44,842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283,841</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99,739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13,283</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32,896</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145,918</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Underwriting profit (loss) of insurance segments</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8,112</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(988)</w:t>
            </w:r>
          </w:p>
        </w:tc>
        <w:tc>
          <w:tcPr>
            <w:tcW w:w="26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207</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7,941</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928</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11,604</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20,836</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2,876</w:t>
            </w:r>
          </w:p>
        </w:tc>
        <w:tc>
          <w:tcPr>
            <w:tcW w:w="4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83,829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12,673</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13,280</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502</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110,284</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181,831</w:t>
            </w:r>
          </w:p>
        </w:tc>
        <w:tc>
          <w:tcPr>
            <w:tcW w:w="34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2,293,444</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829,699</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1,824,729</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48,938</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4,996,810</w:t>
            </w:r>
          </w:p>
        </w:tc>
        <w:tc>
          <w:tcPr>
            <w:tcW w:w="0" w:type="dxa"/>
            <w:vAlign w:val="bottom"/>
          </w:tcPr>
          <w:p>
            <w:pPr>
              <w:spacing w:after="0"/>
              <w:rPr>
                <w:sz w:val="1"/>
                <w:szCs w:val="1"/>
                <w:color w:val="auto"/>
              </w:rPr>
            </w:pPr>
          </w:p>
        </w:tc>
      </w:tr>
      <w:tr>
        <w:trPr>
          <w:trHeight w:val="297"/>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2019</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186,549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102,953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37,832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327,334</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141,672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12,360</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36,120</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190,152</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Underwriting profit of insurance segments</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13,102</w:t>
            </w:r>
          </w:p>
        </w:tc>
        <w:tc>
          <w:tcPr>
            <w:tcW w:w="34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1,623</w:t>
            </w:r>
          </w:p>
        </w:tc>
        <w:tc>
          <w:tcPr>
            <w:tcW w:w="26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327</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15,052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5,544</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897</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11,172</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1,818</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19,431</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2,808</w:t>
            </w:r>
          </w:p>
        </w:tc>
        <w:tc>
          <w:tcPr>
            <w:tcW w:w="4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152,437</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13,736</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46,010</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1,944</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214,127</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181,831</w:t>
            </w:r>
          </w:p>
        </w:tc>
        <w:tc>
          <w:tcPr>
            <w:tcW w:w="34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1,013,069</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706,451</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1,517,142</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62,589</w:t>
            </w: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3,299,251</w:t>
            </w:r>
          </w:p>
        </w:tc>
        <w:tc>
          <w:tcPr>
            <w:tcW w:w="0" w:type="dxa"/>
            <w:vAlign w:val="bottom"/>
          </w:tcPr>
          <w:p>
            <w:pPr>
              <w:spacing w:after="0"/>
              <w:rPr>
                <w:sz w:val="1"/>
                <w:szCs w:val="1"/>
                <w:color w:val="auto"/>
              </w:rPr>
            </w:pPr>
          </w:p>
        </w:tc>
      </w:tr>
      <w:tr>
        <w:trPr>
          <w:trHeight w:val="27"/>
        </w:trPr>
        <w:tc>
          <w:tcPr>
            <w:tcW w:w="4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reconciles the underwriting profit (loss) of the operating segments by individual segment to consolidated income before taxes:</w:t>
      </w:r>
    </w:p>
    <w:p>
      <w:pPr>
        <w:spacing w:after="0" w:line="282"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13335</wp:posOffset>
            </wp:positionV>
            <wp:extent cx="19202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r>
      <w:tr>
        <w:trPr>
          <w:trHeight w:val="196"/>
        </w:trPr>
        <w:tc>
          <w:tcPr>
            <w:tcW w:w="8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6"/>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profit (loss) of the insurance segments:</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Excess and Surplus Lines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8,112</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13,102</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Admitted Insurance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1,623</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Casualty Reinsurance</w:t>
            </w: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327</w:t>
            </w:r>
          </w:p>
        </w:tc>
      </w:tr>
      <w:tr>
        <w:trPr>
          <w:trHeight w:val="27"/>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underwriting profit of insurance segments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7,331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15,052</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Other operating expenses of the Corporate and Other segment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(8,279)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(7,906)</w:t>
            </w:r>
          </w:p>
        </w:tc>
      </w:tr>
      <w:tr>
        <w:trPr>
          <w:trHeight w:val="27"/>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(loss)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7,146</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20,836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19,431</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and unrealized (losses) gains on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1,625</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(2,808)</w:t>
            </w:r>
          </w:p>
        </w:tc>
      </w:tr>
      <w:tr>
        <w:trPr>
          <w:trHeight w:val="27"/>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(41,218)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25,491</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31"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Other Operating Expenses</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Other operating expenses consist of the following:</w:t>
      </w:r>
    </w:p>
    <w:p>
      <w:pPr>
        <w:spacing w:after="0" w:line="271"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13335</wp:posOffset>
            </wp:positionV>
            <wp:extent cx="19202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r>
      <w:tr>
        <w:trPr>
          <w:trHeight w:val="196"/>
        </w:trPr>
        <w:tc>
          <w:tcPr>
            <w:tcW w:w="8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6"/>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policy acquisition costs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24,116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18,621</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Other underwriting expenses of the operating segments</w:t>
            </w:r>
          </w:p>
        </w:tc>
        <w:tc>
          <w:tcPr>
            <w:tcW w:w="3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19,226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19,225</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expenses of the Corporate and Other segment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8,279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7,906</w:t>
            </w:r>
          </w:p>
        </w:tc>
      </w:tr>
      <w:tr>
        <w:trPr>
          <w:trHeight w:val="257"/>
        </w:trPr>
        <w:tc>
          <w:tcPr>
            <w:tcW w:w="818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51,621</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45,752</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Three levels of inputs are used to measure fair value of financial instruments: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To measure fair value, the Company obtains quoted market prices for its investment securities from its outside investment managers, who utilize independent pricing services. If a quoted market price is not available, the Company uses prices of similar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2018.</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reviews fair value prices provided by its outside investment managers for reasonableness by comparing the fair values provided by the managers to those provided by its investment custodian or other alternative sources.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managers that obtain fair values from independent pricing services.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measured at fair value on a recurring basis as of March 31, 2020 are summarized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4"/>
                <w:szCs w:val="14"/>
                <w:b w:val="1"/>
                <w:bCs w:val="1"/>
                <w:color w:val="auto"/>
                <w:w w:val="93"/>
              </w:rPr>
              <w:t>Fair Value Measurements Using</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4"/>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00" w:type="dxa"/>
            <w:vAlign w:val="bottom"/>
          </w:tcPr>
          <w:p>
            <w:pPr>
              <w:spacing w:after="0"/>
              <w:rPr>
                <w:sz w:val="13"/>
                <w:szCs w:val="13"/>
                <w:color w:val="auto"/>
              </w:rPr>
            </w:pPr>
          </w:p>
        </w:tc>
        <w:tc>
          <w:tcPr>
            <w:tcW w:w="12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 Active</w:t>
            </w:r>
          </w:p>
        </w:tc>
        <w:tc>
          <w:tcPr>
            <w:tcW w:w="2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00" w:type="dxa"/>
            <w:vAlign w:val="bottom"/>
          </w:tcPr>
          <w:p>
            <w:pPr>
              <w:spacing w:after="0"/>
              <w:rPr>
                <w:sz w:val="12"/>
                <w:szCs w:val="12"/>
                <w:color w:val="auto"/>
              </w:rPr>
            </w:pPr>
          </w:p>
        </w:tc>
        <w:tc>
          <w:tcPr>
            <w:tcW w:w="12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Identical</w:t>
            </w:r>
          </w:p>
        </w:tc>
        <w:tc>
          <w:tcPr>
            <w:tcW w:w="200" w:type="dxa"/>
            <w:vAlign w:val="bottom"/>
          </w:tcPr>
          <w:p>
            <w:pPr>
              <w:spacing w:after="0"/>
              <w:rPr>
                <w:sz w:val="12"/>
                <w:szCs w:val="12"/>
                <w:color w:val="auto"/>
              </w:rPr>
            </w:pPr>
          </w:p>
        </w:tc>
        <w:tc>
          <w:tcPr>
            <w:tcW w:w="12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6"/>
              </w:rPr>
              <w:t>Level 1</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6"/>
              </w:rPr>
              <w:t>Level 2</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2"/>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7"/>
          </w:tcPr>
          <w:p>
            <w:pPr>
              <w:jc w:val="center"/>
              <w:ind w:right="28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available-for-sale:</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280"/>
              <w:spacing w:after="0"/>
              <w:rPr>
                <w:sz w:val="20"/>
                <w:szCs w:val="20"/>
                <w:color w:val="auto"/>
              </w:rPr>
            </w:pPr>
            <w:r>
              <w:rPr>
                <w:rFonts w:ascii="Arial" w:cs="Arial" w:eastAsia="Arial" w:hAnsi="Arial"/>
                <w:sz w:val="18"/>
                <w:szCs w:val="18"/>
                <w:color w:val="auto"/>
              </w:rPr>
              <w:t>State and municipal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181,375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181,375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Residential mortgage-backed</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307,439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307,439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28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21"/>
                <w:szCs w:val="21"/>
                <w:color w:val="auto"/>
              </w:rPr>
            </w:pPr>
          </w:p>
        </w:tc>
        <w:tc>
          <w:tcPr>
            <w:tcW w:w="13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685,021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685,021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Commercial mortgage and asset-backed</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268,979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268,979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ind w:left="280"/>
              <w:spacing w:after="0"/>
              <w:rPr>
                <w:sz w:val="20"/>
                <w:szCs w:val="20"/>
                <w:color w:val="auto"/>
              </w:rPr>
            </w:pPr>
            <w:r>
              <w:rPr>
                <w:rFonts w:ascii="Arial" w:cs="Arial" w:eastAsia="Arial" w:hAnsi="Arial"/>
                <w:sz w:val="18"/>
                <w:szCs w:val="18"/>
                <w:color w:val="auto"/>
              </w:rPr>
              <w:t>U.S. Treasury securities and obligations guaranteed by the U.S.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440"/>
              <w:spacing w:after="0"/>
              <w:rPr>
                <w:sz w:val="20"/>
                <w:szCs w:val="20"/>
                <w:color w:val="auto"/>
              </w:rPr>
            </w:pPr>
            <w:r>
              <w:rPr>
                <w:rFonts w:ascii="Arial" w:cs="Arial" w:eastAsia="Arial" w:hAnsi="Arial"/>
                <w:sz w:val="18"/>
                <w:szCs w:val="18"/>
                <w:color w:val="auto"/>
              </w:rPr>
              <w:t>government</w:t>
            </w:r>
          </w:p>
        </w:tc>
        <w:tc>
          <w:tcPr>
            <w:tcW w:w="16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125,580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Redeemable preferred stock</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5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125,580</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1,445,025</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1,570,605</w:t>
            </w: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280"/>
              <w:spacing w:after="0"/>
              <w:rPr>
                <w:sz w:val="20"/>
                <w:szCs w:val="20"/>
                <w:color w:val="auto"/>
              </w:rPr>
            </w:pPr>
            <w:r>
              <w:rPr>
                <w:rFonts w:ascii="Arial" w:cs="Arial" w:eastAsia="Arial" w:hAnsi="Arial"/>
                <w:sz w:val="18"/>
                <w:szCs w:val="18"/>
                <w:color w:val="auto"/>
              </w:rPr>
              <w:t>Preferred stock</w:t>
            </w:r>
          </w:p>
        </w:tc>
        <w:tc>
          <w:tcPr>
            <w:tcW w:w="160" w:type="dxa"/>
            <w:vAlign w:val="bottom"/>
          </w:tcPr>
          <w:p>
            <w:pPr>
              <w:spacing w:after="0"/>
              <w:rPr>
                <w:sz w:val="21"/>
                <w:szCs w:val="21"/>
                <w:color w:val="auto"/>
              </w:rPr>
            </w:pPr>
          </w:p>
        </w:tc>
        <w:tc>
          <w:tcPr>
            <w:tcW w:w="13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60,861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60,861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7,980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2,549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5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equity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7,980</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63,410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71,394</w:t>
            </w: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Bank loan participations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201,860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202,888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71,058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71,058</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40" w:type="dxa"/>
            <w:vAlign w:val="bottom"/>
            <w:gridSpan w:val="11"/>
          </w:tcPr>
          <w:p>
            <w:pPr>
              <w:ind w:left="340"/>
              <w:spacing w:after="0"/>
              <w:rPr>
                <w:sz w:val="20"/>
                <w:szCs w:val="20"/>
                <w:color w:val="auto"/>
              </w:rPr>
            </w:pPr>
            <w:r>
              <w:rPr>
                <w:rFonts w:ascii="Arial" w:cs="Arial" w:eastAsia="Arial" w:hAnsi="Arial"/>
                <w:sz w:val="18"/>
                <w:szCs w:val="18"/>
                <w:color w:val="auto"/>
              </w:rPr>
              <w:t>Assets measured at fair value on a recurring basis as of December 31, 2019 are summarized below:</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5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4"/>
                <w:szCs w:val="14"/>
                <w:b w:val="1"/>
                <w:bCs w:val="1"/>
                <w:color w:val="auto"/>
                <w:w w:val="92"/>
              </w:rPr>
              <w:t>Fair Value Measurements Using</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4"/>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Quoted Prices</w:t>
            </w:r>
          </w:p>
        </w:tc>
        <w:tc>
          <w:tcPr>
            <w:tcW w:w="200" w:type="dxa"/>
            <w:vAlign w:val="bottom"/>
          </w:tcPr>
          <w:p>
            <w:pPr>
              <w:spacing w:after="0"/>
              <w:rPr>
                <w:sz w:val="13"/>
                <w:szCs w:val="13"/>
                <w:color w:val="auto"/>
              </w:rPr>
            </w:pPr>
          </w:p>
        </w:tc>
        <w:tc>
          <w:tcPr>
            <w:tcW w:w="12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 Active</w:t>
            </w:r>
          </w:p>
        </w:tc>
        <w:tc>
          <w:tcPr>
            <w:tcW w:w="2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0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Identical</w:t>
            </w:r>
          </w:p>
        </w:tc>
        <w:tc>
          <w:tcPr>
            <w:tcW w:w="200" w:type="dxa"/>
            <w:vAlign w:val="bottom"/>
          </w:tcPr>
          <w:p>
            <w:pPr>
              <w:spacing w:after="0"/>
              <w:rPr>
                <w:sz w:val="12"/>
                <w:szCs w:val="12"/>
                <w:color w:val="auto"/>
              </w:rPr>
            </w:pPr>
          </w:p>
        </w:tc>
        <w:tc>
          <w:tcPr>
            <w:tcW w:w="12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Level 1</w:t>
            </w:r>
          </w:p>
        </w:tc>
        <w:tc>
          <w:tcPr>
            <w:tcW w:w="200" w:type="dxa"/>
            <w:vAlign w:val="bottom"/>
          </w:tcPr>
          <w:p>
            <w:pPr>
              <w:spacing w:after="0"/>
              <w:rPr>
                <w:sz w:val="16"/>
                <w:szCs w:val="16"/>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6"/>
                <w:szCs w:val="16"/>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Level 3</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gridSpan w:val="7"/>
          </w:tcPr>
          <w:p>
            <w:pPr>
              <w:jc w:val="center"/>
              <w:ind w:right="32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available-for-sale:</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280"/>
              <w:spacing w:after="0"/>
              <w:rPr>
                <w:sz w:val="20"/>
                <w:szCs w:val="20"/>
                <w:color w:val="auto"/>
              </w:rPr>
            </w:pPr>
            <w:r>
              <w:rPr>
                <w:rFonts w:ascii="Arial" w:cs="Arial" w:eastAsia="Arial" w:hAnsi="Arial"/>
                <w:sz w:val="18"/>
                <w:szCs w:val="18"/>
                <w:color w:val="auto"/>
              </w:rPr>
              <w:t>State and municipal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167,101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167,101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Residential mortgage-backed</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264,146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264,146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28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21"/>
                <w:szCs w:val="21"/>
                <w:color w:val="auto"/>
              </w:rPr>
            </w:pPr>
          </w:p>
        </w:tc>
        <w:tc>
          <w:tcPr>
            <w:tcW w:w="13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632,221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632,221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Commercial mortgage and asset-backed</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252,457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252,457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ind w:left="280"/>
              <w:spacing w:after="0"/>
              <w:rPr>
                <w:sz w:val="20"/>
                <w:szCs w:val="20"/>
                <w:color w:val="auto"/>
              </w:rPr>
            </w:pPr>
            <w:r>
              <w:rPr>
                <w:rFonts w:ascii="Arial" w:cs="Arial" w:eastAsia="Arial" w:hAnsi="Arial"/>
                <w:sz w:val="18"/>
                <w:szCs w:val="18"/>
                <w:color w:val="auto"/>
              </w:rPr>
              <w:t>U.S. Treasury securities and obligations guaranteed by the U.S.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440"/>
              <w:spacing w:after="0"/>
              <w:rPr>
                <w:sz w:val="20"/>
                <w:szCs w:val="20"/>
                <w:color w:val="auto"/>
              </w:rPr>
            </w:pPr>
            <w:r>
              <w:rPr>
                <w:rFonts w:ascii="Arial" w:cs="Arial" w:eastAsia="Arial" w:hAnsi="Arial"/>
                <w:sz w:val="18"/>
                <w:szCs w:val="18"/>
                <w:color w:val="auto"/>
              </w:rPr>
              <w:t>government</w:t>
            </w:r>
          </w:p>
        </w:tc>
        <w:tc>
          <w:tcPr>
            <w:tcW w:w="160" w:type="dxa"/>
            <w:vAlign w:val="bottom"/>
          </w:tcPr>
          <w:p>
            <w:pPr>
              <w:spacing w:after="0"/>
              <w:rPr>
                <w:sz w:val="20"/>
                <w:szCs w:val="20"/>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115,173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115,667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Redeemable preferred stock</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115,173</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1,318,453</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1,433,626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280"/>
              <w:spacing w:after="0"/>
              <w:rPr>
                <w:sz w:val="20"/>
                <w:szCs w:val="20"/>
                <w:color w:val="auto"/>
              </w:rPr>
            </w:pPr>
            <w:r>
              <w:rPr>
                <w:rFonts w:ascii="Arial" w:cs="Arial" w:eastAsia="Arial" w:hAnsi="Arial"/>
                <w:sz w:val="18"/>
                <w:szCs w:val="18"/>
                <w:color w:val="auto"/>
              </w:rPr>
              <w:t>Preferred stock</w:t>
            </w:r>
          </w:p>
        </w:tc>
        <w:tc>
          <w:tcPr>
            <w:tcW w:w="160" w:type="dxa"/>
            <w:vAlign w:val="bottom"/>
          </w:tcPr>
          <w:p>
            <w:pPr>
              <w:spacing w:after="0"/>
              <w:rPr>
                <w:sz w:val="21"/>
                <w:szCs w:val="21"/>
                <w:color w:val="auto"/>
              </w:rPr>
            </w:pPr>
          </w:p>
        </w:tc>
        <w:tc>
          <w:tcPr>
            <w:tcW w:w="13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62,747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62,747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14,669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3,276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17,988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equity securities</w:t>
            </w: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14,669</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66,023</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80,735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156,925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156,925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8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25" w:right="339" w:bottom="885"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140" w:firstLine="351"/>
        <w:spacing w:after="0" w:line="263" w:lineRule="auto"/>
        <w:rPr>
          <w:sz w:val="20"/>
          <w:szCs w:val="20"/>
          <w:color w:val="auto"/>
        </w:rPr>
      </w:pPr>
      <w:r>
        <w:rPr>
          <w:rFonts w:ascii="Arial" w:cs="Arial" w:eastAsia="Arial" w:hAnsi="Arial"/>
          <w:sz w:val="18"/>
          <w:szCs w:val="18"/>
          <w:color w:val="auto"/>
        </w:rPr>
        <w:t>A reconciliation of the beginning and ending balances of available-for-sale fixed maturity securities, equity securities, and bank loan participations measured at fair value on a recurring basis (as a result of the fair value option effective January 1, 2020) using significant unobservable inputs (Level 3) is shown below:</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79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7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40" w:type="dxa"/>
            <w:vAlign w:val="bottom"/>
            <w:gridSpan w:val="4"/>
          </w:tcPr>
          <w:p>
            <w:pPr>
              <w:jc w:val="right"/>
              <w:ind w:right="1092"/>
              <w:spacing w:after="0"/>
              <w:rPr>
                <w:sz w:val="20"/>
                <w:szCs w:val="20"/>
                <w:color w:val="auto"/>
              </w:rPr>
            </w:pPr>
            <w:r>
              <w:rPr>
                <w:rFonts w:ascii="Arial" w:cs="Arial" w:eastAsia="Arial" w:hAnsi="Arial"/>
                <w:sz w:val="14"/>
                <w:szCs w:val="14"/>
                <w:b w:val="1"/>
                <w:bCs w:val="1"/>
                <w:i w:val="1"/>
                <w:iCs w:val="1"/>
                <w:color w:val="auto"/>
              </w:rPr>
              <w:t>(in thousands)</w:t>
            </w:r>
          </w:p>
        </w:tc>
      </w:tr>
      <w:tr>
        <w:trPr>
          <w:trHeight w:val="25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4,442</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Transfers out of Level 3</w:t>
            </w:r>
          </w:p>
        </w:tc>
        <w:tc>
          <w:tcPr>
            <w:tcW w:w="20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(4,228)</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Transfers in to Level 3</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Purchases</w:t>
            </w:r>
          </w:p>
        </w:tc>
        <w:tc>
          <w:tcPr>
            <w:tcW w:w="2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Maturities, calls and paydowns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discount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Total gains or losses (realized/unrealized):</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Included in earnings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Included in other comprehensive income</w:t>
            </w:r>
          </w:p>
        </w:tc>
        <w:tc>
          <w:tcPr>
            <w:tcW w:w="20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177</w:t>
            </w: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The Company held one available-for-sale fixed maturity security at December 31, 2018 for which the fair value was determined using significant unobservable inputs (Level 3). A market approach using prices in trades of comparable securities was utilized to determine a fair value of $4.2 million for the security at December 31, 2018. The Company was able to obtain a quoted price from a pricing vendor for the available-for-sale fixed maturity security at March 31, 2019 and it was transferred to Level 2.</w:t>
      </w:r>
    </w:p>
    <w:p>
      <w:pPr>
        <w:spacing w:after="0" w:line="79" w:lineRule="exact"/>
        <w:rPr>
          <w:sz w:val="20"/>
          <w:szCs w:val="20"/>
          <w:color w:val="auto"/>
        </w:rPr>
      </w:pPr>
    </w:p>
    <w:p>
      <w:pPr>
        <w:jc w:val="both"/>
        <w:ind w:firstLine="351"/>
        <w:spacing w:after="0" w:line="293" w:lineRule="auto"/>
        <w:rPr>
          <w:sz w:val="20"/>
          <w:szCs w:val="20"/>
          <w:color w:val="auto"/>
        </w:rPr>
      </w:pPr>
      <w:r>
        <w:rPr>
          <w:rFonts w:ascii="Arial" w:cs="Arial" w:eastAsia="Arial" w:hAnsi="Arial"/>
          <w:sz w:val="16"/>
          <w:szCs w:val="16"/>
          <w:color w:val="auto"/>
        </w:rPr>
        <w:t>At March 31, 2020, the Company held three bank loan participations and two equity securities for which the fair value was determined using significant unobservable inputs (Level 3). At December 31, 2019, the Company held one equity security for which the fair value was determined using significant unobservable inputs (Level 3). A market approach using prices in trades of comparable securities was utilized to determine a fair value for the securities of $1.0 million at March 31, 2020 and $43,000 at December 31, 2019. At March 31, 2019 and December 31, 2018, the Company held one equity security for which the fair value was determined using significant unobservable inputs (Level 3). A market approach using prices in trades of comparable securities was utilized to determine a fair value for the equity securities of $177,000 at March 31, 2019 and $214,000 at December 31, 2018.</w:t>
      </w:r>
    </w:p>
    <w:p>
      <w:pPr>
        <w:spacing w:after="0" w:line="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transfers between Level 1 and Level 2 during the three months ended March 31, 2020 or 2019. The Company recognizes transfers between levels at the beginning of the reporting period.</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231F20"/>
        </w:rPr>
        <w:t>In connection with the adoption of ASU 2016-13, the Company elected the fair value option in accounting for bank loan participations effective January 1, 2020. Prior to the election, bank loan participations were classified as held-for-investment and carried at amortized cost net of any allowance for credit losses. Prior to January 1, 2020, t</w:t>
      </w:r>
      <w:r>
        <w:rPr>
          <w:rFonts w:ascii="Arial" w:cs="Arial" w:eastAsia="Arial" w:hAnsi="Arial"/>
          <w:sz w:val="17"/>
          <w:szCs w:val="17"/>
          <w:color w:val="000000"/>
        </w:rPr>
        <w:t>he Company measured certain bank loan participations at fair value on a non-recurring basis as part of the</w:t>
      </w:r>
      <w:r>
        <w:rPr>
          <w:rFonts w:ascii="Arial" w:cs="Arial" w:eastAsia="Arial" w:hAnsi="Arial"/>
          <w:sz w:val="17"/>
          <w:szCs w:val="17"/>
          <w:color w:val="231F20"/>
        </w:rPr>
        <w:t xml:space="preserve"> </w:t>
      </w:r>
      <w:r>
        <w:rPr>
          <w:rFonts w:ascii="Arial" w:cs="Arial" w:eastAsia="Arial" w:hAnsi="Arial"/>
          <w:sz w:val="17"/>
          <w:szCs w:val="17"/>
          <w:color w:val="000000"/>
        </w:rPr>
        <w:t xml:space="preserve">Company’s impairment evaluation when loans were determined by management to be impaired. Bank loan participations held-for-investment that were determined to be impaired were written down to their fair value </w:t>
      </w:r>
      <w:r>
        <w:rPr>
          <w:rFonts w:ascii="Arial" w:cs="Arial" w:eastAsia="Arial" w:hAnsi="Arial"/>
          <w:sz w:val="17"/>
          <w:szCs w:val="17"/>
          <w:color w:val="231F20"/>
        </w:rPr>
        <w:t>a</w:t>
      </w:r>
      <w:r>
        <w:rPr>
          <w:rFonts w:ascii="Arial" w:cs="Arial" w:eastAsia="Arial" w:hAnsi="Arial"/>
          <w:sz w:val="17"/>
          <w:szCs w:val="17"/>
          <w:color w:val="000000"/>
        </w:rPr>
        <w:t>t December 31, 2019 as shown below:</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Fair Value Measurements Using</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3"/>
                <w:szCs w:val="13"/>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 Active</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2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Level 1</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5"/>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520" w:type="dxa"/>
            <w:vAlign w:val="bottom"/>
          </w:tcPr>
          <w:p>
            <w:pPr>
              <w:ind w:left="40"/>
              <w:spacing w:after="0"/>
              <w:rPr>
                <w:sz w:val="20"/>
                <w:szCs w:val="20"/>
                <w:color w:val="auto"/>
              </w:rPr>
            </w:pPr>
            <w:r>
              <w:rPr>
                <w:rFonts w:ascii="Arial" w:cs="Arial" w:eastAsia="Arial" w:hAnsi="Arial"/>
                <w:sz w:val="18"/>
                <w:szCs w:val="18"/>
                <w:color w:val="auto"/>
              </w:rPr>
              <w:t>Bank loan participations held-for-investment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24"/>
              <w:spacing w:after="0"/>
              <w:rPr>
                <w:sz w:val="20"/>
                <w:szCs w:val="20"/>
                <w:color w:val="auto"/>
              </w:rPr>
            </w:pPr>
            <w:r>
              <w:rPr>
                <w:rFonts w:ascii="Arial" w:cs="Arial" w:eastAsia="Arial" w:hAnsi="Arial"/>
                <w:sz w:val="18"/>
                <w:szCs w:val="18"/>
                <w:color w:val="auto"/>
              </w:rPr>
              <w:t>6,949</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6,949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determination of the fair value for bank loan participations,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March 31, 2020 and December 31, 2019, there were no investments for which external sources were unavailable to determine fair value.</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and fair values of financial instruments are summarized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833"/>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315"/>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3"/>
                <w:szCs w:val="13"/>
                <w:color w:val="auto"/>
              </w:rPr>
            </w:pPr>
          </w:p>
        </w:tc>
        <w:tc>
          <w:tcPr>
            <w:tcW w:w="980" w:type="dxa"/>
            <w:vAlign w:val="bottom"/>
          </w:tcPr>
          <w:p>
            <w:pPr>
              <w:jc w:val="right"/>
              <w:ind w:right="315"/>
              <w:spacing w:after="0" w:line="153" w:lineRule="exact"/>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3"/>
                <w:szCs w:val="13"/>
                <w:color w:val="auto"/>
              </w:rPr>
            </w:pPr>
          </w:p>
        </w:tc>
        <w:tc>
          <w:tcPr>
            <w:tcW w:w="11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Fixed maturity securities, available-for-sale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1,570,605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1,570,605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1,433,626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1,433,626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71,394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71,394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80,735</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80,735</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Bank loan participations</w:t>
            </w:r>
          </w:p>
        </w:tc>
        <w:tc>
          <w:tcPr>
            <w:tcW w:w="2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202,888</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202,888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260,864</w:t>
            </w: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252,423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291,223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291,223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206,912</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206,912</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Restricted cash equivalents</w:t>
            </w:r>
          </w:p>
        </w:tc>
        <w:tc>
          <w:tcPr>
            <w:tcW w:w="2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1,107,321</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1,107,321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1,199,164</w:t>
            </w: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1,199,164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71,058</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71,058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156,925</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156,925</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invested assets – notes receivable</w:t>
            </w:r>
          </w:p>
        </w:tc>
        <w:tc>
          <w:tcPr>
            <w:tcW w:w="2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7,180</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11,458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13,250</w:t>
            </w: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18,756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Senior debt</w:t>
            </w:r>
          </w:p>
        </w:tc>
        <w:tc>
          <w:tcPr>
            <w:tcW w:w="2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277,300</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257,965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158,300</w:t>
            </w: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158,043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Junior subordinated debt</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104,055</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106,618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104,055</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122,193</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The fair values of fixed maturity securities, equity securities, and bank loan participations have been determined by independent pricing services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pacing w:after="0" w:line="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values of other invested assets-notes receivable, senior debt, and junior subordinated debt at March 31, 2020 and December 31, 2019 were determined by calculating the present value of expected future cash flows under the terms of the note agreements or debt agreements, as applicable, discounted at an estimated market rate of interest at March 31, 2020 and December 31, 2019, respectively.</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values of senior debt and junior subordinated debt at March 31, 2020 and December 31, 2019 were determined using inputs to the valuation methodology that are unobservable (Level 3).</w:t>
      </w:r>
    </w:p>
    <w:p>
      <w:pPr>
        <w:sectPr>
          <w:pgSz w:w="11900" w:h="16838" w:orient="portrait"/>
          <w:cols w:equalWidth="0" w:num="1">
            <w:col w:w="11240"/>
          </w:cols>
          <w:pgMar w:left="320" w:top="125"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Senior Debt</w:t>
      </w:r>
    </w:p>
    <w:p>
      <w:pPr>
        <w:spacing w:after="0" w:line="1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three months ended March 31, 2020, the Company drew $60.0 million on the $212.5 million unsecured revolving facility in its $315.0 million senior revolving credit facility (as amended or amended and restated, the "2013 Facility”). The borrowing was a precautionary measure to increase the Company's cash position and preserve financial flexibility in light of current uncertainty in the global markets resulting from the coronavirus (COVID-19) outbreak. At March 31, 2020, the Company had a drawn balance of $193.3 million outstanding on the unsecured revolver. The 2013 Facility contains certain financial and other covenants (including minimum net worth, maximum ratio of total adjusted debt outstanding to total capitalization, and financial strength ratings) with which the Company was in compliance, at March 31, 2020.</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Also in the three months ended March 31, 2020, the Company drew $59.0 million of unsecured capacity on a credit agreement (the "2017 Facility") that provides the Company with a revolving line of credit of up to $100 million, which may be used for loans and letters of credit made or issued, at the borrowers' option, on a secured or unsecured basis. The borrowing was a precautionary measure to increase the Company's cash position and preserve financial flexibility in light of current uncertainty in the global markets resulting from the coronavirus (COVID-19) outbreak. At March 31, 2020, unsecured loans of $69.0 million and secured letters of credit totaling $25.7 million were outstanding under the facility. The 2017 Facility contains certain financial and other covenants which we are in compliance with at March 31, 2020.</w:t>
      </w:r>
    </w:p>
    <w:p>
      <w:pPr>
        <w:spacing w:after="0" w:line="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Capital Stock and Equity Awards</w:t>
      </w:r>
    </w:p>
    <w:p>
      <w:pPr>
        <w:spacing w:after="0" w:line="12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issued 96,037 common shares in the three months ended March 31, 2020. The new shares were related to vesting restricted share units (“RSUs”). The total common shares outstanding increased from 30,424,391 at December 31, 2019 to 30,520,428 at March 31, 2020.</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declared the following dividends during the first three months of 2020 and 2019:</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Dividend per</w:t>
            </w:r>
          </w:p>
        </w:tc>
        <w:tc>
          <w:tcPr>
            <w:tcW w:w="228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Payable to Shareholders of</w:t>
            </w:r>
          </w:p>
        </w:tc>
        <w:tc>
          <w:tcPr>
            <w:tcW w:w="1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 Amount</w:t>
            </w:r>
          </w:p>
        </w:tc>
      </w:tr>
      <w:tr>
        <w:trPr>
          <w:trHeight w:val="210"/>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ind w:left="420"/>
              <w:spacing w:after="0"/>
              <w:rPr>
                <w:sz w:val="20"/>
                <w:szCs w:val="20"/>
                <w:color w:val="auto"/>
              </w:rPr>
            </w:pPr>
            <w:r>
              <w:rPr>
                <w:rFonts w:ascii="Arial" w:cs="Arial" w:eastAsia="Arial" w:hAnsi="Arial"/>
                <w:sz w:val="16"/>
                <w:szCs w:val="16"/>
                <w:b w:val="1"/>
                <w:bCs w:val="1"/>
                <w:color w:val="auto"/>
              </w:rPr>
              <w:t>Date of Declaration</w:t>
            </w:r>
          </w:p>
        </w:tc>
        <w:tc>
          <w:tcPr>
            <w:tcW w:w="600" w:type="dxa"/>
            <w:vAlign w:val="bottom"/>
          </w:tcPr>
          <w:p>
            <w:pPr>
              <w:spacing w:after="0"/>
              <w:rPr>
                <w:sz w:val="18"/>
                <w:szCs w:val="18"/>
                <w:color w:val="auto"/>
              </w:rPr>
            </w:pPr>
          </w:p>
        </w:tc>
        <w:tc>
          <w:tcPr>
            <w:tcW w:w="138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Common Share</w:t>
            </w:r>
          </w:p>
        </w:tc>
        <w:tc>
          <w:tcPr>
            <w:tcW w:w="228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Record on</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2"/>
              </w:rPr>
              <w:t>Payment Date</w:t>
            </w:r>
          </w:p>
        </w:tc>
        <w:tc>
          <w:tcPr>
            <w:tcW w:w="460" w:type="dxa"/>
            <w:vAlign w:val="bottom"/>
          </w:tcPr>
          <w:p>
            <w:pPr>
              <w:spacing w:after="0"/>
              <w:rPr>
                <w:sz w:val="18"/>
                <w:szCs w:val="18"/>
                <w:color w:val="auto"/>
              </w:rPr>
            </w:pPr>
          </w:p>
        </w:tc>
        <w:tc>
          <w:tcPr>
            <w:tcW w:w="1340" w:type="dxa"/>
            <w:vAlign w:val="bottom"/>
          </w:tcPr>
          <w:p>
            <w:pPr>
              <w:jc w:val="right"/>
              <w:ind w:right="279"/>
              <w:spacing w:after="0"/>
              <w:rPr>
                <w:sz w:val="20"/>
                <w:szCs w:val="20"/>
                <w:color w:val="auto"/>
              </w:rPr>
            </w:pPr>
            <w:r>
              <w:rPr>
                <w:rFonts w:ascii="Arial" w:cs="Arial" w:eastAsia="Arial" w:hAnsi="Arial"/>
                <w:sz w:val="16"/>
                <w:szCs w:val="16"/>
                <w:b w:val="1"/>
                <w:bCs w:val="1"/>
                <w:color w:val="auto"/>
              </w:rPr>
              <w:t>(thousands)</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03"/>
        </w:trPr>
        <w:tc>
          <w:tcPr>
            <w:tcW w:w="2560" w:type="dxa"/>
            <w:vAlign w:val="bottom"/>
            <w:gridSpan w:val="3"/>
          </w:tcPr>
          <w:p>
            <w:pPr>
              <w:ind w:left="40"/>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7"/>
        </w:trPr>
        <w:tc>
          <w:tcPr>
            <w:tcW w:w="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February 19, 2020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0.30</w:t>
            </w:r>
          </w:p>
        </w:tc>
        <w:tc>
          <w:tcPr>
            <w:tcW w:w="228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March 16, 2020</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March 31, 2020</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9,269</w:t>
            </w:r>
          </w:p>
        </w:tc>
      </w:tr>
      <w:tr>
        <w:trPr>
          <w:trHeight w:val="324"/>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3"/>
        </w:trPr>
        <w:tc>
          <w:tcPr>
            <w:tcW w:w="256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2019</w:t>
            </w:r>
          </w:p>
        </w:tc>
        <w:tc>
          <w:tcPr>
            <w:tcW w:w="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r>
      <w:tr>
        <w:trPr>
          <w:trHeight w:val="237"/>
        </w:trPr>
        <w:tc>
          <w:tcPr>
            <w:tcW w:w="4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auto"/>
              </w:rPr>
              <w:t>February 20, 2019</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2280" w:type="dxa"/>
            <w:vAlign w:val="bottom"/>
          </w:tcPr>
          <w:p>
            <w:pPr>
              <w:jc w:val="center"/>
              <w:ind w:right="99"/>
              <w:spacing w:after="0"/>
              <w:rPr>
                <w:sz w:val="20"/>
                <w:szCs w:val="20"/>
                <w:color w:val="auto"/>
              </w:rPr>
            </w:pPr>
            <w:r>
              <w:rPr>
                <w:rFonts w:ascii="Arial" w:cs="Arial" w:eastAsia="Arial" w:hAnsi="Arial"/>
                <w:sz w:val="16"/>
                <w:szCs w:val="16"/>
                <w:color w:val="auto"/>
                <w:w w:val="91"/>
              </w:rPr>
              <w:t>March 11, 2019</w:t>
            </w:r>
          </w:p>
        </w:tc>
        <w:tc>
          <w:tcPr>
            <w:tcW w:w="1640" w:type="dxa"/>
            <w:vAlign w:val="bottom"/>
          </w:tcPr>
          <w:p>
            <w:pPr>
              <w:jc w:val="center"/>
              <w:spacing w:after="0"/>
              <w:rPr>
                <w:sz w:val="20"/>
                <w:szCs w:val="20"/>
                <w:color w:val="auto"/>
              </w:rPr>
            </w:pPr>
            <w:r>
              <w:rPr>
                <w:rFonts w:ascii="Arial" w:cs="Arial" w:eastAsia="Arial" w:hAnsi="Arial"/>
                <w:sz w:val="16"/>
                <w:szCs w:val="16"/>
                <w:color w:val="auto"/>
                <w:w w:val="91"/>
              </w:rPr>
              <w:t>March 29, 2019</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9,146</w:t>
            </w:r>
          </w:p>
        </w:tc>
      </w:tr>
    </w:tbl>
    <w:p>
      <w:pPr>
        <w:spacing w:after="0" w:line="397" w:lineRule="exact"/>
        <w:rPr>
          <w:sz w:val="20"/>
          <w:szCs w:val="20"/>
          <w:color w:val="auto"/>
        </w:rPr>
      </w:pPr>
    </w:p>
    <w:p>
      <w:pPr>
        <w:jc w:val="both"/>
        <w:ind w:right="20" w:firstLine="351"/>
        <w:spacing w:after="0" w:line="342" w:lineRule="auto"/>
        <w:rPr>
          <w:sz w:val="20"/>
          <w:szCs w:val="20"/>
          <w:color w:val="auto"/>
        </w:rPr>
      </w:pPr>
      <w:r>
        <w:rPr>
          <w:rFonts w:ascii="Arial" w:cs="Arial" w:eastAsia="Arial" w:hAnsi="Arial"/>
          <w:sz w:val="16"/>
          <w:szCs w:val="16"/>
          <w:color w:val="auto"/>
        </w:rPr>
        <w:t>Included in the total dividends for the three months ended March 31, 2020 and 2019 are $113,000 and $107,000, respectively, of dividend equivalents on unvested RSUs. The balance of dividends payable on unvested RSUs was $422,000 at March 31, 2020 and $623,000 at December 31, 2019.</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shareholders have approved various equity incentive plans, including the Amended and Restated 2009 Equity Incentive Plan (the “Legacy Plan”), the 2014 Long Term Incentive Plan (“2014 LTIP”), and the 2014 Non-Employee Director Incentive Plan (“2014 Director Plan”) (collectively, the “Plans”). All awards issued under the Plans are issued at the discretion of the Board of Directors. Under the Legacy Plan, employees received non-qualified stock options. Options are outstanding under the Legacy Plan; however, no additional awards may be granted.</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Employees are eligible to receive non-qualified stock options, incentive stock options, share appreciation rights, performance shares, restricted shares, RSUs, and other awards under the 2014 LTIP. The maximum number of shares available for issuance under the 2014 LTIP is 4,171,150, and at March 31, 2020, 1,404,379 shares are available for grant.</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Non-employee directors of the Company are eligible to receive non-qualified stock options, share appreciation rights, performance shares, restricted shares, RSUs, and other awards under the 2014 Director Plan. At the 2019 Annual General Meeting of Shareholders of the Company held on April 30, 2019, the Company's shareholders approved an amendment to the 2014 Director Plan. The Board of Directors of the Company had previously approved the amendment. The amendment increased the number of the Company's common shares authorized for issuance under the 2014 Director Plan by 100,000 shares. The maximum number of shares available for issuance under the 2014 Director Plan is 150,000, and at March 31, 2020, 101,746 shares are available for grant.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option activity: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2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2020</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2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1260" w:type="dxa"/>
            <w:vAlign w:val="bottom"/>
          </w:tcPr>
          <w:p>
            <w:pPr>
              <w:jc w:val="right"/>
              <w:spacing w:after="0"/>
              <w:rPr>
                <w:sz w:val="20"/>
                <w:szCs w:val="20"/>
                <w:color w:val="auto"/>
              </w:rPr>
            </w:pPr>
            <w:r>
              <w:rPr>
                <w:rFonts w:ascii="Arial" w:cs="Arial" w:eastAsia="Arial" w:hAnsi="Arial"/>
                <w:sz w:val="18"/>
                <w:szCs w:val="18"/>
                <w:color w:val="auto"/>
              </w:rPr>
              <w:t>643,851</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1,115,324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(125,349)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97"/>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 of period</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643,851</w:t>
            </w:r>
          </w:p>
        </w:tc>
        <w:tc>
          <w:tcPr>
            <w:tcW w:w="10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ind w:right="38"/>
              <w:spacing w:after="0"/>
              <w:rPr>
                <w:sz w:val="20"/>
                <w:szCs w:val="20"/>
                <w:color w:val="auto"/>
              </w:rPr>
            </w:pPr>
            <w:r>
              <w:rPr>
                <w:rFonts w:ascii="Arial" w:cs="Arial" w:eastAsia="Arial" w:hAnsi="Arial"/>
                <w:sz w:val="18"/>
                <w:szCs w:val="18"/>
                <w:color w:val="auto"/>
              </w:rPr>
              <w:t>30.41</w:t>
            </w:r>
          </w:p>
        </w:tc>
        <w:tc>
          <w:tcPr>
            <w:tcW w:w="10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986,216</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end of period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640,606</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30.35</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926,166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All of the outstanding options vest over three to four years and have a contractual life of seven years from the original date of grant. All of the outstanding options have an exercise price equal to the fair value of the underlying shares at the date of grant. The weighted-average remaining contractual life of the options outstanding and options exercisable at March 31, 2020 was 2.7 years and 2.7 years,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activity:</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52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8"/>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3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70"/>
        </w:trPr>
        <w:tc>
          <w:tcPr>
            <w:tcW w:w="552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Unvested, beginning of period</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340,368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41.50</w:t>
            </w:r>
          </w:p>
        </w:tc>
        <w:tc>
          <w:tcPr>
            <w:tcW w:w="10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300,142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179,016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43.55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167,295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43"/>
        </w:trPr>
        <w:tc>
          <w:tcPr>
            <w:tcW w:w="5520" w:type="dxa"/>
            <w:vAlign w:val="bottom"/>
          </w:tcPr>
          <w:p>
            <w:pPr>
              <w:ind w:left="200"/>
              <w:spacing w:after="0"/>
              <w:rPr>
                <w:sz w:val="20"/>
                <w:szCs w:val="20"/>
                <w:color w:val="auto"/>
              </w:rPr>
            </w:pPr>
            <w:r>
              <w:rPr>
                <w:rFonts w:ascii="Arial" w:cs="Arial" w:eastAsia="Arial" w:hAnsi="Arial"/>
                <w:sz w:val="18"/>
                <w:szCs w:val="18"/>
                <w:color w:val="auto"/>
              </w:rPr>
              <w:t>Vested</w:t>
            </w:r>
          </w:p>
        </w:tc>
        <w:tc>
          <w:tcPr>
            <w:tcW w:w="1360" w:type="dxa"/>
            <w:vAlign w:val="bottom"/>
          </w:tcPr>
          <w:p>
            <w:pPr>
              <w:jc w:val="right"/>
              <w:spacing w:after="0"/>
              <w:rPr>
                <w:sz w:val="20"/>
                <w:szCs w:val="20"/>
                <w:color w:val="auto"/>
              </w:rPr>
            </w:pPr>
            <w:r>
              <w:rPr>
                <w:rFonts w:ascii="Arial" w:cs="Arial" w:eastAsia="Arial" w:hAnsi="Arial"/>
                <w:sz w:val="18"/>
                <w:szCs w:val="18"/>
                <w:color w:val="auto"/>
              </w:rPr>
              <w:t>(142,830)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41.16</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(109,545)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42.07</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Unvested, end of period</w:t>
            </w:r>
          </w:p>
        </w:tc>
        <w:tc>
          <w:tcPr>
            <w:tcW w:w="13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375,366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42.61</w:t>
            </w: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356,494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40.33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351"/>
        <w:spacing w:after="0" w:line="279" w:lineRule="auto"/>
        <w:rPr>
          <w:sz w:val="20"/>
          <w:szCs w:val="20"/>
          <w:color w:val="auto"/>
        </w:rPr>
      </w:pPr>
      <w:r>
        <w:rPr>
          <w:rFonts w:ascii="Arial" w:cs="Arial" w:eastAsia="Arial" w:hAnsi="Arial"/>
          <w:sz w:val="17"/>
          <w:szCs w:val="17"/>
          <w:color w:val="auto"/>
        </w:rPr>
        <w:t>The vesting period of RSUs granted to employees range from one to three years and vest ratably over the respective vesting period, and the majority vest in three years. All RSUs granted to date to non-employee directors had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 at the date of grant.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Share based compensation expense is recognized on a straight line basis over the vesting period. The amount of expense and related tax benefit is summarized below:</w:t>
      </w:r>
    </w:p>
    <w:p>
      <w:pPr>
        <w:spacing w:after="0" w:line="216"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based compensation expense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3"/>
              </w:rPr>
              <w:t>1,867</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1,674</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U.S. tax benefit on share based compensation expense</w:t>
            </w:r>
          </w:p>
        </w:tc>
        <w:tc>
          <w:tcPr>
            <w:tcW w:w="900" w:type="dxa"/>
            <w:vAlign w:val="bottom"/>
          </w:tcPr>
          <w:p>
            <w:pPr>
              <w:spacing w:after="0"/>
              <w:rPr>
                <w:sz w:val="21"/>
                <w:szCs w:val="21"/>
                <w:color w:val="auto"/>
              </w:rPr>
            </w:pPr>
          </w:p>
        </w:tc>
        <w:tc>
          <w:tcPr>
            <w:tcW w:w="560" w:type="dxa"/>
            <w:vAlign w:val="bottom"/>
          </w:tcPr>
          <w:p>
            <w:pPr>
              <w:jc w:val="right"/>
              <w:ind w:right="36"/>
              <w:spacing w:after="0"/>
              <w:rPr>
                <w:sz w:val="20"/>
                <w:szCs w:val="20"/>
                <w:color w:val="auto"/>
              </w:rPr>
            </w:pPr>
            <w:r>
              <w:rPr>
                <w:rFonts w:ascii="Arial" w:cs="Arial" w:eastAsia="Arial" w:hAnsi="Arial"/>
                <w:sz w:val="18"/>
                <w:szCs w:val="18"/>
                <w:color w:val="auto"/>
              </w:rPr>
              <w:t>250</w:t>
            </w:r>
          </w:p>
        </w:tc>
        <w:tc>
          <w:tcPr>
            <w:tcW w:w="5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200</w:t>
            </w:r>
          </w:p>
        </w:tc>
      </w:tr>
    </w:tbl>
    <w:p>
      <w:pPr>
        <w:spacing w:after="0" w:line="3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2020, the Company had $14.5 million of unrecognized share based compensation expense expected to be charged to earnings over a weighted-average period of 2.2 years.</w:t>
      </w:r>
    </w:p>
    <w:p>
      <w:pPr>
        <w:spacing w:after="0" w:line="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April 28, 2020, the Board of Directors declared a cash dividend of $0.30 per common share. The dividend is payable on June 30, 2020 to shareholders of record on June 15, 2020.</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and Part II, Item 1A “Risk Factors” in this Quarterly Report on Form 10-Q, or “Quarterly Report”, and Part I, Item 1A “Risk Factors” in our Annual Report on Form 10-K for the year ended December 31, 2019. The results of operations for the three months ended March 31, 2020 are not necessarily indicative of the results that may be expected for the full year ending December 31, 2020, or for any other future period. The following discussion should be read in conjunction with the unaudited condensed consolidated financial statements and the notes thereto included in Part I, Item 1 of this Quarterly Report, and in conjunction with our Annual Report on Form 10-K for the year ended December 31, 2019.</w:t>
      </w:r>
    </w:p>
    <w:p>
      <w:pPr>
        <w:spacing w:after="0" w:line="84" w:lineRule="exact"/>
        <w:rPr>
          <w:sz w:val="20"/>
          <w:szCs w:val="20"/>
          <w:color w:val="auto"/>
        </w:rPr>
      </w:pPr>
    </w:p>
    <w:p>
      <w:pPr>
        <w:jc w:val="both"/>
        <w:ind w:firstLine="396"/>
        <w:spacing w:after="0" w:line="311" w:lineRule="auto"/>
        <w:rPr>
          <w:sz w:val="20"/>
          <w:szCs w:val="20"/>
          <w:color w:val="auto"/>
        </w:rPr>
      </w:pPr>
      <w:r>
        <w:rPr>
          <w:rFonts w:ascii="Arial" w:cs="Arial" w:eastAsia="Arial" w:hAnsi="Arial"/>
          <w:sz w:val="16"/>
          <w:szCs w:val="16"/>
          <w:color w:val="auto"/>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James River Group Holdings, Ltd. is a Bermuda-based holding company. We own and operate a group of specialty insurance and reinsurance companies with the objective of generating compelling returns on tangible equity while limiting underwriting and investment volatility. We seek to accomplish this by consistently earning profits from insurance and reinsurance underwriting and generating meaningful risk-adjusted investment returns while managing our capital opportunistically.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organized into four reportable segments, which are separately managed business units:</w:t>
      </w:r>
    </w:p>
    <w:p>
      <w:pPr>
        <w:spacing w:after="0" w:line="117" w:lineRule="exact"/>
        <w:rPr>
          <w:sz w:val="20"/>
          <w:szCs w:val="20"/>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spacing w:after="0" w:line="75"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Specialty Admitted Insurance segment focuses on niche classes within the standard insurance markets, such as workers’ compensation coverage for residential contractors, light manufacturing operations, transportation workers and healthcare workers and fronting business, where we retain a small percentage of the risk and seek to earn fee income by allowing other carriers and producers to use our licensure, ratings, expertise and infrastructure. This segment has admitted licenses and the authority to write excess and surplus lines insurance in 50 states and the District of Columbia;</w:t>
      </w:r>
    </w:p>
    <w:p>
      <w:pPr>
        <w:spacing w:after="0" w:line="79"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Casualty Reinsurance segment primarily provides proportional and working layer casualty reinsurance to third parties (primarily through reinsurance intermediaries) and stop loss reinsurance to Carolina Re Ltd (“Carolina Re”), through JRG Reinsurance Company Ltd. (“JRG Re”), both Bermuda-based reinsurance companies. JRG Re has also in the past provided reinsurance to the Company's U.S. based insurance subsidiaries through a quota-share reinsurance agreement; Carolina Re was formed in 2018 to do this as well; and</w:t>
      </w:r>
    </w:p>
    <w:p>
      <w:pPr>
        <w:spacing w:after="0" w:line="63"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Corporate and Other segment consists of the management and treasury activities of our holding companies, interest expense associated with our debt, and expenses of our holding companies, including public company expenses, that are not reimbursed by our insurance segments.</w:t>
      </w:r>
    </w:p>
    <w:p>
      <w:pPr>
        <w:spacing w:after="0" w:line="16" w:lineRule="exact"/>
        <w:rPr>
          <w:sz w:val="20"/>
          <w:szCs w:val="20"/>
          <w:color w:val="auto"/>
        </w:rPr>
      </w:pPr>
    </w:p>
    <w:p>
      <w:pPr>
        <w:ind w:right="1840" w:firstLine="324"/>
        <w:spacing w:after="0" w:line="375" w:lineRule="auto"/>
        <w:rPr>
          <w:sz w:val="20"/>
          <w:szCs w:val="20"/>
          <w:color w:val="auto"/>
        </w:rPr>
      </w:pPr>
      <w:r>
        <w:rPr>
          <w:rFonts w:ascii="Arial" w:cs="Arial" w:eastAsia="Arial" w:hAnsi="Arial"/>
          <w:sz w:val="18"/>
          <w:szCs w:val="18"/>
          <w:color w:val="auto"/>
        </w:rPr>
        <w:t xml:space="preserve">All of our insurance and reinsurance subsidiaries have financial strength ratings of “A” (Excellent) from A.M. Best Company. </w:t>
      </w:r>
      <w:r>
        <w:rPr>
          <w:rFonts w:ascii="Arial" w:cs="Arial" w:eastAsia="Arial" w:hAnsi="Arial"/>
          <w:sz w:val="18"/>
          <w:szCs w:val="18"/>
          <w:b w:val="1"/>
          <w:bCs w:val="1"/>
          <w:color w:val="auto"/>
        </w:rPr>
        <w:t>Critical Accounting Policies and Estimates</w:t>
      </w:r>
    </w:p>
    <w:p>
      <w:pPr>
        <w:spacing w:after="0" w:line="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spacing w:after="0" w:line="4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most critical accounting policies involve significant estimates and include those used in determining the reserve for losses and loss adjustment expenses, investment valuation and impairment, and assumed reinsurance premiums. For a detailed discussion of each of these policies, refer to our Annual Report on Form 10-K for the year ended December 31, 2019. There have been no significant changes to any of these policies during the current year.</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continually monitoring the impact that the outbreak of the coronavirus (COVID-19) pandemic may be having on the Company’s financial condition and results of operations. The Company closed its offices except for certain essential functions, and directed its employees to work from their homes or other locations where they could ‘shelter in place’. While the Company’s investment portfolio was impacted by the recent volatility in the global financial markets as discussed in “-Results of</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Operations-Investing Results”, to date the Company has not experienced a decline in gross written premiums or a material increase in total claims as a result of the coronavirus pandemic. However, in light of the uncertainty in the global financial markets resulting from COVID-19, the Company has taken precautionary measures to preserve financial flexibility by borrowing under its existing credit facilities as discussed in “-Liquidity and Capital Resources-Sources and Uses of Funds”, and the Company is continually evaluating whether additional measures, including but not limited to reducing compensation expenses, may be prudent to protect the Company’s financial condition and results of operations in the current economic environment. In addition, we are closely monitoring a number of risks that COVID-19 poses to the Company’s financial condition and results of operations. For a description of these risks, see “Part II-Item 1A. Risk Factors” in this Quarterly Report on Form 10-Q.</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3"/>
          </w:tcPr>
          <w:p>
            <w:pPr>
              <w:jc w:val="center"/>
              <w:ind w:left="473"/>
              <w:spacing w:after="0"/>
              <w:rPr>
                <w:sz w:val="20"/>
                <w:szCs w:val="20"/>
                <w:color w:val="auto"/>
              </w:rPr>
            </w:pPr>
            <w:r>
              <w:rPr>
                <w:rFonts w:ascii="Arial" w:cs="Arial" w:eastAsia="Arial" w:hAnsi="Arial"/>
                <w:sz w:val="14"/>
                <w:szCs w:val="14"/>
                <w:b w:val="1"/>
                <w:bCs w:val="1"/>
                <w:color w:val="auto"/>
                <w:w w:val="95"/>
              </w:rPr>
              <w:t>Three Months Ended</w:t>
            </w:r>
          </w:p>
        </w:tc>
        <w:tc>
          <w:tcPr>
            <w:tcW w:w="900" w:type="dxa"/>
            <w:vAlign w:val="bottom"/>
          </w:tcPr>
          <w:p>
            <w:pPr>
              <w:spacing w:after="0"/>
              <w:rPr>
                <w:sz w:val="14"/>
                <w:szCs w:val="14"/>
                <w:color w:val="auto"/>
              </w:rPr>
            </w:pPr>
          </w:p>
        </w:tc>
        <w:tc>
          <w:tcPr>
            <w:tcW w:w="1340" w:type="dxa"/>
            <w:vAlign w:val="bottom"/>
            <w:gridSpan w:val="2"/>
            <w:vMerge w:val="restart"/>
          </w:tcPr>
          <w:p>
            <w:pPr>
              <w:jc w:val="right"/>
              <w:ind w:right="4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4"/>
                <w:szCs w:val="14"/>
                <w:b w:val="1"/>
                <w:bCs w:val="1"/>
                <w:color w:val="auto"/>
                <w:w w:val="99"/>
              </w:rPr>
              <w:t>March 31,</w:t>
            </w:r>
          </w:p>
        </w:tc>
        <w:tc>
          <w:tcPr>
            <w:tcW w:w="900" w:type="dxa"/>
            <w:vAlign w:val="bottom"/>
            <w:tcBorders>
              <w:bottom w:val="single" w:sz="8" w:color="auto"/>
            </w:tcBorders>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83"/>
              </w:rPr>
              <w:t>2019</w:t>
            </w:r>
          </w:p>
        </w:tc>
        <w:tc>
          <w:tcPr>
            <w:tcW w:w="120" w:type="dxa"/>
            <w:vAlign w:val="bottom"/>
          </w:tcPr>
          <w:p>
            <w:pPr>
              <w:spacing w:after="0"/>
              <w:rPr>
                <w:sz w:val="22"/>
                <w:szCs w:val="22"/>
                <w:color w:val="auto"/>
              </w:rPr>
            </w:pPr>
          </w:p>
        </w:tc>
        <w:tc>
          <w:tcPr>
            <w:tcW w:w="12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3"/>
        </w:trPr>
        <w:tc>
          <w:tcPr>
            <w:tcW w:w="6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80" w:type="dxa"/>
            <w:vAlign w:val="bottom"/>
            <w:gridSpan w:val="3"/>
          </w:tcPr>
          <w:p>
            <w:pPr>
              <w:jc w:val="center"/>
              <w:ind w:left="473"/>
              <w:spacing w:after="0"/>
              <w:rPr>
                <w:sz w:val="20"/>
                <w:szCs w:val="20"/>
                <w:color w:val="auto"/>
              </w:rPr>
            </w:pPr>
            <w:r>
              <w:rPr>
                <w:rFonts w:ascii="Arial" w:cs="Arial" w:eastAsia="Arial" w:hAnsi="Arial"/>
                <w:sz w:val="14"/>
                <w:szCs w:val="14"/>
                <w:b w:val="1"/>
                <w:bCs w:val="1"/>
                <w:i w:val="1"/>
                <w:iCs w:val="1"/>
                <w:color w:val="auto"/>
                <w:w w:val="88"/>
              </w:rPr>
              <w:t>($ in thousands)</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283,841</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327,334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(13.3)%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Net retention </w:t>
            </w:r>
            <w:r>
              <w:rPr>
                <w:rFonts w:ascii="Arial" w:cs="Arial" w:eastAsia="Arial" w:hAnsi="Arial"/>
                <w:sz w:val="14"/>
                <w:szCs w:val="14"/>
                <w:color w:val="auto"/>
              </w:rPr>
              <w:t>(1)</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134,654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207,741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(35.2)%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Net earned premiums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145,918</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190,152</w:t>
            </w:r>
          </w:p>
        </w:tc>
        <w:tc>
          <w:tcPr>
            <w:tcW w:w="1340" w:type="dxa"/>
            <w:vAlign w:val="bottom"/>
            <w:gridSpan w:val="2"/>
          </w:tcPr>
          <w:p>
            <w:pPr>
              <w:jc w:val="right"/>
              <w:spacing w:after="0"/>
              <w:rPr>
                <w:sz w:val="20"/>
                <w:szCs w:val="20"/>
                <w:color w:val="auto"/>
              </w:rPr>
            </w:pPr>
            <w:r>
              <w:rPr>
                <w:rFonts w:ascii="Arial" w:cs="Arial" w:eastAsia="Arial" w:hAnsi="Arial"/>
                <w:sz w:val="18"/>
                <w:szCs w:val="18"/>
                <w:i w:val="1"/>
                <w:iCs w:val="1"/>
                <w:color w:val="auto"/>
              </w:rPr>
              <w:t>(23.3)%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and loss adjustment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(96,856)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(139,927)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(30.8)%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operating expenses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(50,010)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(43,079)</w:t>
            </w:r>
          </w:p>
        </w:tc>
        <w:tc>
          <w:tcPr>
            <w:tcW w:w="1340" w:type="dxa"/>
            <w:vAlign w:val="bottom"/>
            <w:gridSpan w:val="2"/>
          </w:tcPr>
          <w:p>
            <w:pPr>
              <w:jc w:val="right"/>
              <w:spacing w:after="0"/>
              <w:rPr>
                <w:sz w:val="20"/>
                <w:szCs w:val="20"/>
                <w:color w:val="auto"/>
              </w:rPr>
            </w:pPr>
            <w:r>
              <w:rPr>
                <w:rFonts w:ascii="Arial" w:cs="Arial" w:eastAsia="Arial" w:hAnsi="Arial"/>
                <w:sz w:val="18"/>
                <w:szCs w:val="18"/>
                <w:i w:val="1"/>
                <w:iCs w:val="1"/>
                <w:color w:val="auto"/>
              </w:rPr>
              <w:t>16.1 %</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Underwriting (loss) profit </w:t>
            </w:r>
            <w:r>
              <w:rPr>
                <w:rFonts w:ascii="Arial" w:cs="Arial" w:eastAsia="Arial" w:hAnsi="Arial"/>
                <w:sz w:val="14"/>
                <w:szCs w:val="14"/>
                <w:color w:val="auto"/>
              </w:rPr>
              <w:t>(2), (3)</w:t>
            </w:r>
          </w:p>
        </w:tc>
        <w:tc>
          <w:tcPr>
            <w:tcW w:w="3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(948)</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7,146</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38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20,836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19,431</w:t>
            </w:r>
          </w:p>
        </w:tc>
        <w:tc>
          <w:tcPr>
            <w:tcW w:w="1340" w:type="dxa"/>
            <w:vAlign w:val="bottom"/>
            <w:gridSpan w:val="2"/>
          </w:tcPr>
          <w:p>
            <w:pPr>
              <w:jc w:val="right"/>
              <w:spacing w:after="0"/>
              <w:rPr>
                <w:sz w:val="20"/>
                <w:szCs w:val="20"/>
                <w:color w:val="auto"/>
              </w:rPr>
            </w:pPr>
            <w:r>
              <w:rPr>
                <w:rFonts w:ascii="Arial" w:cs="Arial" w:eastAsia="Arial" w:hAnsi="Arial"/>
                <w:sz w:val="18"/>
                <w:szCs w:val="18"/>
                <w:i w:val="1"/>
                <w:iCs w:val="1"/>
                <w:color w:val="auto"/>
              </w:rPr>
              <w:t>7.2 %</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realized and unrealized (losses) gains on investments</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(58,407)</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1,625</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and expense</w:t>
            </w:r>
          </w:p>
        </w:tc>
        <w:tc>
          <w:tcPr>
            <w:tcW w:w="38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246</w:t>
            </w:r>
          </w:p>
        </w:tc>
        <w:tc>
          <w:tcPr>
            <w:tcW w:w="1340" w:type="dxa"/>
            <w:vAlign w:val="bottom"/>
            <w:gridSpan w:val="2"/>
          </w:tcPr>
          <w:p>
            <w:pPr>
              <w:jc w:val="right"/>
              <w:spacing w:after="0"/>
              <w:rPr>
                <w:sz w:val="20"/>
                <w:szCs w:val="20"/>
                <w:color w:val="auto"/>
              </w:rPr>
            </w:pPr>
            <w:r>
              <w:rPr>
                <w:rFonts w:ascii="Arial" w:cs="Arial" w:eastAsia="Arial" w:hAnsi="Arial"/>
                <w:sz w:val="18"/>
                <w:szCs w:val="18"/>
                <w:i w:val="1"/>
                <w:iCs w:val="1"/>
                <w:color w:val="auto"/>
              </w:rPr>
              <w:t>32.5 %</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2.4 %</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jc w:val="right"/>
              <w:ind w:right="15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6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income before taxes</w:t>
            </w:r>
          </w:p>
        </w:tc>
        <w:tc>
          <w:tcPr>
            <w:tcW w:w="3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(41,218)</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25,491</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(benefit) expense</w:t>
            </w: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(4,403)</w:t>
            </w:r>
          </w:p>
        </w:tc>
        <w:tc>
          <w:tcPr>
            <w:tcW w:w="12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2,763</w:t>
            </w:r>
          </w:p>
        </w:tc>
        <w:tc>
          <w:tcPr>
            <w:tcW w:w="12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jc w:val="right"/>
              <w:ind w:right="15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63"/>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(36,815)</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22,728</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Adjusted net operating income </w:t>
            </w:r>
            <w:r>
              <w:rPr>
                <w:rFonts w:ascii="Arial" w:cs="Arial" w:eastAsia="Arial" w:hAnsi="Arial"/>
                <w:sz w:val="14"/>
                <w:szCs w:val="14"/>
                <w:color w:val="auto"/>
              </w:rPr>
              <w:t>(4)</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15,418</w:t>
            </w:r>
          </w:p>
        </w:tc>
        <w:tc>
          <w:tcPr>
            <w:tcW w:w="1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21,713</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(29.0)%</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ratio</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Combined ratio</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Net retention is defined as the ratio of net written premiums to gross written premiums.</w:t>
      </w:r>
    </w:p>
    <w:p>
      <w:pPr>
        <w:spacing w:after="0" w:line="63" w:lineRule="exact"/>
        <w:rPr>
          <w:rFonts w:ascii="Arial" w:cs="Arial" w:eastAsia="Arial" w:hAnsi="Arial"/>
          <w:sz w:val="18"/>
          <w:szCs w:val="18"/>
          <w:i w:val="1"/>
          <w:iCs w:val="1"/>
          <w:color w:val="auto"/>
        </w:rPr>
      </w:pPr>
    </w:p>
    <w:p>
      <w:pPr>
        <w:ind w:left="660" w:right="260" w:hanging="328"/>
        <w:spacing w:after="0" w:line="277" w:lineRule="auto"/>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(loss) profit is a non-GAAP measure. See “Reconciliation of Non-GAAP Measures” for a reconciliation to income before tax and for additional information.</w:t>
      </w:r>
    </w:p>
    <w:p>
      <w:pPr>
        <w:spacing w:after="0" w:line="8" w:lineRule="exact"/>
        <w:rPr>
          <w:rFonts w:ascii="Arial" w:cs="Arial" w:eastAsia="Arial" w:hAnsi="Arial"/>
          <w:sz w:val="18"/>
          <w:szCs w:val="18"/>
          <w:i w:val="1"/>
          <w:iCs w:val="1"/>
          <w:color w:val="auto"/>
        </w:rPr>
      </w:pPr>
    </w:p>
    <w:p>
      <w:pPr>
        <w:ind w:left="660" w:right="600" w:hanging="328"/>
        <w:spacing w:after="0" w:line="277" w:lineRule="auto"/>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months ended March 31, 2020 and 2019 is gross fee income of $5.5 million and $6.4 million, respectively.</w:t>
      </w:r>
    </w:p>
    <w:p>
      <w:pPr>
        <w:spacing w:after="0" w:line="8" w:lineRule="exact"/>
        <w:rPr>
          <w:rFonts w:ascii="Arial" w:cs="Arial" w:eastAsia="Arial" w:hAnsi="Arial"/>
          <w:sz w:val="18"/>
          <w:szCs w:val="18"/>
          <w:i w:val="1"/>
          <w:iCs w:val="1"/>
          <w:color w:val="auto"/>
        </w:rPr>
      </w:pPr>
    </w:p>
    <w:p>
      <w:pPr>
        <w:ind w:left="660" w:right="280" w:hanging="328"/>
        <w:spacing w:after="0" w:line="277" w:lineRule="auto"/>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Adjusted net operating income is a non-GAAP measure. See “Reconciliation of Non-GAAP Measures” for reconciliation to net income and for additional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and 2019</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had an underwriting loss of $948,000 for the three months ended March 31, 2020. This compares to an underwriting profit of $7.1 million for the same period in the prior year. Underwriting results for the three months ended March 31, 2020 were negatively impacted by $874,000 of net adverse reserve development on prior accident years, including $3,000 of net favorable reserve development from the Excess and Surplus Lines segment, $1.0 million of net favorable reserve development from the Specialty Admitted Insurance segment, and $1.9 million of net adverse reserve development from the Casualty Reinsurance segment.</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for the three months ended March 31, 2020 and 2019 also include certain non-operating items that are significant to the Company. These items (on a pre-tax basis) include:</w:t>
      </w:r>
    </w:p>
    <w:p>
      <w:pPr>
        <w:spacing w:after="0" w:line="62" w:lineRule="exact"/>
        <w:rPr>
          <w:sz w:val="20"/>
          <w:szCs w:val="20"/>
          <w:color w:val="auto"/>
        </w:rPr>
      </w:pPr>
    </w:p>
    <w:p>
      <w:pPr>
        <w:jc w:val="both"/>
        <w:ind w:left="660" w:hanging="328"/>
        <w:spacing w:after="0" w:line="273"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Net realized and unrealized investment (losses) gains of $(58.4) million and $1.6 million for the three months ended March 31, 2020 and 2019, respectively. The outbreak of the coronavirus pandemic in the first quarter of 2020 and uncertainty around the extent of its economic impact caused severe declines in financial markets. For our equity securities and bank loan participations (accounted for at fair value pursuant to the Company's election of the fair value option on January 1, 2020), the declines in fair values led to significant net unrealized losses recognized in earnings. </w:t>
      </w:r>
      <w:r>
        <w:rPr>
          <w:rFonts w:ascii="Arial" w:cs="Arial" w:eastAsia="Arial" w:hAnsi="Arial"/>
          <w:sz w:val="17"/>
          <w:szCs w:val="17"/>
          <w:color w:val="231F20"/>
        </w:rPr>
        <w:t>For the three months ended March 31, 2020, net realized and unrealized losses on investments include losses of $13.3 million and $43.9</w:t>
      </w:r>
      <w:r>
        <w:rPr>
          <w:rFonts w:ascii="Arial" w:cs="Arial" w:eastAsia="Arial" w:hAnsi="Arial"/>
          <w:sz w:val="17"/>
          <w:szCs w:val="17"/>
          <w:color w:val="auto"/>
        </w:rPr>
        <w:t xml:space="preserve"> </w:t>
      </w:r>
      <w:r>
        <w:rPr>
          <w:rFonts w:ascii="Arial" w:cs="Arial" w:eastAsia="Arial" w:hAnsi="Arial"/>
          <w:sz w:val="17"/>
          <w:szCs w:val="17"/>
          <w:color w:val="231F20"/>
        </w:rPr>
        <w:t>million related to changes in unrealized gains and losses on equity securities and bank loan participations,</w:t>
      </w:r>
    </w:p>
    <w:p>
      <w:pPr>
        <w:sectPr>
          <w:pgSz w:w="11900" w:h="16838" w:orient="portrait"/>
          <w:cols w:equalWidth="0" w:num="1">
            <w:col w:w="11240"/>
          </w:cols>
          <w:pgMar w:left="320" w:top="125" w:right="339" w:bottom="144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231F20"/>
        </w:rPr>
        <w:t xml:space="preserve">respectively. For the </w:t>
      </w:r>
      <w:r>
        <w:rPr>
          <w:rFonts w:ascii="Arial" w:cs="Arial" w:eastAsia="Arial" w:hAnsi="Arial"/>
          <w:sz w:val="18"/>
          <w:szCs w:val="18"/>
          <w:color w:val="000000"/>
        </w:rPr>
        <w:t>three months ended March 31, 2019</w:t>
      </w:r>
      <w:r>
        <w:rPr>
          <w:rFonts w:ascii="Arial" w:cs="Arial" w:eastAsia="Arial" w:hAnsi="Arial"/>
          <w:sz w:val="18"/>
          <w:szCs w:val="18"/>
          <w:color w:val="231F20"/>
        </w:rPr>
        <w:t xml:space="preserve">, net realized and unrealized gains on investments included gains of $3.5 million related to changes in unrealized gains and losses on equity securities. </w:t>
      </w:r>
      <w:r>
        <w:rPr>
          <w:rFonts w:ascii="Arial" w:cs="Arial" w:eastAsia="Arial" w:hAnsi="Arial"/>
          <w:sz w:val="18"/>
          <w:szCs w:val="18"/>
          <w:color w:val="000000"/>
        </w:rPr>
        <w:t>See “— Investing Results" for more information on these realized and unrealized</w:t>
      </w:r>
      <w:r>
        <w:rPr>
          <w:rFonts w:ascii="Arial" w:cs="Arial" w:eastAsia="Arial" w:hAnsi="Arial"/>
          <w:sz w:val="18"/>
          <w:szCs w:val="18"/>
          <w:color w:val="231F20"/>
        </w:rPr>
        <w:t xml:space="preserve"> </w:t>
      </w:r>
      <w:r>
        <w:rPr>
          <w:rFonts w:ascii="Arial" w:cs="Arial" w:eastAsia="Arial" w:hAnsi="Arial"/>
          <w:sz w:val="18"/>
          <w:szCs w:val="18"/>
          <w:color w:val="000000"/>
        </w:rPr>
        <w:t>investment (losses) gains.</w:t>
      </w:r>
    </w:p>
    <w:p>
      <w:pPr>
        <w:spacing w:after="0" w:line="76"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We define adjusted net operating income as net (loss) income excluding certain non-operating expenses such as net realized and unrealized investment gains and losses on investments, expenses related to due diligence costs for various merger and acquisition activities, professional service fees related to the filing of registration statements for the offering of securities, and severance costs associated with terminated employees. We use adjusted net operating income as an internal performance measure in the management of our operations because we believe it gives our management and other users of our financial information useful insight into our results of operations and our underlying business performance. Adjusted net operating income should not be viewed as a substitute for net income calculated in accordance with GAAP, and our definition of adjusted net operating income may not be comparable to that of other companies.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(loss) income before taxes and net (loss) income reconcile to our adjusted net operating income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5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6"/>
              </w:rPr>
              <w:t>2019</w:t>
            </w: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(Loss) Income</w:t>
            </w:r>
          </w:p>
        </w:tc>
        <w:tc>
          <w:tcPr>
            <w:tcW w:w="180" w:type="dxa"/>
            <w:vAlign w:val="bottom"/>
          </w:tcPr>
          <w:p>
            <w:pPr>
              <w:spacing w:after="0"/>
              <w:rPr>
                <w:sz w:val="13"/>
                <w:szCs w:val="13"/>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440" w:type="dxa"/>
            <w:vAlign w:val="bottom"/>
          </w:tcPr>
          <w:p>
            <w:pPr>
              <w:spacing w:after="0"/>
              <w:rPr>
                <w:sz w:val="13"/>
                <w:szCs w:val="13"/>
                <w:color w:val="auto"/>
              </w:rPr>
            </w:pPr>
          </w:p>
        </w:tc>
        <w:tc>
          <w:tcPr>
            <w:tcW w:w="800" w:type="dxa"/>
            <w:vAlign w:val="bottom"/>
          </w:tcPr>
          <w:p>
            <w:pPr>
              <w:jc w:val="center"/>
              <w:ind w:right="259"/>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Before</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center"/>
              <w:ind w:right="279"/>
              <w:spacing w:after="0" w:line="149" w:lineRule="exact"/>
              <w:rPr>
                <w:sz w:val="20"/>
                <w:szCs w:val="20"/>
                <w:color w:val="auto"/>
              </w:rPr>
            </w:pPr>
            <w:r>
              <w:rPr>
                <w:rFonts w:ascii="Arial" w:cs="Arial" w:eastAsia="Arial" w:hAnsi="Arial"/>
                <w:sz w:val="14"/>
                <w:szCs w:val="14"/>
                <w:b w:val="1"/>
                <w:bCs w:val="1"/>
                <w:color w:val="auto"/>
                <w:w w:val="90"/>
              </w:rPr>
              <w:t>Before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Taxes</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(Loss) Income</w:t>
            </w: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as reported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(36,815)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25,491</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22,728</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Net realized and unrealized investment losses (gains)</w:t>
            </w:r>
          </w:p>
        </w:tc>
        <w:tc>
          <w:tcPr>
            <w:tcW w:w="180" w:type="dxa"/>
            <w:vAlign w:val="bottom"/>
          </w:tcPr>
          <w:p>
            <w:pPr>
              <w:spacing w:after="0"/>
              <w:rPr>
                <w:sz w:val="21"/>
                <w:szCs w:val="21"/>
                <w:color w:val="auto"/>
              </w:rPr>
            </w:pPr>
          </w:p>
        </w:tc>
        <w:tc>
          <w:tcPr>
            <w:tcW w:w="1160" w:type="dxa"/>
            <w:vAlign w:val="bottom"/>
          </w:tcPr>
          <w:p>
            <w:pPr>
              <w:jc w:val="right"/>
              <w:ind w:right="20"/>
              <w:spacing w:after="0"/>
              <w:rPr>
                <w:sz w:val="20"/>
                <w:szCs w:val="20"/>
                <w:color w:val="auto"/>
              </w:rPr>
            </w:pPr>
            <w:r>
              <w:rPr>
                <w:rFonts w:ascii="Arial" w:cs="Arial" w:eastAsia="Arial" w:hAnsi="Arial"/>
                <w:sz w:val="18"/>
                <w:szCs w:val="18"/>
                <w:color w:val="auto"/>
              </w:rPr>
              <w:t>58,407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20"/>
              <w:spacing w:after="0"/>
              <w:rPr>
                <w:sz w:val="20"/>
                <w:szCs w:val="20"/>
                <w:color w:val="auto"/>
              </w:rPr>
            </w:pPr>
            <w:r>
              <w:rPr>
                <w:rFonts w:ascii="Arial" w:cs="Arial" w:eastAsia="Arial" w:hAnsi="Arial"/>
                <w:sz w:val="18"/>
                <w:szCs w:val="18"/>
                <w:color w:val="auto"/>
              </w:rPr>
              <w:t>52,233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operating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17,189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15,418</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23,866</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21,713</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Ratios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combined ratio is a measure of underwriting performance and represents the relationship of incurred losses, loss adjustment expenses and other operating expenses to net earned premiums. Our combined ratio for the three months ended March 31, 2020 was 100.6%. A combined ratio of less than 100% indicates an underwriting profit, while a combined ratio greater than 100% reflects an underwriting loss. The combined ratio for the three months ended March 31, 2020 includes $874,000, or 0.6 percentage points, of net adverse reserve development on prior accident years, including $3,000 of net favorable reserve development from the Excess and Surplus Lines segment, $1.0 million of net favorable reserve development from the Specialty Admitted Insurance segment, and $1.9 million of net adverse reserve development from the Casualty Reinsurance segment.</w:t>
      </w:r>
    </w:p>
    <w:p>
      <w:pPr>
        <w:spacing w:after="0" w:line="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combined ratio for the three months ended March 31, 2019 was 96.2%. The combined ratio for the three months ended March 31, 2019 includes $968,000, or 0.5 percentage points, of net adverse reserve development on prior accident years, including $10,000 of net favorable reserve development from the Excess and Surplus Lines segment, $2.0 million of net favorable reserve development from the Specialty Admitted Insurance segment, and $3.0 million of net adverse reserve development from the Casualty Reinsurance segment.</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each of the Company’s U.S.-domiciled insurance subsidiaries is a party to a quota share reinsurance agreement that in periods prior to January 1, 2018 ceded 70% of their premiums and losses to JRG Re, and starting January 1, 2018, ceded 70% of their premiums and losses to Carolina Re, an entity domiciled in Bermuda that made an irrevocable election to be taxed as a U.S. domestic corporation under Section 953(d) of the Code effective January 1, 2018 . JRG Re also provides stop loss reinsurance to Carolina Re.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Ratios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expense ratio increased from 22.6% for the three months ended March 31, 2019 to 34.2% for the three months ended March 31, 2020. The increase reflects the termination of the Rasier business effective December 31, 2019 (the Rasier business carried higher loss ratios, but lower expense ratios), partially offset by a 47.5% increase in the non-commercial auto net earned premiums of the Excess and Surplus Lines segment including in lines that have meaningful ceding commissions. Our Excess and Surplus Lines segment has significant scale and produces a lower expense ratio than our other operating segments. The Excess and Surplus Lines segment is our largest segment and makes up 68.4% of consolidated net earned premiums for the three months ended March 31, 2020 compared to 74.5% for three months ended March 31, 2019. Gross fee income for the Company declined from $6.4 million for the three months ended March 31, 2019 to $5.5 million for the three months ended March 31, 2020.</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Insurance premiums are earned ratably over the terms of our insurance policies, generally twelve months. Reinsurance premiums assumed are earned over the terms of the underlying policies or reinsurance contracts. Reinsurance contracts written on a “losses occurring” basis cover claims that may occur during the term of the contract or underlying insurance policy, which is typically twelve months. Reinsurance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in proportion to the level of underlying exposure.</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 in premium volume by component and business segment: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3"/>
              </w:rPr>
              <w:t>Three Months Ended</w:t>
            </w:r>
          </w:p>
        </w:tc>
        <w:tc>
          <w:tcPr>
            <w:tcW w:w="1360" w:type="dxa"/>
            <w:vAlign w:val="bottom"/>
            <w:gridSpan w:val="2"/>
            <w:vMerge w:val="restart"/>
          </w:tcPr>
          <w:p>
            <w:pPr>
              <w:jc w:val="right"/>
              <w:ind w:right="4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535"/>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tcBorders>
              <w:bottom w:val="single" w:sz="8" w:color="auto"/>
            </w:tcBorders>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8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gridSpan w:val="3"/>
          </w:tcPr>
          <w:p>
            <w:pPr>
              <w:jc w:val="center"/>
              <w:ind w:left="535"/>
              <w:spacing w:after="0"/>
              <w:rPr>
                <w:sz w:val="20"/>
                <w:szCs w:val="20"/>
                <w:color w:val="auto"/>
              </w:rPr>
            </w:pPr>
            <w:r>
              <w:rPr>
                <w:rFonts w:ascii="Arial" w:cs="Arial" w:eastAsia="Arial" w:hAnsi="Arial"/>
                <w:sz w:val="14"/>
                <w:szCs w:val="14"/>
                <w:b w:val="1"/>
                <w:bCs w:val="1"/>
                <w:i w:val="1"/>
                <w:iCs w:val="1"/>
                <w:color w:val="auto"/>
                <w:w w:val="90"/>
              </w:rPr>
              <w:t>($ in thousands)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Excess and Surplus Lines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136,197</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186,549</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(27.0)%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Specialty Admitted Insurance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102,802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102,953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(0.1)%</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Casualty Reinsurance</w:t>
            </w: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44,842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37,832</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18.5 %</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283,841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327,334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(13.3)%</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40"/>
              <w:spacing w:after="0"/>
              <w:rPr>
                <w:sz w:val="20"/>
                <w:szCs w:val="20"/>
                <w:color w:val="auto"/>
              </w:rPr>
            </w:pPr>
            <w:r>
              <w:rPr>
                <w:rFonts w:ascii="Arial" w:cs="Arial" w:eastAsia="Arial" w:hAnsi="Arial"/>
                <w:sz w:val="18"/>
                <w:szCs w:val="18"/>
                <w:color w:val="auto"/>
              </w:rPr>
              <w:t>Net written premiums:</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and Surplus Lines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92,206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154,861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(40.5)%</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Specialty Admitted Insurance</w:t>
            </w: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13,356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15,021</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(11.1)%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Casualty Reinsurance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29,092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37,859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(23.2)%</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134,654</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207,741</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(35.2)%</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Excess and Surplus Lines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99,739</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141,672</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(29.6)%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Specialty Admitted Insurance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13,283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12,360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7.5 %</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Casualty Reinsurance</w:t>
            </w: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32,896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36,120</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(8.9)%</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145,918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190,152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(23.3)%</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Gross written premiums for the Excess and Surplus Lines segment (which represents 48.0% of our consolidated gross written premiums in the three months ended March 31, 2020) decreased 27.0% from the corresponding three month period in the prior year. The decrease was largely due to the termination of the Rasier commercial auto business in the fourth quarter of 2019. On October 8, 2019, the Company delivered a notice of early cancellation, effective December 31, 2019, of all insurance policies issued to its largest customer, Rasier. A majority of the insurance policies were due to expire on February 29, 2020. The significant decline in gross written premium for the Commercial Auto underwriting division in the three months ended March 31, 2020 from the three months ended March 31, 2019 is a result of the Rasier cancellation. Excluding commercial auto policies, gross written premiums increased 36.9% over the corresponding three month period in the prior year. Policy submissions excluding commercial auto policies were 19.8% higher and 18.1% more policies were bound in the three months ended March 31, 2020 than in the three months ended March 31, 2019. Renewal rates for the Excess and Surplus Lines segment excluding commercial auto were up 12.9% compared to the three months ended March 31, 2019. The change in gross written premiums compared to the same periods in 2019 was notable in several divisions as shown below:</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gridSpan w:val="4"/>
          </w:tcPr>
          <w:p>
            <w:pPr>
              <w:jc w:val="right"/>
              <w:ind w:right="754"/>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3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60" w:type="dxa"/>
            <w:vAlign w:val="bottom"/>
          </w:tcPr>
          <w:p>
            <w:pPr>
              <w:jc w:val="right"/>
              <w:ind w:right="234"/>
              <w:spacing w:after="0"/>
              <w:rPr>
                <w:sz w:val="20"/>
                <w:szCs w:val="20"/>
                <w:color w:val="auto"/>
              </w:rPr>
            </w:pPr>
            <w:r>
              <w:rPr>
                <w:rFonts w:ascii="Arial" w:cs="Arial" w:eastAsia="Arial" w:hAnsi="Arial"/>
                <w:sz w:val="14"/>
                <w:szCs w:val="14"/>
                <w:b w:val="1"/>
                <w:bCs w:val="1"/>
                <w:i w:val="1"/>
                <w:iCs w:val="1"/>
                <w:color w:val="auto"/>
                <w:w w:val="89"/>
              </w:rPr>
              <w:t>in thousands)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Casualty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34,207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15,170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125.5 %</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Manufacturers &amp; Contractors</w:t>
            </w: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28,330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23,511</w:t>
            </w: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20.5 %</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Casualty</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21,283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20.9 %</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Energy</w:t>
            </w: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10,919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6,407</w:t>
            </w: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70.4 %</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non-commercial auto divisions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30,284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28,176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7.5 %</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Total non-commercial auto divisions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129,462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94,547</w:t>
            </w: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36.9 %</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Auto</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6,735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92,002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(92.7)%</w:t>
            </w:r>
          </w:p>
        </w:tc>
        <w:tc>
          <w:tcPr>
            <w:tcW w:w="0" w:type="dxa"/>
            <w:vAlign w:val="bottom"/>
          </w:tcPr>
          <w:p>
            <w:pPr>
              <w:spacing w:after="0"/>
              <w:rPr>
                <w:sz w:val="1"/>
                <w:szCs w:val="1"/>
                <w:color w:val="auto"/>
              </w:rPr>
            </w:pP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Excess and Surplus Lines gross written premium</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136,197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186,549</w:t>
            </w: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(27.0)%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gross written premiums for the Specialty Admitted Insurance segment (which represents 36.2% of our consolidated gross written premiums for the three months ended March 31, 2020)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gridSpan w:val="4"/>
          </w:tcPr>
          <w:p>
            <w:pPr>
              <w:jc w:val="right"/>
              <w:ind w:right="757"/>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8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3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60" w:type="dxa"/>
            <w:vAlign w:val="bottom"/>
          </w:tcPr>
          <w:p>
            <w:pPr>
              <w:jc w:val="right"/>
              <w:ind w:right="237"/>
              <w:spacing w:after="0"/>
              <w:rPr>
                <w:sz w:val="20"/>
                <w:szCs w:val="20"/>
                <w:color w:val="auto"/>
              </w:rPr>
            </w:pPr>
            <w:r>
              <w:rPr>
                <w:rFonts w:ascii="Arial" w:cs="Arial" w:eastAsia="Arial" w:hAnsi="Arial"/>
                <w:sz w:val="14"/>
                <w:szCs w:val="14"/>
                <w:b w:val="1"/>
                <w:bCs w:val="1"/>
                <w:i w:val="1"/>
                <w:iCs w:val="1"/>
                <w:color w:val="auto"/>
                <w:w w:val="89"/>
              </w:rPr>
              <w:t>in thousands)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Individual risk workers’ compensation premium</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17,480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16,993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2.9 %</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Fronting and program premium</w:t>
            </w:r>
          </w:p>
        </w:tc>
        <w:tc>
          <w:tcPr>
            <w:tcW w:w="3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85,322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85,960</w:t>
            </w: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(0.7)%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Admitted gross written premium</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102,802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102,953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fronting business saw two new fronting relationships generate $6.7 million of gross written premium in the three months ended March 31, 2020 (none in the comparable three month period of the prior year). Our largest fronted relationship experienced a decline in production with $32.7 million of gross written premium for the three months ended March 31, 2020 down from $40.2 million for the three months ended March 31, 2019 and representing 31.9% of the segment's gross written premium in the three months ended March 31, 2020 down from 39.1% in the three months ended March 31, 2019.</w:t>
      </w:r>
    </w:p>
    <w:p>
      <w:pPr>
        <w:spacing w:after="0" w:line="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Gross written premiums for the Casualty Reinsurance segment (which represents 15.8% of our consolidated gross written premiums in the first three months of 2020) increased 18.5% from the corresponding three month period in the prior year. The increase in gross written premium in this segment was primarily due to the change in renewal date of a fronted business where the Company retains no net underwriting risk. The Casualty Reinsurance segment generally writes large casualty-focused treaties that are expected to have lower volatility relative to property and catastrophe treaties. We rarely write stand-alone property reinsurance. When treaties that include property exposure are written, we utilize property occurrence caps, inuring reinsurance protection and low individual risk limits to minimize exposure.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Retention</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ratio of net written premiums to gross written premiums is referred to as our net premium retention. Our net premium retention is summarized by segment as follows:</w:t>
      </w:r>
    </w:p>
    <w:p>
      <w:pPr>
        <w:spacing w:after="0" w:line="216"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13335</wp:posOffset>
            </wp:positionV>
            <wp:extent cx="19970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Specialty Admitted Insurance</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13.0%</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8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47.4%</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63.5%</w:t>
            </w:r>
          </w:p>
        </w:tc>
      </w:tr>
    </w:tbl>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net premium retention for the Excess and Surplus Lines segment decreased for the three months ended March 31, 2020 as compared to the prior year periods due to growth in written premium in the Excess Casualty and Excess Property underwriting divisions, which have higher percentages of ceded premium than our other divisions. Additionally, ceded premiums for the Commercial Auto underwriting division were $11.1 million for the three months ended March 31, 2019. The Company terminated its relationship with Rasier in the fourth quarter of 2019, delivering a notice of early cancellation, effective December 31, 2019, of all insurance policies issued to Rasier.</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net premium retention for the Specialty Admitted Insurance segment declined for the three months ended March 31, 2020 as compared to the respective period in the prior year. The fronting business generally has much lower net premium retention than our individual risk workers’ compensation business. The net retention on the segment’s fronting business was 9.6% and 8.7% for the three months ended March 31, 2020 and 2019, respectively, while the net retention on the individual risk workers’ compensation business was 29.3% and 44.5% for the three months ended March 31, 2020 and 2019, respectively, reflecting an increase in the percentage of premiums ceded under a third-party quota share reinsurance treaty from 50% in 2019 to 70% in 2020.</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net premium retention for the Casualty Reinsurance segment decreased for the three months ended March 31, 2020 as compared to the prior year period due to the change in renewal date of a retrocessional treaty/fronting arrangement under which 100% of the premiums are ceded. Ceded written premiums under the treaty were $15.8 million in the three months ended March 31,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Results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compares our combined ratios by segment:</w:t>
      </w:r>
    </w:p>
    <w:p>
      <w:pPr>
        <w:spacing w:after="0" w:line="271"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13335</wp:posOffset>
            </wp:positionV>
            <wp:extent cx="20059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Specialty Admitted Insurance</w:t>
            </w: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8"/>
              </w:rPr>
              <w:t>107.4%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8"/>
              </w:rPr>
              <w:t>100.6%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351"/>
        </w:trPr>
        <w:tc>
          <w:tcPr>
            <w:tcW w:w="6740" w:type="dxa"/>
            <w:vAlign w:val="bottom"/>
          </w:tcPr>
          <w:p>
            <w:pPr>
              <w:spacing w:after="0"/>
              <w:rPr>
                <w:sz w:val="20"/>
                <w:szCs w:val="20"/>
                <w:color w:val="auto"/>
              </w:rPr>
            </w:pPr>
            <w:r>
              <w:rPr>
                <w:rFonts w:ascii="Arial" w:cs="Arial" w:eastAsia="Arial" w:hAnsi="Arial"/>
                <w:sz w:val="18"/>
                <w:szCs w:val="18"/>
                <w:i w:val="1"/>
                <w:iCs w:val="1"/>
                <w:color w:val="auto"/>
              </w:rPr>
              <w:t>Excess and Surplus Lines Segment</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tcPr>
          <w:p>
            <w:pPr>
              <w:ind w:left="340"/>
              <w:spacing w:after="0"/>
              <w:rPr>
                <w:sz w:val="20"/>
                <w:szCs w:val="20"/>
                <w:color w:val="auto"/>
              </w:rPr>
            </w:pPr>
            <w:r>
              <w:rPr>
                <w:rFonts w:ascii="Arial" w:cs="Arial" w:eastAsia="Arial" w:hAnsi="Arial"/>
                <w:sz w:val="18"/>
                <w:szCs w:val="18"/>
                <w:color w:val="auto"/>
              </w:rPr>
              <w:t>Results for the Excess and Surplus Lines segment are as follows:</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83"/>
              </w:rPr>
              <w:t>2019</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4"/>
          </w:tcPr>
          <w:p>
            <w:pPr>
              <w:jc w:val="right"/>
              <w:ind w:right="420"/>
              <w:spacing w:after="0"/>
              <w:rPr>
                <w:sz w:val="20"/>
                <w:szCs w:val="20"/>
                <w:color w:val="auto"/>
              </w:rPr>
            </w:pPr>
            <w:r>
              <w:rPr>
                <w:rFonts w:ascii="Arial" w:cs="Arial" w:eastAsia="Arial" w:hAnsi="Arial"/>
                <w:sz w:val="14"/>
                <w:szCs w:val="14"/>
                <w:b w:val="1"/>
                <w:bCs w:val="1"/>
                <w:i w:val="1"/>
                <w:iCs w:val="1"/>
                <w:color w:val="auto"/>
                <w:w w:val="99"/>
              </w:rPr>
              <w:t>($ in thousands)</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136,197</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186,549</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written premiums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92,206</w:t>
            </w:r>
          </w:p>
        </w:tc>
        <w:tc>
          <w:tcPr>
            <w:tcW w:w="1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154,861</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(40.5)%</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99,739</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141,672</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(29.6)%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Losses and loss adjustment expenses</w:t>
            </w:r>
          </w:p>
        </w:tc>
        <w:tc>
          <w:tcPr>
            <w:tcW w:w="38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(65,529)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(108,205)</w:t>
            </w: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(39.4)%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(26,098)</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(20,365)</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28.2 %</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i w:val="1"/>
                <w:iCs w:val="1"/>
                <w:color w:val="auto"/>
              </w:rPr>
              <w:t>(1), (2)</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8,112</w:t>
            </w:r>
          </w:p>
        </w:tc>
        <w:tc>
          <w:tcPr>
            <w:tcW w:w="12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13,102</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(38.1)%</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Ratios:</w:t>
            </w: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3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76.4%</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ratio</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Combined ratio</w:t>
            </w:r>
          </w:p>
        </w:tc>
        <w:tc>
          <w:tcPr>
            <w:tcW w:w="3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90.8%</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220" w:hanging="328"/>
        <w:spacing w:after="0" w:line="258"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(loss) income before tax and for additional information.</w:t>
      </w:r>
    </w:p>
    <w:p>
      <w:pPr>
        <w:spacing w:after="0" w:line="1" w:lineRule="exact"/>
        <w:rPr>
          <w:rFonts w:ascii="Arial" w:cs="Arial" w:eastAsia="Arial" w:hAnsi="Arial"/>
          <w:sz w:val="18"/>
          <w:szCs w:val="18"/>
          <w:i w:val="1"/>
          <w:iCs w:val="1"/>
          <w:color w:val="auto"/>
        </w:rPr>
      </w:pPr>
    </w:p>
    <w:p>
      <w:pPr>
        <w:ind w:left="660" w:hanging="328"/>
        <w:spacing w:after="0"/>
        <w:tabs>
          <w:tab w:leader="none" w:pos="66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Underwriting results include gross fee income of $1.3 million and $2.7 million for the three months ended March 31, 2020 and 2019, respectively.</w:t>
      </w:r>
    </w:p>
    <w:p>
      <w:pPr>
        <w:spacing w:after="0" w:line="12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loss ratio of 65.7% for the three months ended March 31, 2020 includes $3,000 of net favorable reserve development in our loss estimates for prior accident years. The loss ratio of 76.4% for the three months ended March 31, 2019 includes $10,000 of net favorable reserve development in our loss estimates for prior accident years.</w:t>
      </w:r>
    </w:p>
    <w:p>
      <w:pPr>
        <w:spacing w:after="0" w:line="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expense ratio for this segment increased from 14.4% for the three months ended March 31, 2019 to 26.2% for the three months ended March 31, 2020 due to the termination of the Rasier commercial auto business effective December 31, 2019 (the Rasier business carried higher loss ratios, but lower expense ratios), partially offset by a 47.5% increase in the non-commercial auto net earned premiums of the Excess and Surplus Lines segment including in lines that have meaningful ceding commissions. Commercial auto made up 8.1% of the segment’s net earned premiums for the three months ended March 31, 2020, down from 56.1% in the prior year. Gross fee income contributed to a reduction in the expense ratio of 1.3 and 1.9 percentage points for the three months ended March 31, 2020 and 2019, respectively.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a result of the items discussed above, the underwriting profit of the Excess and Surplus Lines segment decreased 38.1%, from $13.1 million for the three months ended March 31, 2019 to $8.1 million for the three months ended March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Specialty Admitted Insurance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for the Specialty Admitted Insurance segment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80" w:type="dxa"/>
            <w:vAlign w:val="bottom"/>
            <w:gridSpan w:val="4"/>
          </w:tcPr>
          <w:p>
            <w:pPr>
              <w:jc w:val="right"/>
              <w:ind w:right="815"/>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240" w:type="dxa"/>
            <w:vAlign w:val="bottom"/>
            <w:tcBorders>
              <w:bottom w:val="single" w:sz="8" w:color="auto"/>
            </w:tcBorders>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3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240" w:type="dxa"/>
            <w:vAlign w:val="bottom"/>
          </w:tcPr>
          <w:p>
            <w:pPr>
              <w:jc w:val="right"/>
              <w:ind w:right="335"/>
              <w:spacing w:after="0"/>
              <w:rPr>
                <w:sz w:val="20"/>
                <w:szCs w:val="20"/>
                <w:color w:val="auto"/>
              </w:rPr>
            </w:pPr>
            <w:r>
              <w:rPr>
                <w:rFonts w:ascii="Arial" w:cs="Arial" w:eastAsia="Arial" w:hAnsi="Arial"/>
                <w:sz w:val="14"/>
                <w:szCs w:val="14"/>
                <w:b w:val="1"/>
                <w:bCs w:val="1"/>
                <w:i w:val="1"/>
                <w:iCs w:val="1"/>
                <w:color w:val="auto"/>
                <w:w w:val="87"/>
              </w:rPr>
              <w:t>in thousands)</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102,802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102,953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written premiums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13,356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15,021</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(11.1)%</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13,283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12,360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7.5 %</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Losses and loss adjustment expenses</w:t>
            </w:r>
          </w:p>
        </w:tc>
        <w:tc>
          <w:tcPr>
            <w:tcW w:w="38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(9,905)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(7,202)</w:t>
            </w: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37.5 %</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(4,366)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(3,535)</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23.5 %</w:t>
            </w: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Underwriting (loss) profit </w:t>
            </w:r>
            <w:r>
              <w:rPr>
                <w:rFonts w:ascii="Arial" w:cs="Arial" w:eastAsia="Arial" w:hAnsi="Arial"/>
                <w:sz w:val="14"/>
                <w:szCs w:val="14"/>
                <w:i w:val="1"/>
                <w:iCs w:val="1"/>
                <w:color w:val="auto"/>
              </w:rPr>
              <w:t>(1), (2)</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rPr>
              <w:t>1,623</w:t>
            </w:r>
          </w:p>
        </w:tc>
        <w:tc>
          <w:tcPr>
            <w:tcW w:w="1340" w:type="dxa"/>
            <w:vAlign w:val="bottom"/>
          </w:tcPr>
          <w:p>
            <w:pPr>
              <w:jc w:val="right"/>
              <w:ind w:right="155"/>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Ratios: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4340" w:type="dxa"/>
            <w:vAlign w:val="bottom"/>
          </w:tcPr>
          <w:p>
            <w:pPr>
              <w:jc w:val="right"/>
              <w:ind w:right="490"/>
              <w:spacing w:after="0"/>
              <w:rPr>
                <w:sz w:val="20"/>
                <w:szCs w:val="20"/>
                <w:color w:val="auto"/>
              </w:rPr>
            </w:pPr>
            <w:r>
              <w:rPr>
                <w:rFonts w:ascii="Arial" w:cs="Arial" w:eastAsia="Arial" w:hAnsi="Arial"/>
                <w:sz w:val="18"/>
                <w:szCs w:val="18"/>
                <w:color w:val="auto"/>
              </w:rPr>
              <w:t>74.6%</w:t>
            </w:r>
          </w:p>
        </w:tc>
        <w:tc>
          <w:tcPr>
            <w:tcW w:w="2420" w:type="dxa"/>
            <w:vAlign w:val="bottom"/>
          </w:tcPr>
          <w:p>
            <w:pPr>
              <w:jc w:val="right"/>
              <w:ind w:right="1290"/>
              <w:spacing w:after="0"/>
              <w:rPr>
                <w:sz w:val="20"/>
                <w:szCs w:val="20"/>
                <w:color w:val="auto"/>
              </w:rPr>
            </w:pPr>
            <w:r>
              <w:rPr>
                <w:rFonts w:ascii="Arial" w:cs="Arial" w:eastAsia="Arial" w:hAnsi="Arial"/>
                <w:sz w:val="18"/>
                <w:szCs w:val="18"/>
                <w:color w:val="auto"/>
              </w:rPr>
              <w:t>58.3%</w:t>
            </w:r>
          </w:p>
        </w:tc>
      </w:tr>
      <w:tr>
        <w:trPr>
          <w:trHeight w:val="27"/>
        </w:trPr>
        <w:tc>
          <w:tcPr>
            <w:tcW w:w="44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ratio</w:t>
            </w:r>
          </w:p>
        </w:tc>
        <w:tc>
          <w:tcPr>
            <w:tcW w:w="43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32.8%</w:t>
            </w:r>
          </w:p>
        </w:tc>
        <w:tc>
          <w:tcPr>
            <w:tcW w:w="2420" w:type="dxa"/>
            <w:vAlign w:val="bottom"/>
            <w:tcBorders>
              <w:bottom w:val="single" w:sz="8" w:color="CCEEFF"/>
            </w:tcBorders>
            <w:shd w:val="clear" w:color="auto" w:fill="CCEEFF"/>
          </w:tcPr>
          <w:p>
            <w:pPr>
              <w:jc w:val="right"/>
              <w:ind w:right="1290"/>
              <w:spacing w:after="0"/>
              <w:rPr>
                <w:sz w:val="20"/>
                <w:szCs w:val="20"/>
                <w:color w:val="auto"/>
              </w:rPr>
            </w:pPr>
            <w:r>
              <w:rPr>
                <w:rFonts w:ascii="Arial" w:cs="Arial" w:eastAsia="Arial" w:hAnsi="Arial"/>
                <w:sz w:val="18"/>
                <w:szCs w:val="18"/>
                <w:color w:val="auto"/>
              </w:rPr>
              <w:t>28.6%</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Combined ratio</w:t>
            </w:r>
          </w:p>
        </w:tc>
        <w:tc>
          <w:tcPr>
            <w:tcW w:w="4340" w:type="dxa"/>
            <w:vAlign w:val="bottom"/>
          </w:tcPr>
          <w:p>
            <w:pPr>
              <w:jc w:val="right"/>
              <w:ind w:right="490"/>
              <w:spacing w:after="0"/>
              <w:rPr>
                <w:sz w:val="20"/>
                <w:szCs w:val="20"/>
                <w:color w:val="auto"/>
              </w:rPr>
            </w:pPr>
            <w:r>
              <w:rPr>
                <w:rFonts w:ascii="Arial" w:cs="Arial" w:eastAsia="Arial" w:hAnsi="Arial"/>
                <w:sz w:val="18"/>
                <w:szCs w:val="18"/>
                <w:color w:val="auto"/>
              </w:rPr>
              <w:t>107.4%</w:t>
            </w:r>
          </w:p>
        </w:tc>
        <w:tc>
          <w:tcPr>
            <w:tcW w:w="2420" w:type="dxa"/>
            <w:vAlign w:val="bottom"/>
          </w:tcPr>
          <w:p>
            <w:pPr>
              <w:jc w:val="right"/>
              <w:ind w:right="1290"/>
              <w:spacing w:after="0"/>
              <w:rPr>
                <w:sz w:val="20"/>
                <w:szCs w:val="20"/>
                <w:color w:val="auto"/>
              </w:rPr>
            </w:pPr>
            <w:r>
              <w:rPr>
                <w:rFonts w:ascii="Arial" w:cs="Arial" w:eastAsia="Arial" w:hAnsi="Arial"/>
                <w:sz w:val="18"/>
                <w:szCs w:val="18"/>
                <w:color w:val="auto"/>
              </w:rPr>
              <w:t>86.9%</w:t>
            </w:r>
          </w:p>
        </w:tc>
      </w:tr>
    </w:tbl>
    <w:p>
      <w:pPr>
        <w:spacing w:after="0" w:line="121" w:lineRule="exact"/>
        <w:rPr>
          <w:sz w:val="20"/>
          <w:szCs w:val="20"/>
          <w:color w:val="auto"/>
        </w:rPr>
      </w:pPr>
    </w:p>
    <w:p>
      <w:pPr>
        <w:ind w:left="660" w:right="160" w:hanging="328"/>
        <w:spacing w:after="0" w:line="258" w:lineRule="auto"/>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(Loss) Profit is a non-GAAP Measure. See “Reconciliation of Non-GAAP Measures” for a reconciliation to income before tax and for additional information.</w:t>
      </w:r>
    </w:p>
    <w:p>
      <w:pPr>
        <w:spacing w:after="0" w:line="1" w:lineRule="exact"/>
        <w:rPr>
          <w:rFonts w:ascii="Arial" w:cs="Arial" w:eastAsia="Arial" w:hAnsi="Arial"/>
          <w:sz w:val="18"/>
          <w:szCs w:val="18"/>
          <w:i w:val="1"/>
          <w:iCs w:val="1"/>
          <w:color w:val="auto"/>
        </w:rPr>
      </w:pPr>
    </w:p>
    <w:p>
      <w:pPr>
        <w:ind w:left="660" w:hanging="328"/>
        <w:spacing w:after="0"/>
        <w:tabs>
          <w:tab w:leader="none" w:pos="66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Underwriting results include gross fee income of $4.2 million and $3.8 million for the three months ended March 31, 2020 and 2019, respectively.</w:t>
      </w:r>
    </w:p>
    <w:p>
      <w:pPr>
        <w:spacing w:after="0" w:line="12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loss ratio of 74.6% for the three months ended March 31, 2020 includes $1.0 million (7.6 percentage points), of net favorable development in our loss estimates for prior accident years. The loss ratio of 58.3% for the three months ended March 31, 2019 includes $2.0 million (16.2 percentage points), of net favorable reserve development in our loss estimates for prior accident years. The favorable reserve development for both periods reflects the fact that actual loss emergence of the workers’ compensation book has been better than expected.</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expense ratio of the Specialty Admitted Insurance segment was 32.8% for the three months ended March 31, 2020 compared to the prior year ratio of 28.6%. Gross fee income from the fronting business increased 11.6% for the three months ended March 31, 2020 compared to the same period in the prior year as a result of a mix shift to fronting arrangements with higher fees.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Underwriting results for the Specialty Admitted Insurance segment in the three months ended March 31, 2020 were negatively impacted by higher reported losses on involuntary assigned risk pools for workers' compensation and an accrual for ceded minimum premium on one fronting arrangement, resulting in an additional 7.0 combined ratio points.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the items discussed above, the Specialty Admitted Insurance segment had an underwriting loss of $988,000 for the three months ended March 31, 2020 compared to an underwriting profit of $1.6 million for the three months ended March 31, 2019.</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Casualty Reinsurance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for the Casualty Reinsurance segment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80" w:type="dxa"/>
            <w:vAlign w:val="bottom"/>
            <w:gridSpan w:val="4"/>
          </w:tcPr>
          <w:p>
            <w:pPr>
              <w:jc w:val="right"/>
              <w:ind w:right="813"/>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240" w:type="dxa"/>
            <w:vAlign w:val="bottom"/>
            <w:tcBorders>
              <w:bottom w:val="single" w:sz="8" w:color="auto"/>
            </w:tcBorders>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3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240" w:type="dxa"/>
            <w:vAlign w:val="bottom"/>
          </w:tcPr>
          <w:p>
            <w:pPr>
              <w:jc w:val="right"/>
              <w:ind w:right="333"/>
              <w:spacing w:after="0"/>
              <w:rPr>
                <w:sz w:val="20"/>
                <w:szCs w:val="20"/>
                <w:color w:val="auto"/>
              </w:rPr>
            </w:pPr>
            <w:r>
              <w:rPr>
                <w:rFonts w:ascii="Arial" w:cs="Arial" w:eastAsia="Arial" w:hAnsi="Arial"/>
                <w:sz w:val="14"/>
                <w:szCs w:val="14"/>
                <w:b w:val="1"/>
                <w:bCs w:val="1"/>
                <w:i w:val="1"/>
                <w:iCs w:val="1"/>
                <w:color w:val="auto"/>
                <w:w w:val="87"/>
              </w:rPr>
              <w:t>in thousands)</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44,842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37,832</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18.5 %</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written premiums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29,092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37,859</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(23.2)%</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32,896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36,120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Losses and loss adjustment expenses</w:t>
            </w:r>
          </w:p>
        </w:tc>
        <w:tc>
          <w:tcPr>
            <w:tcW w:w="38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(21,422)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(24,520)</w:t>
            </w: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(11,267)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(11,273)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(0.1)%</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i w:val="1"/>
                <w:iCs w:val="1"/>
                <w:color w:val="auto"/>
              </w:rPr>
              <w:t>(1)</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327</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(36.7)%</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 ratio</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67.9%</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ratio</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Combined ratio</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99.1%</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220" w:hanging="328"/>
        <w:spacing w:after="0" w:line="277"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(loss) income before tax and for additional information.</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Casualty Reinsurance segment focuses on lower volatility, proportional reinsurance which requires larger ceding commissions resulting in a higher commission expense than in our other segments.</w:t>
      </w:r>
    </w:p>
    <w:p>
      <w:pPr>
        <w:spacing w:after="0" w:line="6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loss ratio of 65.1% for the three months ended March 31, 2020 includes $1.9 million (5.7 percentage points) of net adverse development in our loss estimates for prior accident years. The loss ratio of 67.9% for the three months ended March 31, 2019 includes $3.0 million (8.3 percentage points) of net adverse reserve development in our loss estimates for prior accident years.</w:t>
      </w:r>
    </w:p>
    <w:p>
      <w:pPr>
        <w:spacing w:after="0" w:line="7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expense ratio of the Casualty Reinsurance segment was 34.3% for the three months ended March 31, 2020, up from 31.2% in the prior year principally due to higher reductions in sliding scale commission expense in the prior year associated with the higher adverse reserve development in 2019.</w:t>
      </w:r>
    </w:p>
    <w:p>
      <w:pPr>
        <w:spacing w:after="0" w:line="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a result of the items discussed above, underwriting profit for the Casualty Reinsurance segment was $207,000 for the three months ended March 31, 2020 compared to $327,000 for the three months ended March 31,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 indicator of reserve strength that we monitor closely is the percentage of our gross and net loss reserves that are comprised of incurred but not reported (“IBNR”) reserves.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gross reserve for losses and loss adjustment expenses at March 31, 2020 was $2,043.4 million. Of this amount, 62.5% relates to amounts that are IBNR. This amount was 63.1% at December 31, 2019. The Company’s gross reserves for losses and loss adjustment expenses by segment are summarized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center"/>
              <w:ind w:left="596"/>
              <w:spacing w:after="0"/>
              <w:rPr>
                <w:sz w:val="20"/>
                <w:szCs w:val="20"/>
                <w:color w:val="auto"/>
              </w:rPr>
            </w:pPr>
            <w:r>
              <w:rPr>
                <w:rFonts w:ascii="Arial" w:cs="Arial" w:eastAsia="Arial" w:hAnsi="Arial"/>
                <w:sz w:val="14"/>
                <w:szCs w:val="14"/>
                <w:b w:val="1"/>
                <w:bCs w:val="1"/>
                <w:color w:val="auto"/>
                <w:w w:val="91"/>
              </w:rPr>
              <w:t>Gross Reserves at March 31, 2020</w:t>
            </w:r>
          </w:p>
        </w:tc>
        <w:tc>
          <w:tcPr>
            <w:tcW w:w="960" w:type="dxa"/>
            <w:vAlign w:val="bottom"/>
            <w:tcBorders>
              <w:bottom w:val="single" w:sz="8" w:color="auto"/>
            </w:tcBorders>
          </w:tcPr>
          <w:p>
            <w:pPr>
              <w:spacing w:after="0"/>
              <w:rPr>
                <w:sz w:val="16"/>
                <w:szCs w:val="16"/>
                <w:color w:val="auto"/>
              </w:rPr>
            </w:pPr>
          </w:p>
        </w:tc>
      </w:tr>
      <w:tr>
        <w:trPr>
          <w:trHeight w:val="264"/>
        </w:trPr>
        <w:tc>
          <w:tcPr>
            <w:tcW w:w="69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IBNR</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196"/>
        </w:trPr>
        <w:tc>
          <w:tcPr>
            <w:tcW w:w="6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455,934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770,380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1,226,314</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199,699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330,962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530,661</w:t>
            </w:r>
          </w:p>
        </w:tc>
      </w:tr>
      <w:tr>
        <w:trPr>
          <w:trHeight w:val="27"/>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110,060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176,323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286,383</w:t>
            </w:r>
          </w:p>
        </w:tc>
      </w:tr>
      <w:tr>
        <w:trPr>
          <w:trHeight w:val="257"/>
        </w:trPr>
        <w:tc>
          <w:tcPr>
            <w:tcW w:w="694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765,693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1,277,665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2,043,358</w:t>
            </w: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March 31, 2020, the amount of net reserves prior to the $335,000 allowance for uncollectible reinsurance recoverables of $1,351.4 million that related to IBNR was 59.7%. This amount was 60.3% at December 31, 2019. The Company’s net reserves for losses and loss adjustment expenses by segment are summarized as follows: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4"/>
                <w:szCs w:val="14"/>
                <w:b w:val="1"/>
                <w:bCs w:val="1"/>
                <w:color w:val="auto"/>
                <w:w w:val="93"/>
              </w:rPr>
              <w:t>Net Reserves at March 31, 2020</w:t>
            </w:r>
          </w:p>
        </w:tc>
        <w:tc>
          <w:tcPr>
            <w:tcW w:w="1000" w:type="dxa"/>
            <w:vAlign w:val="bottom"/>
            <w:tcBorders>
              <w:bottom w:val="single" w:sz="8" w:color="auto"/>
            </w:tcBorders>
          </w:tcPr>
          <w:p>
            <w:pPr>
              <w:spacing w:after="0"/>
              <w:rPr>
                <w:sz w:val="16"/>
                <w:szCs w:val="16"/>
                <w:color w:val="auto"/>
              </w:rPr>
            </w:pPr>
          </w:p>
        </w:tc>
      </w:tr>
      <w:tr>
        <w:trPr>
          <w:trHeight w:val="263"/>
        </w:trPr>
        <w:tc>
          <w:tcPr>
            <w:tcW w:w="69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Case</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IBNR</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398,228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581,030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979,258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38,729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52,360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91,089</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107,665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173,342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281,007</w:t>
            </w: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544,622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806,732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1,351,354</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the underwriting, acquisition, and insurance expenses of the Excess and Surplus Lines segment, the Specialty Admitted Insurance segment, and the Casualty Reinsurance segment discussed previously, other operating expenses also include the expenses of the Corporate and Other segment.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operating expenses for the Corporate and Other segment include personnel costs associated with the Bermuda and U.S. holding companies, professional fees, and various other corporate expenses that are included in our calculation of our expense ratio and our combined ratio. Other operating expenses of the Corporate and Other segment represent the expenses of both the Bermuda and U.S. holding companies that were not reimbursed by our subsidiaries, including costs associated with our internal quota share, rating agencies and strategic initiatives. These costs vary from period-to-period based on the status of these initiatives.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operating expenses of the Corporate and Other segment were $8.3 million and $7.9 million for the three months ended March 31, 2020 and 2019,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Results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investment income was $20.8 million for the three months ended March 31, 2020 compared to $19.4 million for the same period in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our net investment income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2"/>
        </w:trPr>
        <w:tc>
          <w:tcPr>
            <w:tcW w:w="6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3"/>
        </w:trPr>
        <w:tc>
          <w:tcPr>
            <w:tcW w:w="68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6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gridSpan w:val="3"/>
          </w:tcPr>
          <w:p>
            <w:pPr>
              <w:jc w:val="center"/>
              <w:ind w:left="538"/>
              <w:spacing w:after="0"/>
              <w:rPr>
                <w:sz w:val="20"/>
                <w:szCs w:val="20"/>
                <w:color w:val="auto"/>
              </w:rPr>
            </w:pPr>
            <w:r>
              <w:rPr>
                <w:rFonts w:ascii="Arial" w:cs="Arial" w:eastAsia="Arial" w:hAnsi="Arial"/>
                <w:sz w:val="14"/>
                <w:szCs w:val="14"/>
                <w:b w:val="1"/>
                <w:bCs w:val="1"/>
                <w:i w:val="1"/>
                <w:iCs w:val="1"/>
                <w:color w:val="auto"/>
                <w:w w:val="90"/>
              </w:rPr>
              <w:t>($ in thousands)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Renewable energy LLCs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(9.4)%</w:t>
            </w:r>
          </w:p>
        </w:tc>
      </w:tr>
      <w:tr>
        <w:trPr>
          <w:trHeight w:val="270"/>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private investments</w:t>
            </w: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2,483</w:t>
            </w:r>
          </w:p>
        </w:tc>
        <w:tc>
          <w:tcPr>
            <w:tcW w:w="12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jc w:val="right"/>
              <w:ind w:right="159"/>
              <w:spacing w:after="0"/>
              <w:rPr>
                <w:sz w:val="20"/>
                <w:szCs w:val="20"/>
                <w:color w:val="auto"/>
              </w:rPr>
            </w:pPr>
            <w:r>
              <w:rPr>
                <w:rFonts w:ascii="Arial" w:cs="Arial" w:eastAsia="Arial" w:hAnsi="Arial"/>
                <w:sz w:val="18"/>
                <w:szCs w:val="18"/>
                <w:i w:val="1"/>
                <w:iCs w:val="1"/>
                <w:color w:val="auto"/>
              </w:rPr>
              <w:t>‒</w:t>
            </w:r>
          </w:p>
        </w:tc>
      </w:tr>
      <w:tr>
        <w:trPr>
          <w:trHeight w:val="24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3,404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(84.8)%</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All other net investment income</w:t>
            </w:r>
          </w:p>
        </w:tc>
        <w:tc>
          <w:tcPr>
            <w:tcW w:w="3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20,319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16,027</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26.8 %</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investment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20,836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19,431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7.2 %</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Company's private investments generated income of $517,000 and $3.4 million for the three months ended March 31, 2020 and 2019, respectively. Excluding private investments, our net investment income increased by 26.8% over the prior year driven by asset growth in our portfolio and income on restricted cash equivalents. The average duration of our fixed maturity portfolio was 3.6 years at March 31, 2020.</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Major categories of the Company’s net investment income are summarized as follows:</w:t>
      </w:r>
    </w:p>
    <w:p>
      <w:pPr>
        <w:spacing w:after="0" w:line="271"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40" w:type="dxa"/>
            <w:vAlign w:val="bottom"/>
          </w:tcPr>
          <w:p>
            <w:pPr>
              <w:spacing w:after="0"/>
              <w:rPr>
                <w:sz w:val="17"/>
                <w:szCs w:val="17"/>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11,074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9,492</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Bank loan participations</w:t>
            </w: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4,148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5,064</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1,337</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invested assets</w:t>
            </w: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3,404</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restricted cash equivalents and short-term investments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5,159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1,312</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Gross investment income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22,064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20,609</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expense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r>
      <w:tr>
        <w:trPr>
          <w:trHeight w:val="257"/>
        </w:trPr>
        <w:tc>
          <w:tcPr>
            <w:tcW w:w="822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20,836</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19,431</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investment returns:</w:t>
      </w:r>
    </w:p>
    <w:p>
      <w:pPr>
        <w:spacing w:after="0" w:line="271"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13335</wp:posOffset>
            </wp:positionV>
            <wp:extent cx="19888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r>
      <w:tr>
        <w:trPr>
          <w:trHeight w:val="250"/>
        </w:trPr>
        <w:tc>
          <w:tcPr>
            <w:tcW w:w="9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Annualized gross investment yield on:</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9100" w:type="dxa"/>
            <w:vAlign w:val="bottom"/>
            <w:gridSpan w:val="2"/>
          </w:tcPr>
          <w:p>
            <w:pPr>
              <w:ind w:left="40"/>
              <w:spacing w:after="0"/>
              <w:rPr>
                <w:sz w:val="20"/>
                <w:szCs w:val="20"/>
                <w:color w:val="auto"/>
              </w:rPr>
            </w:pPr>
            <w:r>
              <w:rPr>
                <w:rFonts w:ascii="Arial" w:cs="Arial" w:eastAsia="Arial" w:hAnsi="Arial"/>
                <w:sz w:val="18"/>
                <w:szCs w:val="18"/>
                <w:color w:val="auto"/>
              </w:rPr>
              <w:t>Average cash and invested assets</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8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9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fixed maturity securities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8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Of our total cash and invested assets of $2,254.9 million at March 31, 2020 (excluding restricted cash equivalents), $291.2 million represents the cash and cash equivalents portion of the portfolio. The majority of the portfolio, or $1,570.6 million, is comprised of fixed maturity securities that are classified as available-for-sale and carried at fair value with unrealized gains and losses on these securities reported, net of applicable taxes, as a separate component of accumulated comprehensive income or loss. Also included in our investments are $202.9 million of bank loan participations, $71.4 million of equity securities, $71.1 million of short-term investments, and $47.7 million of other invested assets.</w:t>
      </w:r>
    </w:p>
    <w:p>
      <w:pPr>
        <w:spacing w:after="0" w:line="6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231F20"/>
        </w:rPr>
        <w:t xml:space="preserve">In connection with the adoption of ASU 2016-13 on January 1, 2020, the Company elected the fair value option in accounting for its portfolio of bank loan participations. Under the fair value option, bank loan participations are measured at fair value, and changes in unrealized gains and losses in bank loan participations are reported in our income statement as net realized and unrealized gains (losses) on investments. </w:t>
      </w:r>
      <w:r>
        <w:rPr>
          <w:rFonts w:ascii="Arial" w:cs="Arial" w:eastAsia="Arial" w:hAnsi="Arial"/>
          <w:sz w:val="17"/>
          <w:szCs w:val="17"/>
          <w:color w:val="000000"/>
        </w:rPr>
        <w:t>Prior to January 1, 2020, bank loans were</w:t>
      </w:r>
      <w:r>
        <w:rPr>
          <w:rFonts w:ascii="Arial" w:cs="Arial" w:eastAsia="Arial" w:hAnsi="Arial"/>
          <w:sz w:val="17"/>
          <w:szCs w:val="17"/>
          <w:color w:val="231F20"/>
        </w:rPr>
        <w:t xml:space="preserve"> </w:t>
      </w:r>
      <w:r>
        <w:rPr>
          <w:rFonts w:ascii="Arial" w:cs="Arial" w:eastAsia="Arial" w:hAnsi="Arial"/>
          <w:sz w:val="17"/>
          <w:szCs w:val="17"/>
          <w:color w:val="000000"/>
        </w:rPr>
        <w:t xml:space="preserve">classified as held-for-investment and reported at amortized cost, net of any allowance for credit losses. Changes in the credit allowance were included in </w:t>
      </w:r>
      <w:r>
        <w:rPr>
          <w:rFonts w:ascii="Arial" w:cs="Arial" w:eastAsia="Arial" w:hAnsi="Arial"/>
          <w:sz w:val="17"/>
          <w:szCs w:val="17"/>
          <w:color w:val="231F20"/>
        </w:rPr>
        <w:t>net realized and unrealized gains (losses)</w:t>
      </w:r>
      <w:r>
        <w:rPr>
          <w:rFonts w:ascii="Arial" w:cs="Arial" w:eastAsia="Arial" w:hAnsi="Arial"/>
          <w:sz w:val="17"/>
          <w:szCs w:val="17"/>
          <w:color w:val="000000"/>
        </w:rPr>
        <w:t>. At December 31, 2019,</w:t>
      </w:r>
      <w:r>
        <w:rPr>
          <w:rFonts w:ascii="Arial" w:cs="Arial" w:eastAsia="Arial" w:hAnsi="Arial"/>
          <w:sz w:val="17"/>
          <w:szCs w:val="17"/>
          <w:color w:val="231F20"/>
        </w:rPr>
        <w:t xml:space="preserve"> management concluded that seven loans from six issuers in the Company's bank loan portfolio were impaired. The impaired loans had a carrying value of $6.9 million, unpaid principal of $14.3 million, and an allowance for credit losses of $7.2 million, $5.1 million of which related to two loans from one issuer who was experiencing liquidity concerns resulting from revenue declines and poor growth prospects in its most profitable segment.</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loans, and similar loans and investments. At March 31, 2020 and December 31, 2019, the fair market value of these securities was $202.9 million and $252.4 million, respectively.</w:t>
      </w:r>
    </w:p>
    <w:p>
      <w:pPr>
        <w:spacing w:after="0" w:line="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outbreak of the coronavirus pandemic in the first quarter of 2020 and uncertainty around the extent of its economic impact caused severe declines in financial markets. For our equity securities and bank loan participations (accounted for at fair value pursuant to the Company's election of the fair vale option on January 1, 2020), the declines in fair values led to significant net unrealized losses recognized in earnings. For the three months ended March 31, 2020, the Company recognized net realized and unrealized investment losses of $58.4 million including $43.9 million of net unrealized losses on bank loan participations, $13.3 million of losses for the change in the fair value of equity securities, $1.2 million of net realized investment losses on the sale of bank loan securities, and $214,000 of net realized investment gains on the sale of fixed maturity securities.</w:t>
      </w:r>
    </w:p>
    <w:p>
      <w:pPr>
        <w:spacing w:after="0" w:line="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three months ended March 31, 2019, the Company recognized net realized and unrealized investment gains of $1.6 million, including $3.5 million of gains for the change in the fair value of equity securities, $1.5 million of realized losses to</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establish credit allowances on two impaired bank loans, $271,000 of impairment losses on fixed maturity securities, and $136,000 of net realized investment losses on the sale of bank loan securities.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conjunction with its outside investment managers, the Company performs quarterly reviews of all securities within its investment portfolio to determine whether any impairment has occurred. Management concluded that none of its fixed maturity securities were impaired at March 31, 2020 or December 31, 2019. At March 31, 2020, 99.6% of the Company’s fixed maturity security portfolio was rated “BBB-” or better (“investment grade”) by Standard &amp; Poor’s or received an equivalent rating from another nationally recognized rating agency. </w:t>
      </w:r>
      <w:r>
        <w:rPr>
          <w:rFonts w:ascii="Arial" w:cs="Arial" w:eastAsia="Arial" w:hAnsi="Arial"/>
          <w:sz w:val="18"/>
          <w:szCs w:val="18"/>
          <w:color w:val="231F20"/>
        </w:rPr>
        <w:t>Management does not intend to sell available-for-sale</w:t>
      </w:r>
      <w:r>
        <w:rPr>
          <w:rFonts w:ascii="Arial" w:cs="Arial" w:eastAsia="Arial" w:hAnsi="Arial"/>
          <w:sz w:val="18"/>
          <w:szCs w:val="18"/>
          <w:color w:val="auto"/>
        </w:rPr>
        <w:t xml:space="preserve"> </w:t>
      </w:r>
      <w:r>
        <w:rPr>
          <w:rFonts w:ascii="Arial" w:cs="Arial" w:eastAsia="Arial" w:hAnsi="Arial"/>
          <w:sz w:val="18"/>
          <w:szCs w:val="18"/>
          <w:color w:val="231F20"/>
        </w:rPr>
        <w:t>securities in an unrealized loss position, and it is not “more likely than not” that the Company will be required to sell these securities before a recovery in their value to their amortized cost basis occurs.</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amortized cost and fair value of our available-for-sale fixed maturity securities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December 31, 2019</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Cost or</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14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Cost or</w:t>
            </w:r>
          </w:p>
        </w:tc>
        <w:tc>
          <w:tcPr>
            <w:tcW w:w="260" w:type="dxa"/>
            <w:vAlign w:val="bottom"/>
          </w:tcPr>
          <w:p>
            <w:pPr>
              <w:spacing w:after="0"/>
              <w:rPr>
                <w:sz w:val="13"/>
                <w:szCs w:val="13"/>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5"/>
          </w:tcPr>
          <w:p>
            <w:pPr>
              <w:ind w:left="88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available-for-</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173,919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181,375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159,894</w:t>
            </w:r>
          </w:p>
        </w:tc>
        <w:tc>
          <w:tcPr>
            <w:tcW w:w="12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167,101</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11.7%</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mortgage-backed</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298,904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307,439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261,524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264,146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18.4%</w:t>
            </w:r>
          </w:p>
        </w:tc>
        <w:tc>
          <w:tcPr>
            <w:tcW w:w="0" w:type="dxa"/>
            <w:vAlign w:val="bottom"/>
          </w:tcPr>
          <w:p>
            <w:pPr>
              <w:spacing w:after="0"/>
              <w:rPr>
                <w:sz w:val="1"/>
                <w:szCs w:val="1"/>
                <w:color w:val="auto"/>
              </w:rPr>
            </w:pP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669,191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685,021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43.7%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611,304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632,221</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44.1%</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Commercial mortgage and asset-backed</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274,448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268,979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249,309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252,457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17.6%</w:t>
            </w:r>
          </w:p>
        </w:tc>
        <w:tc>
          <w:tcPr>
            <w:tcW w:w="0" w:type="dxa"/>
            <w:vAlign w:val="bottom"/>
          </w:tcPr>
          <w:p>
            <w:pPr>
              <w:spacing w:after="0"/>
              <w:rPr>
                <w:sz w:val="1"/>
                <w:szCs w:val="1"/>
                <w:color w:val="auto"/>
              </w:rPr>
            </w:pPr>
          </w:p>
        </w:tc>
      </w:tr>
      <w:tr>
        <w:trPr>
          <w:trHeight w:val="229"/>
        </w:trPr>
        <w:tc>
          <w:tcPr>
            <w:tcW w:w="3180" w:type="dxa"/>
            <w:vAlign w:val="bottom"/>
          </w:tcPr>
          <w:p>
            <w:pPr>
              <w:ind w:left="180"/>
              <w:spacing w:after="0"/>
              <w:rPr>
                <w:sz w:val="20"/>
                <w:szCs w:val="20"/>
                <w:color w:val="auto"/>
              </w:rPr>
            </w:pPr>
            <w:r>
              <w:rPr>
                <w:rFonts w:ascii="Arial" w:cs="Arial" w:eastAsia="Arial" w:hAnsi="Arial"/>
                <w:sz w:val="18"/>
                <w:szCs w:val="18"/>
                <w:color w:val="auto"/>
                <w:w w:val="93"/>
              </w:rPr>
              <w:t>U.S. Treasury securities and obligations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guaranteed by the U.S. government</w:t>
            </w:r>
          </w:p>
        </w:tc>
        <w:tc>
          <w:tcPr>
            <w:tcW w:w="20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122,335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126,023</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114,477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115,667</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8.1%</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Redeemable preferred stock</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1,768</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2,034</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0.1%</w:t>
            </w:r>
          </w:p>
        </w:tc>
        <w:tc>
          <w:tcPr>
            <w:tcW w:w="0" w:type="dxa"/>
            <w:vAlign w:val="bottom"/>
          </w:tcPr>
          <w:p>
            <w:pPr>
              <w:spacing w:after="0"/>
              <w:rPr>
                <w:sz w:val="1"/>
                <w:szCs w:val="1"/>
                <w:color w:val="auto"/>
              </w:rPr>
            </w:pPr>
          </w:p>
        </w:tc>
      </w:tr>
      <w:tr>
        <w:trPr>
          <w:trHeight w:val="209"/>
        </w:trPr>
        <w:tc>
          <w:tcPr>
            <w:tcW w:w="3180" w:type="dxa"/>
            <w:vAlign w:val="bottom"/>
          </w:tcPr>
          <w:p>
            <w:pPr>
              <w:ind w:left="180"/>
              <w:spacing w:after="0"/>
              <w:rPr>
                <w:sz w:val="20"/>
                <w:szCs w:val="20"/>
                <w:color w:val="auto"/>
              </w:rPr>
            </w:pPr>
            <w:r>
              <w:rPr>
                <w:rFonts w:ascii="Arial" w:cs="Arial" w:eastAsia="Arial" w:hAnsi="Arial"/>
                <w:sz w:val="18"/>
                <w:szCs w:val="18"/>
                <w:color w:val="auto"/>
                <w:w w:val="93"/>
              </w:rPr>
              <w:t>Total fixed maturity securities, available-</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1,540,822</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1,570,605</w:t>
            </w:r>
          </w:p>
        </w:tc>
        <w:tc>
          <w:tcPr>
            <w:tcW w:w="120" w:type="dxa"/>
            <w:vAlign w:val="bottom"/>
          </w:tcPr>
          <w:p>
            <w:pPr>
              <w:spacing w:after="0"/>
              <w:rPr>
                <w:sz w:val="18"/>
                <w:szCs w:val="18"/>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i w:val="1"/>
                <w:iCs w:val="1"/>
                <w:color w:val="auto"/>
              </w:rPr>
              <w:t>100.0%</w:t>
            </w: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1,398,533</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1,433,626</w:t>
            </w:r>
          </w:p>
        </w:tc>
        <w:tc>
          <w:tcPr>
            <w:tcW w:w="120" w:type="dxa"/>
            <w:vAlign w:val="bottom"/>
          </w:tcPr>
          <w:p>
            <w:pPr>
              <w:spacing w:after="0"/>
              <w:rPr>
                <w:sz w:val="18"/>
                <w:szCs w:val="18"/>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i w:val="1"/>
                <w:iCs w:val="1"/>
                <w:color w:val="auto"/>
              </w:rPr>
              <w:t>100.0%</w:t>
            </w:r>
          </w:p>
        </w:tc>
        <w:tc>
          <w:tcPr>
            <w:tcW w:w="0" w:type="dxa"/>
            <w:vAlign w:val="bottom"/>
          </w:tcPr>
          <w:p>
            <w:pPr>
              <w:spacing w:after="0"/>
              <w:rPr>
                <w:sz w:val="1"/>
                <w:szCs w:val="1"/>
                <w:color w:val="auto"/>
              </w:rPr>
            </w:pPr>
          </w:p>
        </w:tc>
      </w:tr>
      <w:tr>
        <w:trPr>
          <w:trHeight w:val="242"/>
        </w:trPr>
        <w:tc>
          <w:tcPr>
            <w:tcW w:w="3180" w:type="dxa"/>
            <w:vAlign w:val="bottom"/>
          </w:tcPr>
          <w:p>
            <w:pPr>
              <w:ind w:left="180"/>
              <w:spacing w:after="0"/>
              <w:rPr>
                <w:sz w:val="20"/>
                <w:szCs w:val="20"/>
                <w:color w:val="auto"/>
              </w:rPr>
            </w:pPr>
            <w:r>
              <w:rPr>
                <w:rFonts w:ascii="Arial" w:cs="Arial" w:eastAsia="Arial" w:hAnsi="Arial"/>
                <w:sz w:val="18"/>
                <w:szCs w:val="18"/>
                <w:color w:val="auto"/>
              </w:rPr>
              <w:t>for-sale</w:t>
            </w:r>
          </w:p>
        </w:tc>
        <w:tc>
          <w:tcPr>
            <w:tcW w:w="2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sets forth the composition of the Company’s portfolio of available-for-sale fixed maturity securities by rating as of </w:t>
      </w:r>
      <w:r>
        <w:rPr>
          <w:rFonts w:ascii="Arial" w:cs="Arial" w:eastAsia="Arial" w:hAnsi="Arial"/>
          <w:sz w:val="17"/>
          <w:szCs w:val="17"/>
          <w:color w:val="231F20"/>
        </w:rPr>
        <w:t>March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2020</w:t>
      </w:r>
      <w:r>
        <w:rPr>
          <w:rFonts w:ascii="Arial" w:cs="Arial" w:eastAsia="Arial" w:hAnsi="Arial"/>
          <w:sz w:val="18"/>
          <w:szCs w:val="18"/>
          <w:color w:val="000000"/>
        </w:rPr>
        <w: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 &amp; Poor’s or Equivalent Designation</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3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8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40" w:type="dxa"/>
            <w:vAlign w:val="bottom"/>
            <w:gridSpan w:val="3"/>
          </w:tcPr>
          <w:p>
            <w:pPr>
              <w:jc w:val="right"/>
              <w:ind w:right="733"/>
              <w:spacing w:after="0"/>
              <w:rPr>
                <w:sz w:val="20"/>
                <w:szCs w:val="20"/>
                <w:color w:val="auto"/>
              </w:rPr>
            </w:pPr>
            <w:r>
              <w:rPr>
                <w:rFonts w:ascii="Arial" w:cs="Arial" w:eastAsia="Arial" w:hAnsi="Arial"/>
                <w:sz w:val="14"/>
                <w:szCs w:val="14"/>
                <w:b w:val="1"/>
                <w:bCs w:val="1"/>
                <w:i w:val="1"/>
                <w:iCs w:val="1"/>
                <w:color w:val="auto"/>
              </w:rPr>
              <w:t>($ in thousands)</w:t>
            </w:r>
          </w:p>
        </w:tc>
      </w:tr>
      <w:tr>
        <w:trPr>
          <w:trHeight w:val="256"/>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275,788</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AA</w:t>
            </w:r>
          </w:p>
        </w:tc>
        <w:tc>
          <w:tcPr>
            <w:tcW w:w="2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614,317</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7"/>
        </w:trPr>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535,708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BBB</w:t>
            </w:r>
          </w:p>
        </w:tc>
        <w:tc>
          <w:tcPr>
            <w:tcW w:w="2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139,237</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 BBB and unrated</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5,555</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860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1,570,605</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At March 31, 2020, our portfolio of fixed maturity securities contained corporate fixed maturity securities (available-for-sale) with a fair value of $685.0 million. A summary of these securities by industry segment is shown below as of </w:t>
      </w:r>
      <w:r>
        <w:rPr>
          <w:rFonts w:ascii="Arial" w:cs="Arial" w:eastAsia="Arial" w:hAnsi="Arial"/>
          <w:sz w:val="18"/>
          <w:szCs w:val="18"/>
          <w:color w:val="231F20"/>
        </w:rPr>
        <w:t>March 31, 2020</w:t>
      </w:r>
      <w:r>
        <w:rPr>
          <w:rFonts w:ascii="Arial" w:cs="Arial" w:eastAsia="Arial" w:hAnsi="Arial"/>
          <w:sz w:val="18"/>
          <w:szCs w:val="18"/>
          <w:color w:val="auto"/>
        </w:rPr>
        <w: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Industry</w:t>
            </w:r>
          </w:p>
        </w:tc>
        <w:tc>
          <w:tcPr>
            <w:tcW w:w="4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3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40" w:type="dxa"/>
            <w:vAlign w:val="bottom"/>
            <w:gridSpan w:val="3"/>
          </w:tcPr>
          <w:p>
            <w:pPr>
              <w:jc w:val="right"/>
              <w:ind w:right="732"/>
              <w:spacing w:after="0"/>
              <w:rPr>
                <w:sz w:val="20"/>
                <w:szCs w:val="20"/>
                <w:color w:val="auto"/>
              </w:rPr>
            </w:pPr>
            <w:r>
              <w:rPr>
                <w:rFonts w:ascii="Arial" w:cs="Arial" w:eastAsia="Arial" w:hAnsi="Arial"/>
                <w:sz w:val="14"/>
                <w:szCs w:val="14"/>
                <w:b w:val="1"/>
                <w:bCs w:val="1"/>
                <w:i w:val="1"/>
                <w:iCs w:val="1"/>
                <w:color w:val="auto"/>
              </w:rPr>
              <w:t>($ in thousands)</w:t>
            </w: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Industrials and Other</w:t>
            </w:r>
          </w:p>
        </w:tc>
        <w:tc>
          <w:tcPr>
            <w:tcW w:w="5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169,337</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Financial</w:t>
            </w:r>
          </w:p>
        </w:tc>
        <w:tc>
          <w:tcPr>
            <w:tcW w:w="4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181,356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Discretionary</w:t>
            </w:r>
          </w:p>
        </w:tc>
        <w:tc>
          <w:tcPr>
            <w:tcW w:w="4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98,819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Health Care</w:t>
            </w:r>
          </w:p>
        </w:tc>
        <w:tc>
          <w:tcPr>
            <w:tcW w:w="4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81,766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Staples</w:t>
            </w:r>
          </w:p>
        </w:tc>
        <w:tc>
          <w:tcPr>
            <w:tcW w:w="4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69,830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Utilities</w:t>
            </w:r>
          </w:p>
        </w:tc>
        <w:tc>
          <w:tcPr>
            <w:tcW w:w="4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83,913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685,021</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bottom w:val="single" w:sz="8" w:color="CCEEFF"/>
            </w:tcBorders>
            <w:vMerge w:val="restart"/>
          </w:tcPr>
          <w:p>
            <w:pPr>
              <w:jc w:val="right"/>
              <w:ind w:right="2790"/>
              <w:spacing w:after="0"/>
              <w:rPr>
                <w:sz w:val="20"/>
                <w:szCs w:val="20"/>
                <w:color w:val="auto"/>
              </w:rPr>
            </w:pPr>
            <w:r>
              <w:rPr>
                <w:rFonts w:ascii="Arial" w:cs="Arial" w:eastAsia="Arial" w:hAnsi="Arial"/>
                <w:sz w:val="18"/>
                <w:szCs w:val="18"/>
                <w:color w:val="auto"/>
              </w:rPr>
              <w:t>40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66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Corporate fixed maturity securities (available-for-sale) include publicly traded securities and privately placed bonds as shown below as of </w:t>
      </w:r>
      <w:r>
        <w:rPr>
          <w:rFonts w:ascii="Arial" w:cs="Arial" w:eastAsia="Arial" w:hAnsi="Arial"/>
          <w:sz w:val="16"/>
          <w:szCs w:val="16"/>
          <w:color w:val="231F20"/>
        </w:rPr>
        <w:t>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2020</w:t>
      </w:r>
      <w:r>
        <w:rPr>
          <w:rFonts w:ascii="Arial" w:cs="Arial" w:eastAsia="Arial" w:hAnsi="Arial"/>
          <w:sz w:val="18"/>
          <w:szCs w:val="18"/>
          <w:color w:val="000000"/>
        </w:rPr>
        <w: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Public/Private</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3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8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40" w:type="dxa"/>
            <w:vAlign w:val="bottom"/>
            <w:gridSpan w:val="3"/>
          </w:tcPr>
          <w:p>
            <w:pPr>
              <w:jc w:val="right"/>
              <w:ind w:right="735"/>
              <w:spacing w:after="0"/>
              <w:rPr>
                <w:sz w:val="20"/>
                <w:szCs w:val="20"/>
                <w:color w:val="auto"/>
              </w:rPr>
            </w:pPr>
            <w:r>
              <w:rPr>
                <w:rFonts w:ascii="Arial" w:cs="Arial" w:eastAsia="Arial" w:hAnsi="Arial"/>
                <w:sz w:val="14"/>
                <w:szCs w:val="14"/>
                <w:b w:val="1"/>
                <w:bCs w:val="1"/>
                <w:i w:val="1"/>
                <w:iCs w:val="1"/>
                <w:color w:val="auto"/>
              </w:rPr>
              <w:t>($ in thousands)</w:t>
            </w:r>
          </w:p>
        </w:tc>
      </w:tr>
      <w:tr>
        <w:trPr>
          <w:trHeight w:val="256"/>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Publicly traded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626,149</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Privately placed</w:t>
            </w:r>
          </w:p>
        </w:tc>
        <w:tc>
          <w:tcPr>
            <w:tcW w:w="20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58,872</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8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685,021</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amortized cost and fair value of our available-for-sale investments in fixed maturity securities summarized by contractual maturity are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March 31, 2020</w:t>
            </w:r>
          </w:p>
        </w:tc>
        <w:tc>
          <w:tcPr>
            <w:tcW w:w="1300" w:type="dxa"/>
            <w:vAlign w:val="bottom"/>
            <w:tcBorders>
              <w:bottom w:val="single" w:sz="8" w:color="auto"/>
            </w:tcBorders>
          </w:tcPr>
          <w:p>
            <w:pPr>
              <w:spacing w:after="0"/>
              <w:rPr>
                <w:sz w:val="16"/>
                <w:szCs w:val="16"/>
                <w:color w:val="auto"/>
              </w:rPr>
            </w:pPr>
          </w:p>
        </w:tc>
      </w:tr>
      <w:tr>
        <w:trPr>
          <w:trHeight w:val="152"/>
        </w:trPr>
        <w:tc>
          <w:tcPr>
            <w:tcW w:w="7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Amortized</w:t>
            </w:r>
          </w:p>
        </w:tc>
        <w:tc>
          <w:tcPr>
            <w:tcW w:w="320" w:type="dxa"/>
            <w:vAlign w:val="bottom"/>
          </w:tcPr>
          <w:p>
            <w:pPr>
              <w:spacing w:after="0"/>
              <w:rPr>
                <w:sz w:val="13"/>
                <w:szCs w:val="13"/>
                <w:color w:val="auto"/>
              </w:rPr>
            </w:pPr>
          </w:p>
        </w:tc>
        <w:tc>
          <w:tcPr>
            <w:tcW w:w="102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rPr>
              <w:t>Fair</w:t>
            </w:r>
          </w:p>
        </w:tc>
        <w:tc>
          <w:tcPr>
            <w:tcW w:w="1300" w:type="dxa"/>
            <w:vAlign w:val="bottom"/>
          </w:tcPr>
          <w:p>
            <w:pPr>
              <w:jc w:val="right"/>
              <w:ind w:right="414"/>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7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13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 Value</w:t>
            </w:r>
          </w:p>
        </w:tc>
      </w:tr>
      <w:tr>
        <w:trPr>
          <w:trHeight w:val="196"/>
        </w:trPr>
        <w:tc>
          <w:tcPr>
            <w:tcW w:w="7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300" w:type="dxa"/>
            <w:vAlign w:val="bottom"/>
          </w:tcPr>
          <w:p>
            <w:pPr>
              <w:spacing w:after="0"/>
              <w:rPr>
                <w:sz w:val="17"/>
                <w:szCs w:val="17"/>
                <w:color w:val="auto"/>
              </w:rPr>
            </w:pPr>
          </w:p>
        </w:tc>
      </w:tr>
      <w:tr>
        <w:trPr>
          <w:trHeight w:val="256"/>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43"/>
        </w:trPr>
        <w:tc>
          <w:tcPr>
            <w:tcW w:w="7260" w:type="dxa"/>
            <w:vAlign w:val="bottom"/>
          </w:tcPr>
          <w:p>
            <w:pPr>
              <w:ind w:left="180"/>
              <w:spacing w:after="0"/>
              <w:rPr>
                <w:sz w:val="20"/>
                <w:szCs w:val="20"/>
                <w:color w:val="auto"/>
              </w:rPr>
            </w:pPr>
            <w:r>
              <w:rPr>
                <w:rFonts w:ascii="Arial" w:cs="Arial" w:eastAsia="Arial" w:hAnsi="Arial"/>
                <w:sz w:val="18"/>
                <w:szCs w:val="18"/>
                <w:color w:val="auto"/>
              </w:rPr>
              <w:t>One year or less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108,264</w:t>
            </w:r>
          </w:p>
        </w:tc>
        <w:tc>
          <w:tcPr>
            <w:tcW w:w="12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108,823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6.9%</w:t>
            </w:r>
          </w:p>
        </w:tc>
      </w:tr>
      <w:tr>
        <w:trPr>
          <w:trHeight w:val="27"/>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one year through five years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472,749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484,651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30.9%</w:t>
            </w:r>
          </w:p>
        </w:tc>
      </w:tr>
      <w:tr>
        <w:trPr>
          <w:trHeight w:val="243"/>
        </w:trPr>
        <w:tc>
          <w:tcPr>
            <w:tcW w:w="7260" w:type="dxa"/>
            <w:vAlign w:val="bottom"/>
          </w:tcPr>
          <w:p>
            <w:pPr>
              <w:ind w:left="180"/>
              <w:spacing w:after="0"/>
              <w:rPr>
                <w:sz w:val="20"/>
                <w:szCs w:val="20"/>
                <w:color w:val="auto"/>
              </w:rPr>
            </w:pPr>
            <w:r>
              <w:rPr>
                <w:rFonts w:ascii="Arial" w:cs="Arial" w:eastAsia="Arial" w:hAnsi="Arial"/>
                <w:sz w:val="18"/>
                <w:szCs w:val="18"/>
                <w:color w:val="auto"/>
              </w:rPr>
              <w:t>After five years through ten years</w:t>
            </w: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253,007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260,236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16.6%</w:t>
            </w:r>
          </w:p>
        </w:tc>
      </w:tr>
      <w:tr>
        <w:trPr>
          <w:trHeight w:val="27"/>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ten years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131,425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138,709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8.8%</w:t>
            </w:r>
          </w:p>
        </w:tc>
      </w:tr>
      <w:tr>
        <w:trPr>
          <w:trHeight w:val="243"/>
        </w:trPr>
        <w:tc>
          <w:tcPr>
            <w:tcW w:w="7260" w:type="dxa"/>
            <w:vAlign w:val="bottom"/>
          </w:tcPr>
          <w:p>
            <w:pPr>
              <w:ind w:left="180"/>
              <w:spacing w:after="0"/>
              <w:rPr>
                <w:sz w:val="20"/>
                <w:szCs w:val="20"/>
                <w:color w:val="auto"/>
              </w:rPr>
            </w:pPr>
            <w:r>
              <w:rPr>
                <w:rFonts w:ascii="Arial" w:cs="Arial" w:eastAsia="Arial" w:hAnsi="Arial"/>
                <w:sz w:val="18"/>
                <w:szCs w:val="18"/>
                <w:color w:val="auto"/>
              </w:rPr>
              <w:t>Residential mortgage-backed</w:t>
            </w: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298,904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307,439</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19.6%</w:t>
            </w:r>
          </w:p>
        </w:tc>
      </w:tr>
      <w:tr>
        <w:trPr>
          <w:trHeight w:val="27"/>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mortgage and asset-backed</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274,448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268,979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17.1%</w:t>
            </w:r>
          </w:p>
        </w:tc>
      </w:tr>
      <w:tr>
        <w:trPr>
          <w:trHeight w:val="243"/>
        </w:trPr>
        <w:tc>
          <w:tcPr>
            <w:tcW w:w="7260" w:type="dxa"/>
            <w:vAlign w:val="bottom"/>
          </w:tcPr>
          <w:p>
            <w:pPr>
              <w:ind w:left="180"/>
              <w:spacing w:after="0"/>
              <w:rPr>
                <w:sz w:val="20"/>
                <w:szCs w:val="20"/>
                <w:color w:val="auto"/>
              </w:rPr>
            </w:pPr>
            <w:r>
              <w:rPr>
                <w:rFonts w:ascii="Arial" w:cs="Arial" w:eastAsia="Arial" w:hAnsi="Arial"/>
                <w:sz w:val="18"/>
                <w:szCs w:val="18"/>
                <w:color w:val="auto"/>
              </w:rPr>
              <w:t>Redeemable preferred stock</w:t>
            </w: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1,768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0.1%</w:t>
            </w:r>
          </w:p>
        </w:tc>
      </w:tr>
      <w:tr>
        <w:trPr>
          <w:trHeight w:val="27"/>
        </w:trPr>
        <w:tc>
          <w:tcPr>
            <w:tcW w:w="7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1,540,822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7"/>
              </w:rPr>
              <w:t>1,570,605</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100.0%</w:t>
            </w:r>
          </w:p>
        </w:tc>
      </w:tr>
      <w:tr>
        <w:trPr>
          <w:trHeight w:val="20"/>
        </w:trPr>
        <w:tc>
          <w:tcPr>
            <w:tcW w:w="7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960" w:firstLine="351"/>
        <w:spacing w:after="0" w:line="375" w:lineRule="auto"/>
        <w:rPr>
          <w:sz w:val="20"/>
          <w:szCs w:val="20"/>
          <w:color w:val="auto"/>
        </w:rPr>
      </w:pPr>
      <w:r>
        <w:rPr>
          <w:rFonts w:ascii="Arial" w:cs="Arial" w:eastAsia="Arial" w:hAnsi="Arial"/>
          <w:sz w:val="18"/>
          <w:szCs w:val="18"/>
          <w:color w:val="auto"/>
        </w:rPr>
        <w:t xml:space="preserve">At March 31, 2020, the Company had no investments in securitizations of alternative-A mortgages or sub-prime mortgages. </w:t>
      </w:r>
      <w:r>
        <w:rPr>
          <w:rFonts w:ascii="Arial" w:cs="Arial" w:eastAsia="Arial" w:hAnsi="Arial"/>
          <w:sz w:val="18"/>
          <w:szCs w:val="18"/>
          <w:b w:val="1"/>
          <w:bCs w:val="1"/>
          <w:i w:val="1"/>
          <w:iCs w:val="1"/>
          <w:color w:val="auto"/>
        </w:rPr>
        <w:t>Interest Expense</w:t>
      </w:r>
    </w:p>
    <w:p>
      <w:pPr>
        <w:spacing w:after="0" w:line="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Interest expense was $2.9 million and $2.8 million for the three months ended March 31, 2020 and 2019, respectively. See “—Liquidity and Capital Resources—Sources and Uses of Funds” for more information regarding our senior bank debt facilities and trust preferred securities.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recorded $149,000 of amortization of intangible assets for each of the three months ended March 31, 2020 and 2019,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 The outbreak of the coronavirus pandemic in the first quarter of 2020 led to significant unrealized losses in our investment portfolio that were recognized in earnings. As a result, the Company had a pre-tax loss of $41.2 million for the three months ended March 31, 2020 and recorded a U.S. federal income tax benefit of $4.4 million. For the three months ended March 31, 2019, our U.S. federal income tax expense was 10.8% of income before taxes.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organized as a Bermuda holding company with our operations conducted by our wholly-owned subsidiaries. Accordingly, our holding company may receive cash through loans from banks, issuance of common shares, borrowings on our credit facilities,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the reduction of statutory surplus to inadequate levels and could refuse to permit the payment of dividends calculated under any applicable formula. The maximum amount of dividends available to the U.S. holding company from our U.S. insurance subsidiaries during 2020 without regulatory approval is $26.7 million.</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The maximum combined amount of dividends and return of capital available to us from our Bermuda insurers in 2020 is calculated to be approximately $125.6 million. However, any dividend payment is contingent upon continued compliance with Bermuda regulatory requirements, including but not limited to the enhanced solvency requirement calculations.</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March 31, 2020, the Bermuda holding company had $2.9 million of cash and cash equivalents. The U.S. holding company had $46.2 million of cash and invested assets, comprised of cash and cash equivalents of $5.1 million and other invested assets of $41.2 million, which are not subject to regulatory restrictions. Additionally, our U.K. intermediate holding company had no invested assets and cash of less than ten thousand dollars at March 31,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a $315.0 million senior revolving credit facility (as amended or amended and restated, the “2013 Facility”). The 2013 Facility is comprised of the following at March 31, 2020:</w:t>
      </w:r>
    </w:p>
    <w:p>
      <w:pPr>
        <w:spacing w:after="0" w:line="62" w:lineRule="exact"/>
        <w:rPr>
          <w:sz w:val="20"/>
          <w:szCs w:val="20"/>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$102.5 million secured revolving facility used by JRG Re to issue letters of credit for the benefit of third-party reinsureds. This portion of our credit facility is secured by our investment securities. At March 31, 2020, the Company had $76.0 million of letters of credit issued under the secured facility.</w:t>
      </w:r>
    </w:p>
    <w:p>
      <w:pPr>
        <w:spacing w:after="0" w:line="75"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$212.5 million unsecured revolving facility to meet the working capital needs of the Company. All unpaid principal on the revolver is due at maturity. Interest accrues quarterly and is payable in arrears at 3-month LIBOR plus a margin which is currently 1.375% and is subject to change according to terms in the credit agreement. At March 31, 2020, the Company had a drawn balance of $193.3 million outstanding on the unsecured revolver. We drew $60.0 million on this credit facility in the three months ended March 31, 2020 as a precautionary measure to increase our cash position and preserve financial flexibility in light of current uncertainty in the global markets resulting from the coronavirus (COVID-19) outbreak.</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2013 Facility has been amended from time to time since its inception in 2013. On November 8, 2019, the Company entered into a Second Amended and Restated Credit Agreement for the 2013 Facility which, among other things, extended the maturity date of the 2013 Facility until November 8, 2024, increased the amount available under the unsecured revolving credit facility to $212.5 million, lowered the applicable interest rate and letter of credit fees, and modified certain negative covenants to be less restrictive.</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2013 Facility contains certain financial and other covenants (including minimum net worth, maximum ratio of total adjusted debt outstanding to total capitalization, and financial strength ratings) with which the Company was in compliance at March 31, 2020.</w:t>
      </w:r>
    </w:p>
    <w:p>
      <w:pPr>
        <w:spacing w:after="0" w:line="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August 2, 2017, the Company, and its wholly-owned subsidiary, JRG Re, together as borrowers, entered into a credit agreement (the "2017 Facility") that provides the Company with a revolving line of credit of up to $100 million, which may be used for loans and letters of credit made or issued, at the borrowers' option, on a secured or unsecured basis. Obligations under the 2017 Facility carry a variable rate of interest subject to terms in the credit agreement and will mature 30 days after notice of termination from the lender. The 2017 Facility contains certain financial and other covenants with which we are in compliance at March 31, 2020. The loans and letters of credit made or issued under the revolving line of credit of the 2017 Facility may be used to finance the borrowers' general corporate purposes. On November 8, 2019, the Company entered into a First Amendment to Credit Agreement which, among other things, lowered the applicable interest rate and modified certain negative covenants to be less restrictive. Interest accrues quarterly and is payable in arrears at variable rates which are subject to change according to terms in the credit agreement. At March 31, 2020, unsecured loans of $69.0 million and secured letters of credit totaling $25.7 million were outstanding on the 2017 Facility. We drew $59.0 million of unsecured capacity on this credit facility in the three months ended March 31, 2020 as a precautionary measure to increase our cash position and preserve financial flexibility in light of current uncertainty in the global markets resulting from the coronavirus (COVID-19) outbreak.</w:t>
      </w:r>
    </w:p>
    <w:p>
      <w:pPr>
        <w:spacing w:after="0" w:line="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May 2004, we issued $15.0 million of senior debt due April 29, 2034. The senior debt is not redeemable by the holder or subject to sinking fund requirements. Interest accrues quarterly and is payable in arrears at a floating rate per annum equal to the 3-month LIBOR plus 3.85%. This senior debt is redeemable at par prior to its stated maturity at our option in whole or in part.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terms of the senior debt contain certain covenants, with which we are in compliance at March 31, 2020, and which, among other things, restrict our ability to assume senior indebtedness secured by our U.S. holding company’s common stock or its subsidiaries’ capital stock or to issue shares of its subsidiaries’ capital stock.</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nature and terms of the junior subordinated debt and trust preferred securities outstanding at March 31, 2020 (including the Company’s repurchases of a portion of these trust preferred securities):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9"/>
              </w:rPr>
              <w:t>Franklin</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6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2"/>
              </w:rPr>
              <w:t>James River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Holdings II</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(Bermuda)</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6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Capital Trust</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16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I</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II</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III</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IV</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8"/>
              </w:rPr>
              <w:t>($ in thousands)</w:t>
            </w: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Issue date</w:t>
            </w:r>
          </w:p>
        </w:tc>
        <w:tc>
          <w:tcPr>
            <w:tcW w:w="160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3"/>
              </w:rPr>
              <w:t>May 26,</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December 15,</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June 15,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11,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10,</w:t>
            </w: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center"/>
              <w:ind w:right="74"/>
              <w:spacing w:after="0"/>
              <w:rPr>
                <w:sz w:val="20"/>
                <w:szCs w:val="20"/>
                <w:color w:val="auto"/>
              </w:rPr>
            </w:pPr>
            <w:r>
              <w:rPr>
                <w:rFonts w:ascii="Arial" w:cs="Arial" w:eastAsia="Arial" w:hAnsi="Arial"/>
                <w:sz w:val="18"/>
                <w:szCs w:val="18"/>
                <w:color w:val="auto"/>
                <w:w w:val="89"/>
              </w:rPr>
              <w:t>2004</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w w:val="97"/>
              </w:rPr>
              <w:t>Principal amount of trust preferred securities</w:t>
            </w:r>
          </w:p>
        </w:tc>
        <w:tc>
          <w:tcPr>
            <w:tcW w:w="1600" w:type="dxa"/>
            <w:vAlign w:val="bottom"/>
          </w:tcPr>
          <w:p>
            <w:pPr>
              <w:jc w:val="center"/>
              <w:ind w:right="54"/>
              <w:spacing w:after="0"/>
              <w:rPr>
                <w:sz w:val="20"/>
                <w:szCs w:val="20"/>
                <w:color w:val="auto"/>
              </w:rPr>
            </w:pPr>
            <w:r>
              <w:rPr>
                <w:rFonts w:ascii="Arial" w:cs="Arial" w:eastAsia="Arial" w:hAnsi="Arial"/>
                <w:sz w:val="18"/>
                <w:szCs w:val="18"/>
                <w:color w:val="auto"/>
                <w:w w:val="90"/>
              </w:rPr>
              <w:t>$7,000</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$15,000</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$20,000</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$54,000</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$30,000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Principal amount of junior subordinated debt</w:t>
            </w:r>
          </w:p>
        </w:tc>
        <w:tc>
          <w:tcPr>
            <w:tcW w:w="1600" w:type="dxa"/>
            <w:vAlign w:val="bottom"/>
            <w:tcBorders>
              <w:bottom w:val="single" w:sz="8" w:color="CCEEFF"/>
            </w:tcBorders>
            <w:shd w:val="clear" w:color="auto" w:fill="CCEEFF"/>
          </w:tcPr>
          <w:p>
            <w:pPr>
              <w:jc w:val="center"/>
              <w:ind w:right="54"/>
              <w:spacing w:after="0"/>
              <w:rPr>
                <w:sz w:val="20"/>
                <w:szCs w:val="20"/>
                <w:color w:val="auto"/>
              </w:rPr>
            </w:pPr>
            <w:r>
              <w:rPr>
                <w:rFonts w:ascii="Arial" w:cs="Arial" w:eastAsia="Arial" w:hAnsi="Arial"/>
                <w:sz w:val="18"/>
                <w:szCs w:val="18"/>
                <w:color w:val="auto"/>
                <w:w w:val="90"/>
              </w:rPr>
              <w:t>$7,217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$15,464</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$20,619</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$55,670</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$30,928</w:t>
            </w:r>
          </w:p>
        </w:tc>
        <w:tc>
          <w:tcPr>
            <w:tcW w:w="0" w:type="dxa"/>
            <w:vAlign w:val="bottom"/>
          </w:tcPr>
          <w:p>
            <w:pPr>
              <w:spacing w:after="0"/>
              <w:rPr>
                <w:sz w:val="1"/>
                <w:szCs w:val="1"/>
                <w:color w:val="auto"/>
              </w:rPr>
            </w:pPr>
          </w:p>
        </w:tc>
      </w:tr>
      <w:tr>
        <w:trPr>
          <w:trHeight w:val="229"/>
        </w:trPr>
        <w:tc>
          <w:tcPr>
            <w:tcW w:w="3500" w:type="dxa"/>
            <w:vAlign w:val="bottom"/>
          </w:tcPr>
          <w:p>
            <w:pPr>
              <w:ind w:left="40"/>
              <w:spacing w:after="0"/>
              <w:rPr>
                <w:sz w:val="20"/>
                <w:szCs w:val="20"/>
                <w:color w:val="auto"/>
              </w:rPr>
            </w:pPr>
            <w:r>
              <w:rPr>
                <w:rFonts w:ascii="Arial" w:cs="Arial" w:eastAsia="Arial" w:hAnsi="Arial"/>
                <w:sz w:val="18"/>
                <w:szCs w:val="18"/>
                <w:color w:val="auto"/>
                <w:w w:val="97"/>
              </w:rPr>
              <w:t>Carrying amount of junior subordinated debt</w:t>
            </w:r>
          </w:p>
        </w:tc>
        <w:tc>
          <w:tcPr>
            <w:tcW w:w="16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40"/>
              <w:spacing w:after="0"/>
              <w:rPr>
                <w:sz w:val="20"/>
                <w:szCs w:val="20"/>
                <w:color w:val="auto"/>
              </w:rPr>
            </w:pPr>
            <w:r>
              <w:rPr>
                <w:rFonts w:ascii="Arial" w:cs="Arial" w:eastAsia="Arial" w:hAnsi="Arial"/>
                <w:sz w:val="18"/>
                <w:szCs w:val="18"/>
                <w:color w:val="auto"/>
              </w:rPr>
              <w:t>net of repurchases</w:t>
            </w:r>
          </w:p>
        </w:tc>
        <w:tc>
          <w:tcPr>
            <w:tcW w:w="1600" w:type="dxa"/>
            <w:vAlign w:val="bottom"/>
          </w:tcPr>
          <w:p>
            <w:pPr>
              <w:jc w:val="center"/>
              <w:ind w:right="54"/>
              <w:spacing w:after="0"/>
              <w:rPr>
                <w:sz w:val="20"/>
                <w:szCs w:val="20"/>
                <w:color w:val="auto"/>
              </w:rPr>
            </w:pPr>
            <w:r>
              <w:rPr>
                <w:rFonts w:ascii="Arial" w:cs="Arial" w:eastAsia="Arial" w:hAnsi="Arial"/>
                <w:sz w:val="18"/>
                <w:szCs w:val="18"/>
                <w:color w:val="auto"/>
                <w:w w:val="90"/>
              </w:rPr>
              <w:t>$7,217</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$15,464</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$20,619</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$44,827</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$15,928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date of junior subordinated debt,</w:t>
            </w:r>
          </w:p>
        </w:tc>
        <w:tc>
          <w:tcPr>
            <w:tcW w:w="160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3"/>
              </w:rPr>
              <w:t>May 24,</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December 15,</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June 15,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15,</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15,</w:t>
            </w: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unless accelerated earlier</w:t>
            </w:r>
          </w:p>
        </w:tc>
        <w:tc>
          <w:tcPr>
            <w:tcW w:w="1600" w:type="dxa"/>
            <w:vAlign w:val="bottom"/>
            <w:tcBorders>
              <w:bottom w:val="single" w:sz="8" w:color="CCEEFF"/>
            </w:tcBorders>
            <w:shd w:val="clear" w:color="auto" w:fill="CCEEFF"/>
          </w:tcPr>
          <w:p>
            <w:pPr>
              <w:jc w:val="center"/>
              <w:ind w:right="74"/>
              <w:spacing w:after="0"/>
              <w:rPr>
                <w:sz w:val="20"/>
                <w:szCs w:val="20"/>
                <w:color w:val="auto"/>
              </w:rPr>
            </w:pPr>
            <w:r>
              <w:rPr>
                <w:rFonts w:ascii="Arial" w:cs="Arial" w:eastAsia="Arial" w:hAnsi="Arial"/>
                <w:sz w:val="18"/>
                <w:szCs w:val="18"/>
                <w:color w:val="auto"/>
                <w:w w:val="89"/>
              </w:rPr>
              <w:t>2034</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2034</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2036</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2037</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2038</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Trust common stock</w:t>
            </w:r>
          </w:p>
        </w:tc>
        <w:tc>
          <w:tcPr>
            <w:tcW w:w="1600" w:type="dxa"/>
            <w:vAlign w:val="bottom"/>
          </w:tcPr>
          <w:p>
            <w:pPr>
              <w:jc w:val="center"/>
              <w:ind w:right="74"/>
              <w:spacing w:after="0"/>
              <w:rPr>
                <w:sz w:val="20"/>
                <w:szCs w:val="20"/>
                <w:color w:val="auto"/>
              </w:rPr>
            </w:pPr>
            <w:r>
              <w:rPr>
                <w:rFonts w:ascii="Arial" w:cs="Arial" w:eastAsia="Arial" w:hAnsi="Arial"/>
                <w:sz w:val="18"/>
                <w:szCs w:val="18"/>
                <w:color w:val="auto"/>
                <w:w w:val="89"/>
              </w:rPr>
              <w:t>$217</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$464</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$619</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$1,670</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$928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per annum</w:t>
            </w:r>
          </w:p>
        </w:tc>
        <w:tc>
          <w:tcPr>
            <w:tcW w:w="16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6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3"/>
              </w:rPr>
              <w:t>Three-Month</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LIBOR plus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p>
        </w:tc>
        <w:tc>
          <w:tcPr>
            <w:tcW w:w="160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4"/>
              </w:rPr>
              <w:t>LIBOR plus 4.0%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3.4%</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LIBOR plus 3.0%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3.1%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4.0%</w:t>
            </w:r>
          </w:p>
        </w:tc>
        <w:tc>
          <w:tcPr>
            <w:tcW w:w="0" w:type="dxa"/>
            <w:vAlign w:val="bottom"/>
          </w:tcPr>
          <w:p>
            <w:pPr>
              <w:spacing w:after="0"/>
              <w:rPr>
                <w:sz w:val="1"/>
                <w:szCs w:val="1"/>
                <w:color w:val="auto"/>
              </w:rPr>
            </w:pPr>
          </w:p>
        </w:tc>
      </w:tr>
      <w:tr>
        <w:trPr>
          <w:trHeight w:val="27"/>
        </w:trPr>
        <w:tc>
          <w:tcPr>
            <w:tcW w:w="35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junior subordinated debt is currently redeemable at 100.0% of the unpaid principal amount at our option.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junior subordinated debt contains certain covenants with which we are in compliance as of March 31, 2020.</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March 31, 2020 and December 31, 2019, the ratio of total debt outstanding, including both senior debt and junior subordinated debt, to total capitalization (defined as total debt plus total stockholders’ equity) was 34.6% and 25.2%, respectively. Having debt as part of our capital structure allows us to generate a higher return on equity and greater book value per share results than we could by using equity capital alone.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Ceded Reinsurance</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quota share reinsurance, the reinsurer agrees to assume a specified percentage of the ceding company’s losses arising out of a defined class of business in exchange for a corresponding percentage of premiums. For the three months ended March 31, 2020 and 2019, our net premium retention was 47.4% and 63.5%, respectively.</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Excess and Surplus Lines segment’s net retention after reinsurance as of March 31, 2020:</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620" w:type="dxa"/>
            <w:vAlign w:val="bottom"/>
            <w:tcBorders>
              <w:bottom w:val="single" w:sz="8" w:color="auto"/>
            </w:tcBorders>
          </w:tcPr>
          <w:p>
            <w:pPr>
              <w:ind w:left="2700"/>
              <w:spacing w:after="0"/>
              <w:rPr>
                <w:sz w:val="20"/>
                <w:szCs w:val="20"/>
                <w:color w:val="auto"/>
              </w:rPr>
            </w:pPr>
            <w:r>
              <w:rPr>
                <w:rFonts w:ascii="Arial" w:cs="Arial" w:eastAsia="Arial" w:hAnsi="Arial"/>
                <w:sz w:val="14"/>
                <w:szCs w:val="14"/>
                <w:b w:val="1"/>
                <w:bCs w:val="1"/>
                <w:color w:val="auto"/>
              </w:rPr>
              <w:t>Company Retention</w:t>
            </w: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Casualty</w:t>
            </w:r>
          </w:p>
        </w:tc>
        <w:tc>
          <w:tcPr>
            <w:tcW w:w="66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29"/>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Primary Specialty Casualty, including Professional</w:t>
            </w:r>
          </w:p>
        </w:tc>
        <w:tc>
          <w:tcPr>
            <w:tcW w:w="6620" w:type="dxa"/>
            <w:vAlign w:val="bottom"/>
            <w:shd w:val="clear" w:color="auto" w:fill="CCEEFF"/>
          </w:tcPr>
          <w:p>
            <w:pPr>
              <w:spacing w:after="0"/>
              <w:rPr>
                <w:sz w:val="19"/>
                <w:szCs w:val="19"/>
                <w:color w:val="auto"/>
              </w:rPr>
            </w:pPr>
          </w:p>
        </w:tc>
      </w:tr>
      <w:tr>
        <w:trPr>
          <w:trHeight w:val="237"/>
        </w:trPr>
        <w:tc>
          <w:tcPr>
            <w:tcW w:w="46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Liability</w:t>
            </w:r>
          </w:p>
        </w:tc>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 xml:space="preserve">Up to $1.0 million per occurrence, subject to a $1.0 million aggregate deductible. </w:t>
            </w:r>
            <w:r>
              <w:rPr>
                <w:rFonts w:ascii="Arial" w:cs="Arial" w:eastAsia="Arial" w:hAnsi="Arial"/>
                <w:sz w:val="14"/>
                <w:szCs w:val="14"/>
                <w:i w:val="1"/>
                <w:iCs w:val="1"/>
                <w:color w:val="auto"/>
                <w:w w:val="99"/>
              </w:rPr>
              <w:t>(1)</w:t>
            </w:r>
          </w:p>
        </w:tc>
      </w:tr>
      <w:tr>
        <w:trPr>
          <w:trHeight w:val="243"/>
        </w:trPr>
        <w:tc>
          <w:tcPr>
            <w:tcW w:w="4620" w:type="dxa"/>
            <w:vAlign w:val="bottom"/>
            <w:gridSpan w:val="2"/>
          </w:tcPr>
          <w:p>
            <w:pPr>
              <w:ind w:left="280"/>
              <w:spacing w:after="0"/>
              <w:rPr>
                <w:sz w:val="20"/>
                <w:szCs w:val="20"/>
                <w:color w:val="auto"/>
              </w:rPr>
            </w:pPr>
            <w:r>
              <w:rPr>
                <w:rFonts w:ascii="Arial" w:cs="Arial" w:eastAsia="Arial" w:hAnsi="Arial"/>
                <w:sz w:val="18"/>
                <w:szCs w:val="18"/>
                <w:color w:val="auto"/>
              </w:rPr>
              <w:t>Primary Casualty</w:t>
            </w:r>
          </w:p>
        </w:tc>
        <w:tc>
          <w:tcPr>
            <w:tcW w:w="6620" w:type="dxa"/>
            <w:vAlign w:val="bottom"/>
          </w:tcPr>
          <w:p>
            <w:pPr>
              <w:ind w:left="40"/>
              <w:spacing w:after="0"/>
              <w:rPr>
                <w:sz w:val="20"/>
                <w:szCs w:val="20"/>
                <w:color w:val="auto"/>
              </w:rPr>
            </w:pPr>
            <w:r>
              <w:rPr>
                <w:rFonts w:ascii="Arial" w:cs="Arial" w:eastAsia="Arial" w:hAnsi="Arial"/>
                <w:sz w:val="18"/>
                <w:szCs w:val="18"/>
                <w:color w:val="auto"/>
              </w:rPr>
              <w:t xml:space="preserve">Up to $2.0 million per occurrence. </w:t>
            </w:r>
            <w:r>
              <w:rPr>
                <w:rFonts w:ascii="Arial" w:cs="Arial" w:eastAsia="Arial" w:hAnsi="Arial"/>
                <w:sz w:val="14"/>
                <w:szCs w:val="14"/>
                <w:i w:val="1"/>
                <w:iCs w:val="1"/>
                <w:color w:val="auto"/>
              </w:rPr>
              <w:t>(2)</w:t>
            </w:r>
          </w:p>
        </w:tc>
      </w:tr>
      <w:tr>
        <w:trPr>
          <w:trHeight w:val="27"/>
        </w:trPr>
        <w:tc>
          <w:tcPr>
            <w:tcW w:w="4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Excess Casualty</w:t>
            </w:r>
          </w:p>
        </w:tc>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Up to $1.0 million per occurrence. </w:t>
            </w:r>
            <w:r>
              <w:rPr>
                <w:rFonts w:ascii="Arial" w:cs="Arial" w:eastAsia="Arial" w:hAnsi="Arial"/>
                <w:sz w:val="14"/>
                <w:szCs w:val="14"/>
                <w:i w:val="1"/>
                <w:iCs w:val="1"/>
                <w:color w:val="auto"/>
              </w:rPr>
              <w:t>(3)</w:t>
            </w: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Property</w:t>
            </w:r>
          </w:p>
        </w:tc>
        <w:tc>
          <w:tcPr>
            <w:tcW w:w="6620" w:type="dxa"/>
            <w:vAlign w:val="bottom"/>
          </w:tcPr>
          <w:p>
            <w:pPr>
              <w:ind w:left="40"/>
              <w:spacing w:after="0"/>
              <w:rPr>
                <w:sz w:val="20"/>
                <w:szCs w:val="20"/>
                <w:color w:val="auto"/>
              </w:rPr>
            </w:pPr>
            <w:r>
              <w:rPr>
                <w:rFonts w:ascii="Arial" w:cs="Arial" w:eastAsia="Arial" w:hAnsi="Arial"/>
                <w:sz w:val="18"/>
                <w:szCs w:val="18"/>
                <w:color w:val="auto"/>
              </w:rPr>
              <w:t xml:space="preserve">Up to $5.0 million per event. </w:t>
            </w:r>
            <w:r>
              <w:rPr>
                <w:rFonts w:ascii="Arial" w:cs="Arial" w:eastAsia="Arial" w:hAnsi="Arial"/>
                <w:sz w:val="14"/>
                <w:szCs w:val="14"/>
                <w:i w:val="1"/>
                <w:iCs w:val="1"/>
                <w:color w:val="auto"/>
              </w:rPr>
              <w:t>(4)</w:t>
            </w:r>
          </w:p>
        </w:tc>
      </w:tr>
    </w:tbl>
    <w:p>
      <w:pPr>
        <w:spacing w:after="0" w:line="12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Except for Life Sciences quota share carve out, which is up to $2.0 million per occurrence</w:t>
      </w:r>
    </w:p>
    <w:p>
      <w:pPr>
        <w:spacing w:after="0" w:line="63" w:lineRule="exact"/>
        <w:rPr>
          <w:rFonts w:ascii="Arial" w:cs="Arial" w:eastAsia="Arial" w:hAnsi="Arial"/>
          <w:sz w:val="18"/>
          <w:szCs w:val="18"/>
          <w:i w:val="1"/>
          <w:iCs w:val="1"/>
          <w:color w:val="auto"/>
        </w:rPr>
      </w:pPr>
    </w:p>
    <w:p>
      <w:pPr>
        <w:ind w:left="340" w:hanging="332"/>
        <w:spacing w:after="0"/>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Total exposure to any one claim is generally $1.0 million.</w:t>
      </w:r>
    </w:p>
    <w:p>
      <w:pPr>
        <w:spacing w:after="0" w:line="63" w:lineRule="exact"/>
        <w:rPr>
          <w:rFonts w:ascii="Arial" w:cs="Arial" w:eastAsia="Arial" w:hAnsi="Arial"/>
          <w:sz w:val="18"/>
          <w:szCs w:val="18"/>
          <w:i w:val="1"/>
          <w:iCs w:val="1"/>
          <w:color w:val="auto"/>
        </w:rPr>
      </w:pPr>
    </w:p>
    <w:p>
      <w:pPr>
        <w:ind w:left="340" w:hanging="332"/>
        <w:spacing w:after="0"/>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For policies with an occurrence limit up to $10.0 million, the excess casualty treaty is set such that our retention is no more than $1.0 million.</w:t>
      </w:r>
    </w:p>
    <w:p>
      <w:pPr>
        <w:spacing w:after="0" w:line="74" w:lineRule="exact"/>
        <w:rPr>
          <w:rFonts w:ascii="Arial" w:cs="Arial" w:eastAsia="Arial" w:hAnsi="Arial"/>
          <w:sz w:val="17"/>
          <w:szCs w:val="17"/>
          <w:color w:val="auto"/>
        </w:rPr>
      </w:pPr>
    </w:p>
    <w:p>
      <w:pPr>
        <w:ind w:left="340" w:hanging="332"/>
        <w:spacing w:after="0"/>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property catastrophe reinsurance treaty has a limit of $40.0 million with one reinstatement.</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spacing w:after="0" w:line="4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our Excess and Surplus Lines segment, we write a small book of excess property insurance, but we do not write primary property insurance. The Excess and Surplus Lines segment has a surplus share reinsurance treaty in effect that was specifically designed to cover property risks. The surplus share treaty along with facultative reinsurance helps ensure that our net retained limit per risk will be $5.0 million or less.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upon the modeling of our Excess and Surplus Lines and Specialty Admitted segments, it would take an event beyond our 1 in 1000 year PML to exhaust our $45.0 million property catastrophe treaty. In the event of a catastrophe loss exhausting our $45.0 million property catastrophe treaty, we estimate our pre-tax cost at approximately $7.1 million, including reinstatement premiums and net retentions. In addition to this retention, we would retain any losses in excess of our reinsurance coverage limits.</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Effective March 1, 2019, Rasier, our largest Commercial Auto account, was subject to an auto liability quota share reinsurance contract that contained a $10.0 million occurrence cap and an annual aggregate of 200% of subject premium. In conjunction with the termination of the Rasier account, effective December 31, 2019, we simultaneously canceled our quota share reinsurance contract that protected this portfolio.</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Specialty Admitted Insurance segment’s ceded reinsurance in place as of March 31,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Line of Business</w:t>
            </w:r>
          </w:p>
        </w:tc>
        <w:tc>
          <w:tcPr>
            <w:tcW w:w="440" w:type="dxa"/>
            <w:vAlign w:val="bottom"/>
          </w:tcPr>
          <w:p>
            <w:pPr>
              <w:spacing w:after="0"/>
              <w:rPr>
                <w:sz w:val="16"/>
                <w:szCs w:val="16"/>
                <w:color w:val="auto"/>
              </w:rPr>
            </w:pPr>
          </w:p>
        </w:tc>
        <w:tc>
          <w:tcPr>
            <w:tcW w:w="7420" w:type="dxa"/>
            <w:vAlign w:val="bottom"/>
            <w:tcBorders>
              <w:bottom w:val="single" w:sz="8" w:color="auto"/>
            </w:tcBorders>
          </w:tcPr>
          <w:p>
            <w:pPr>
              <w:ind w:left="3420"/>
              <w:spacing w:after="0"/>
              <w:rPr>
                <w:sz w:val="20"/>
                <w:szCs w:val="20"/>
                <w:color w:val="auto"/>
              </w:rPr>
            </w:pPr>
            <w:r>
              <w:rPr>
                <w:rFonts w:ascii="Arial" w:cs="Arial" w:eastAsia="Arial" w:hAnsi="Arial"/>
                <w:sz w:val="14"/>
                <w:szCs w:val="14"/>
                <w:b w:val="1"/>
                <w:bCs w:val="1"/>
                <w:color w:val="auto"/>
              </w:rPr>
              <w:t>Coverage</w:t>
            </w:r>
          </w:p>
        </w:tc>
      </w:tr>
      <w:tr>
        <w:trPr>
          <w:trHeight w:val="243"/>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Casualty</w:t>
            </w:r>
          </w:p>
        </w:tc>
        <w:tc>
          <w:tcPr>
            <w:tcW w:w="7420" w:type="dxa"/>
            <w:vAlign w:val="bottom"/>
          </w:tcPr>
          <w:p>
            <w:pPr>
              <w:spacing w:after="0"/>
              <w:rPr>
                <w:sz w:val="21"/>
                <w:szCs w:val="21"/>
                <w:color w:val="auto"/>
              </w:rPr>
            </w:pPr>
          </w:p>
        </w:tc>
      </w:tr>
      <w:tr>
        <w:trPr>
          <w:trHeight w:val="27"/>
        </w:trPr>
        <w:tc>
          <w:tcPr>
            <w:tcW w:w="3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20" w:type="dxa"/>
            <w:vAlign w:val="bottom"/>
          </w:tcPr>
          <w:p>
            <w:pPr>
              <w:spacing w:after="0"/>
              <w:rPr>
                <w:sz w:val="2"/>
                <w:szCs w:val="2"/>
                <w:color w:val="auto"/>
              </w:rPr>
            </w:pPr>
          </w:p>
        </w:tc>
      </w:tr>
      <w:tr>
        <w:trPr>
          <w:trHeight w:val="229"/>
        </w:trPr>
        <w:tc>
          <w:tcPr>
            <w:tcW w:w="3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Workers’ Compensation</w:t>
            </w:r>
          </w:p>
        </w:tc>
        <w:tc>
          <w:tcPr>
            <w:tcW w:w="7420" w:type="dxa"/>
            <w:vAlign w:val="bottom"/>
            <w:shd w:val="clear" w:color="auto" w:fill="CCEEFF"/>
          </w:tcPr>
          <w:p>
            <w:pPr>
              <w:ind w:left="40"/>
              <w:spacing w:after="0" w:line="228" w:lineRule="exact"/>
              <w:rPr>
                <w:sz w:val="20"/>
                <w:szCs w:val="20"/>
                <w:color w:val="auto"/>
              </w:rPr>
            </w:pPr>
            <w:r>
              <w:rPr>
                <w:rFonts w:ascii="Arial" w:cs="Arial" w:eastAsia="Arial" w:hAnsi="Arial"/>
                <w:sz w:val="18"/>
                <w:szCs w:val="18"/>
                <w:color w:val="auto"/>
              </w:rPr>
              <w:t>Quota share coverage for 70% of the first $1.0 million.</w:t>
            </w:r>
            <w:r>
              <w:rPr>
                <w:rFonts w:ascii="Arial" w:cs="Arial" w:eastAsia="Arial" w:hAnsi="Arial"/>
                <w:sz w:val="25"/>
                <w:szCs w:val="25"/>
                <w:color w:val="auto"/>
                <w:vertAlign w:val="superscript"/>
              </w:rPr>
              <w:t>(1)(2)</w:t>
            </w:r>
          </w:p>
        </w:tc>
      </w:tr>
      <w:tr>
        <w:trPr>
          <w:trHeight w:val="257"/>
        </w:trPr>
        <w:tc>
          <w:tcPr>
            <w:tcW w:w="33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42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Excess of loss coverage for $29.0 million in excess of $1.0 million.</w:t>
            </w:r>
            <w:r>
              <w:rPr>
                <w:rFonts w:ascii="Arial" w:cs="Arial" w:eastAsia="Arial" w:hAnsi="Arial"/>
                <w:sz w:val="25"/>
                <w:szCs w:val="25"/>
                <w:color w:val="auto"/>
                <w:vertAlign w:val="superscript"/>
              </w:rPr>
              <w:t>(1)(2)</w:t>
            </w:r>
          </w:p>
        </w:tc>
      </w:tr>
      <w:tr>
        <w:trPr>
          <w:trHeight w:val="229"/>
        </w:trPr>
        <w:tc>
          <w:tcPr>
            <w:tcW w:w="3820" w:type="dxa"/>
            <w:vAlign w:val="bottom"/>
            <w:gridSpan w:val="2"/>
          </w:tcPr>
          <w:p>
            <w:pPr>
              <w:ind w:left="220"/>
              <w:spacing w:after="0"/>
              <w:rPr>
                <w:sz w:val="20"/>
                <w:szCs w:val="20"/>
                <w:color w:val="auto"/>
              </w:rPr>
            </w:pPr>
            <w:r>
              <w:rPr>
                <w:rFonts w:ascii="Arial" w:cs="Arial" w:eastAsia="Arial" w:hAnsi="Arial"/>
                <w:sz w:val="18"/>
                <w:szCs w:val="18"/>
                <w:color w:val="auto"/>
              </w:rPr>
              <w:t>Auto Programs</w:t>
            </w:r>
          </w:p>
        </w:tc>
        <w:tc>
          <w:tcPr>
            <w:tcW w:w="7420" w:type="dxa"/>
            <w:vAlign w:val="bottom"/>
          </w:tcPr>
          <w:p>
            <w:pPr>
              <w:ind w:left="40"/>
              <w:spacing w:after="0"/>
              <w:rPr>
                <w:sz w:val="20"/>
                <w:szCs w:val="20"/>
                <w:color w:val="auto"/>
              </w:rPr>
            </w:pPr>
            <w:r>
              <w:rPr>
                <w:rFonts w:ascii="Arial" w:cs="Arial" w:eastAsia="Arial" w:hAnsi="Arial"/>
                <w:sz w:val="18"/>
                <w:szCs w:val="18"/>
                <w:color w:val="auto"/>
                <w:w w:val="99"/>
              </w:rPr>
              <w:t>Quota share coverage for 85-90% of limits up to $1.5 million liability and $5.0 million physical</w:t>
            </w:r>
          </w:p>
        </w:tc>
      </w:tr>
      <w:tr>
        <w:trPr>
          <w:trHeight w:val="230"/>
        </w:trPr>
        <w:tc>
          <w:tcPr>
            <w:tcW w:w="3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damage per occurrence.</w:t>
            </w:r>
          </w:p>
        </w:tc>
      </w:tr>
      <w:tr>
        <w:trPr>
          <w:trHeight w:val="27"/>
        </w:trPr>
        <w:tc>
          <w:tcPr>
            <w:tcW w:w="3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20" w:type="dxa"/>
            <w:vAlign w:val="bottom"/>
          </w:tcPr>
          <w:p>
            <w:pPr>
              <w:spacing w:after="0"/>
              <w:rPr>
                <w:sz w:val="2"/>
                <w:szCs w:val="2"/>
                <w:color w:val="auto"/>
              </w:rPr>
            </w:pPr>
          </w:p>
        </w:tc>
      </w:tr>
      <w:tr>
        <w:trPr>
          <w:trHeight w:val="229"/>
        </w:trPr>
        <w:tc>
          <w:tcPr>
            <w:tcW w:w="3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Liability &amp; Professional Liability –</w:t>
            </w:r>
          </w:p>
        </w:tc>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Quota share coverage for 87.5% - 100% of limits up to $2.0 million per occurrence.</w:t>
            </w:r>
          </w:p>
        </w:tc>
      </w:tr>
      <w:tr>
        <w:trPr>
          <w:trHeight w:val="237"/>
        </w:trPr>
        <w:tc>
          <w:tcPr>
            <w:tcW w:w="3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Programs</w:t>
            </w:r>
          </w:p>
        </w:tc>
        <w:tc>
          <w:tcPr>
            <w:tcW w:w="7420" w:type="dxa"/>
            <w:vAlign w:val="bottom"/>
            <w:tcBorders>
              <w:bottom w:val="single" w:sz="8" w:color="CCEEFF"/>
            </w:tcBorders>
            <w:shd w:val="clear" w:color="auto" w:fill="CCEEFF"/>
          </w:tcPr>
          <w:p>
            <w:pPr>
              <w:spacing w:after="0"/>
              <w:rPr>
                <w:sz w:val="20"/>
                <w:szCs w:val="20"/>
                <w:color w:val="auto"/>
              </w:rPr>
            </w:pPr>
          </w:p>
        </w:tc>
      </w:tr>
      <w:tr>
        <w:trPr>
          <w:trHeight w:val="229"/>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Umbrella and Excess Casualty - Programs</w:t>
            </w:r>
          </w:p>
        </w:tc>
        <w:tc>
          <w:tcPr>
            <w:tcW w:w="7420" w:type="dxa"/>
            <w:vAlign w:val="bottom"/>
          </w:tcPr>
          <w:p>
            <w:pPr>
              <w:ind w:left="40"/>
              <w:spacing w:after="0"/>
              <w:rPr>
                <w:sz w:val="20"/>
                <w:szCs w:val="20"/>
                <w:color w:val="auto"/>
              </w:rPr>
            </w:pPr>
            <w:r>
              <w:rPr>
                <w:rFonts w:ascii="Arial" w:cs="Arial" w:eastAsia="Arial" w:hAnsi="Arial"/>
                <w:sz w:val="18"/>
                <w:szCs w:val="18"/>
                <w:color w:val="auto"/>
                <w:w w:val="94"/>
              </w:rPr>
              <w:t>Quota share coverage for 92.5%-100% of limits up to $10.0 million per occurrence, and excess of</w:t>
            </w:r>
          </w:p>
        </w:tc>
      </w:tr>
      <w:tr>
        <w:trPr>
          <w:trHeight w:val="230"/>
        </w:trPr>
        <w:tc>
          <w:tcPr>
            <w:tcW w:w="3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loss coverage for $5.0 million in excess of $10.0 million.</w:t>
            </w:r>
          </w:p>
        </w:tc>
      </w:tr>
      <w:tr>
        <w:trPr>
          <w:trHeight w:val="27"/>
        </w:trPr>
        <w:tc>
          <w:tcPr>
            <w:tcW w:w="3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2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w:t>
            </w:r>
          </w:p>
        </w:tc>
        <w:tc>
          <w:tcPr>
            <w:tcW w:w="7420" w:type="dxa"/>
            <w:vAlign w:val="bottom"/>
            <w:tcBorders>
              <w:bottom w:val="single" w:sz="8" w:color="CCEEFF"/>
            </w:tcBorders>
            <w:shd w:val="clear" w:color="auto" w:fill="CCEEFF"/>
          </w:tcPr>
          <w:p>
            <w:pPr>
              <w:spacing w:after="0"/>
              <w:rPr>
                <w:sz w:val="21"/>
                <w:szCs w:val="21"/>
                <w:color w:val="auto"/>
              </w:rPr>
            </w:pPr>
          </w:p>
        </w:tc>
      </w:tr>
      <w:tr>
        <w:trPr>
          <w:trHeight w:val="270"/>
        </w:trPr>
        <w:tc>
          <w:tcPr>
            <w:tcW w:w="3820" w:type="dxa"/>
            <w:vAlign w:val="bottom"/>
            <w:gridSpan w:val="2"/>
          </w:tcPr>
          <w:p>
            <w:pPr>
              <w:ind w:left="200"/>
              <w:spacing w:after="0"/>
              <w:rPr>
                <w:sz w:val="20"/>
                <w:szCs w:val="20"/>
                <w:color w:val="auto"/>
              </w:rPr>
            </w:pPr>
            <w:r>
              <w:rPr>
                <w:rFonts w:ascii="Arial" w:cs="Arial" w:eastAsia="Arial" w:hAnsi="Arial"/>
                <w:sz w:val="18"/>
                <w:szCs w:val="18"/>
                <w:color w:val="auto"/>
              </w:rPr>
              <w:t>Property within Package - Programs</w:t>
            </w:r>
          </w:p>
        </w:tc>
        <w:tc>
          <w:tcPr>
            <w:tcW w:w="74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Quota share coverage for 100% of limits up to $25.0 million per occurrence. </w:t>
            </w:r>
            <w:r>
              <w:rPr>
                <w:rFonts w:ascii="Arial" w:cs="Arial" w:eastAsia="Arial" w:hAnsi="Arial"/>
                <w:sz w:val="25"/>
                <w:szCs w:val="25"/>
                <w:color w:val="auto"/>
                <w:vertAlign w:val="superscript"/>
              </w:rPr>
              <w:t>(3)</w:t>
            </w:r>
          </w:p>
        </w:tc>
      </w:tr>
      <w:tr>
        <w:trPr>
          <w:trHeight w:val="243"/>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Catastrophe Coverage</w:t>
            </w:r>
          </w:p>
        </w:tc>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Excess of Loss coverage for $44.0 million in excess of $1.0 million per occurrence.</w:t>
            </w:r>
          </w:p>
        </w:tc>
      </w:tr>
      <w:tr>
        <w:trPr>
          <w:trHeight w:val="27"/>
        </w:trPr>
        <w:tc>
          <w:tcPr>
            <w:tcW w:w="33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420" w:type="dxa"/>
            <w:vAlign w:val="bottom"/>
            <w:shd w:val="clear" w:color="auto" w:fill="CCEEFF"/>
          </w:tcPr>
          <w:p>
            <w:pPr>
              <w:spacing w:after="0"/>
              <w:rPr>
                <w:sz w:val="2"/>
                <w:szCs w:val="2"/>
                <w:color w:val="auto"/>
              </w:rPr>
            </w:pPr>
          </w:p>
        </w:tc>
      </w:tr>
    </w:tbl>
    <w:p>
      <w:pPr>
        <w:ind w:left="340" w:hanging="332"/>
        <w:spacing w:after="0" w:line="260" w:lineRule="auto"/>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Excluding one program which has quota share coverage for 89% of the first $1.0 million per occurrence and excess of loss coverage for $49.0 million in excess of $1.0 million per occurrence.</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any residual market pools.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20" w:hanging="332"/>
        <w:spacing w:after="0" w:line="277" w:lineRule="auto"/>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Excluding one program which has quota share coverage for 80% of the first $500,000 and excess of loss coverage for $39.5 million in excess of $500,000 per risk per occurrence.</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Specialty Admitted Insurance segment purchases reinsurance for at least 70%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$44.0 million in excess of $1.0 million per occurrence to manage its property exposure to an approximate 1 in 1,000 year PML.</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our Casualty Reinsurance segment, we also have limited property catastrophe exposure, primarily through auto physical damage coverage. In the aggregate, we believe our pre-tax group-wide PML from a 1 in 1,000 year property catastrophe event would not exceed $10.0 million, inclusive of reinstatement premiums payable.</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a clash and contingency reinsurance treaty to cover both the Excess and Surplus Lines and Specialty Admitted Insurance segments in the event of a claims incident involving more than one of our insureds. The treaty covers $10.0 million in excess of a $2.0 million retention for loss occurrences within the treaty term. This coverage has two reinstatements in the event we exhaust any of the coverage. As of March 31, 2020, our average net retained limit per risk is $2.5 million.</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Effective January 1, 2020, we purchased an additional $10.0 million in claims made coverage for excess policy limits and extra contractual obligations exposures above the clash and contingency treaty for the period 2014 to present. This treaty has one reinstatement.</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Company’s insurance segments remain liable to policyholders if its reinsurers are unable to meet their contractual obligations under applicable reinsurance agreements. We establish allowances for amounts considered uncollectible. At March 31, 2020, the allowance for such uncollectible reinsurance recoverables was $335,000.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customarily require a collateral trust arrangement to secure the obligations of the insurance entity for whom we are fronting.</w:t>
      </w:r>
    </w:p>
    <w:p>
      <w:pPr>
        <w:spacing w:after="0" w:line="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March 31, 2020, we had reinsurance recoverables on unpaid losses of $691.7 million and reinsurance recoverables on paid losses of $42.2 million, and all material recoverable amounts were from companies with A.M. Best ratings of “A-” or better or collateral had been posted by the reinsurer for our benefit.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Recoverable from an Indemnifying Party</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previously issued a set of insurance contracts to Rasier under which the Company pays losses and loss adjustment expenses on the contracts. The Company has indemnity agreements with Rasier (non-insurance entities) and is contractually entitled to receive reimbursement for a significant portion of the losses and loss adjustment expenses paid on behalf of Rasier and other expenses incurred by the Company. Rasier is required to collateralize all amounts currently due to the Company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of policy limits liabilities. The collateral is provided through a collateral trust arrangement established in favor of the Company by a captive insurance company affiliate of Rasier.</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permitted under our indemnification agreements with Rasier and the associated trust agreement, we have withdrawn the collateral posted to the trust account. At March 31, 2020, the Company held collateral funds of $1,107.3 million. The funds withdrawn from the trust account, currently invested in short term securities and included in restricted cash equivalents on the Company's consolidated balance sheet, will be used to reimburse the Company for the losses and loss adjustment expenses paid on behalf of Rasier and other related expenses incurred by the Company to the extent not paid as required under the indemnity agreements.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sources of funds consist primarily of premiums written, investment income, reinsurance recoveries, proceeds from sales and redemptions of investments, borrowings on our credit facilities, and the issuance of common shares. We use operating cash flows primarily to pay operating expenses, losses and loss adjustment expenses, reinsurance premiums, and income taxes. The following table summarizes our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96"/>
              </w:rPr>
              <w:t>2019</w:t>
            </w:r>
          </w:p>
        </w:tc>
      </w:tr>
      <w:tr>
        <w:trPr>
          <w:trHeight w:val="196"/>
        </w:trPr>
        <w:tc>
          <w:tcPr>
            <w:tcW w:w="8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60" w:type="dxa"/>
            <w:vAlign w:val="bottom"/>
          </w:tcPr>
          <w:p>
            <w:pPr>
              <w:spacing w:after="0"/>
              <w:rPr>
                <w:sz w:val="17"/>
                <w:szCs w:val="17"/>
                <w:color w:val="auto"/>
              </w:rPr>
            </w:pPr>
          </w:p>
        </w:tc>
      </w:tr>
      <w:tr>
        <w:trPr>
          <w:trHeight w:val="256"/>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equivalents (used in) provided by:</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(65,305)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35,450</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(47,369)</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107,494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(27,986)</w:t>
            </w:r>
          </w:p>
        </w:tc>
      </w:tr>
      <w:tr>
        <w:trPr>
          <w:trHeight w:val="27"/>
        </w:trPr>
        <w:tc>
          <w:tcPr>
            <w:tcW w:w="8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cash equivalents, and restricted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(39,905)</w:t>
            </w:r>
          </w:p>
        </w:tc>
      </w:tr>
      <w:tr>
        <w:trPr>
          <w:trHeight w:val="20"/>
        </w:trPr>
        <w:tc>
          <w:tcPr>
            <w:tcW w:w="8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Cash used in operating activities for the three months ended March 31, 2020 primarily reflects decreasing amounts of restricted cash equivalents as the collateral funds required on the terminated Rasier account declines as the outstanding claims on this business are settled (see </w:t>
      </w:r>
      <w:r>
        <w:rPr>
          <w:rFonts w:ascii="Arial" w:cs="Arial" w:eastAsia="Arial" w:hAnsi="Arial"/>
          <w:sz w:val="18"/>
          <w:szCs w:val="18"/>
          <w:i w:val="1"/>
          <w:iCs w:val="1"/>
          <w:color w:val="auto"/>
        </w:rPr>
        <w:t>Amounts Recoverable from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Indemnifying Party </w:t>
      </w:r>
      <w:r>
        <w:rPr>
          <w:rFonts w:ascii="Arial" w:cs="Arial" w:eastAsia="Arial" w:hAnsi="Arial"/>
          <w:sz w:val="18"/>
          <w:szCs w:val="18"/>
          <w:color w:val="auto"/>
        </w:rPr>
        <w:t>above). During the quarter, the Company returned $91.8 million to its former insured, per the terms of the collateral trust. Excluding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in the collateral funds, cash provided by operating activities was $26.5 million for the three months ended March 31, 2020. Cash provided by operating activities for the three months ended March 31, 2019 reflected growth in our U.S. segments and the collection of premiums receivable at a quicker rate than payments of loss and loss adjustment expenses.</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used in investing activities reflects our efforts to enhance the yield in our investment portfolio by investing available cash and cash equivalents into higher yielding investments. Cash and cash equivalents (excluding restricted cash equivalents) comprised 12.9% and 7.0% of total cash and invested assets at March 31, 2020 and 2019, respectively.</w:t>
      </w:r>
    </w:p>
    <w:p>
      <w:pPr>
        <w:spacing w:after="0" w:line="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Cash used in financing activities for the three months ended March 31, 2020 and 2019 included $9.5 million and $9.2 million of dividends paid to shareholders, respectively. In addition, we drew $119.0 million on our senior credit facilities in the three months ended March 31, 2020 as a precautionary measure to increase our cash position and preserve financial flexibility in light of current uncertainty in the global markets resulting from the coronavirus (COVID-19) outbreak. We repaid $20.0 million on our 2017 Facility in the three months ended March 31, 2019.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Ratings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A.M. Best financial strength rating for our group’s regulated insurance subsidiaries is “A” (Excellent). This rating reflects A.M. Best’s opinion of our insurance subsidiaries’ financial strength, operating performance and ability to meet obligations to policyholders and is not an evaluation directed towards the protection of investors. The rating for our operating insurance and reinsurance companies of “A” (Excellent) is the third highest rating of the thirteen ratings issued by A.M. Best and is assigned to insurers that have, in A.M. Best’s opinion, an excellent ability to meet their ongoing obligations to policyholders.</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financial strength ratings assigned by A.M. Best have an impact on the ability of our regulated subsidiaries to attract and retain agents and brokers and on the risk profiles of the submissions for insurance that our subsidiaries receive. The “A” (Excellent) ratings assigned to our insurance and reinsurance subsidiaries are consistent with our business plans and we believe allow our subsidiaries to actively pursue relationships with the agents and brokers identified in their marketing plans.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issued 96,037 common shares in the three months ended March 31, 2020. The new shares were related to vesting RSUs. The total common shares outstanding increased from 30,424,391 at December 31, 2019 to 30,520,428 at March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Based Compensation Expense</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March 31, 2020 and 2019, the Company recognized $1.9 million and $1.7 million of share based compensation expense, respectively. As of March 31, 2020, the Company had $14.5 million of unrecognized share based compensation expense expected to be charged to earnings over a weighted-average period of 2.2 years.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option activity: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52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2020</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49"/>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1260" w:type="dxa"/>
            <w:vAlign w:val="bottom"/>
          </w:tcPr>
          <w:p>
            <w:pPr>
              <w:jc w:val="right"/>
              <w:spacing w:after="0"/>
              <w:rPr>
                <w:sz w:val="20"/>
                <w:szCs w:val="20"/>
                <w:color w:val="auto"/>
              </w:rPr>
            </w:pPr>
            <w:r>
              <w:rPr>
                <w:rFonts w:ascii="Arial" w:cs="Arial" w:eastAsia="Arial" w:hAnsi="Arial"/>
                <w:sz w:val="18"/>
                <w:szCs w:val="18"/>
                <w:color w:val="auto"/>
              </w:rPr>
              <w:t>643,851</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1,115,324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(125,349)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97"/>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 of period</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643,851</w:t>
            </w:r>
          </w:p>
        </w:tc>
        <w:tc>
          <w:tcPr>
            <w:tcW w:w="10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ind w:right="38"/>
              <w:spacing w:after="0"/>
              <w:rPr>
                <w:sz w:val="20"/>
                <w:szCs w:val="20"/>
                <w:color w:val="auto"/>
              </w:rPr>
            </w:pPr>
            <w:r>
              <w:rPr>
                <w:rFonts w:ascii="Arial" w:cs="Arial" w:eastAsia="Arial" w:hAnsi="Arial"/>
                <w:sz w:val="18"/>
                <w:szCs w:val="18"/>
                <w:color w:val="auto"/>
              </w:rPr>
              <w:t>30.41</w:t>
            </w:r>
          </w:p>
        </w:tc>
        <w:tc>
          <w:tcPr>
            <w:tcW w:w="10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986,216</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end of period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640,606</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30.35</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926,166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outstanding options vest over three or four years and have a contractual life of seven years from the original 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activity:</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2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8"/>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3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69"/>
        </w:trPr>
        <w:tc>
          <w:tcPr>
            <w:tcW w:w="552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Unvested, beginning of period</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340,368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41.50</w:t>
            </w:r>
          </w:p>
        </w:tc>
        <w:tc>
          <w:tcPr>
            <w:tcW w:w="10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300,142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179,016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43.55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167,295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43"/>
        </w:trPr>
        <w:tc>
          <w:tcPr>
            <w:tcW w:w="5520" w:type="dxa"/>
            <w:vAlign w:val="bottom"/>
          </w:tcPr>
          <w:p>
            <w:pPr>
              <w:ind w:left="200"/>
              <w:spacing w:after="0"/>
              <w:rPr>
                <w:sz w:val="20"/>
                <w:szCs w:val="20"/>
                <w:color w:val="auto"/>
              </w:rPr>
            </w:pPr>
            <w:r>
              <w:rPr>
                <w:rFonts w:ascii="Arial" w:cs="Arial" w:eastAsia="Arial" w:hAnsi="Arial"/>
                <w:sz w:val="18"/>
                <w:szCs w:val="18"/>
                <w:color w:val="auto"/>
              </w:rPr>
              <w:t>Vested</w:t>
            </w:r>
          </w:p>
        </w:tc>
        <w:tc>
          <w:tcPr>
            <w:tcW w:w="1360" w:type="dxa"/>
            <w:vAlign w:val="bottom"/>
          </w:tcPr>
          <w:p>
            <w:pPr>
              <w:jc w:val="right"/>
              <w:spacing w:after="0"/>
              <w:rPr>
                <w:sz w:val="20"/>
                <w:szCs w:val="20"/>
                <w:color w:val="auto"/>
              </w:rPr>
            </w:pPr>
            <w:r>
              <w:rPr>
                <w:rFonts w:ascii="Arial" w:cs="Arial" w:eastAsia="Arial" w:hAnsi="Arial"/>
                <w:sz w:val="18"/>
                <w:szCs w:val="18"/>
                <w:color w:val="auto"/>
              </w:rPr>
              <w:t>(142,830)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41.16</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(109,545)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42.07</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Unvested, end of period</w:t>
            </w:r>
          </w:p>
        </w:tc>
        <w:tc>
          <w:tcPr>
            <w:tcW w:w="13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375,366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42.61</w:t>
            </w: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356,494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40.33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vesting period of RSUs granted to employees range from one to three years and vest ratably over the respective vesting period, and the majority vest in three years. All RSUs granted to date to non-employee directors had a one year vesting period.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Underwriting Profit</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Our definition of underwriting profit may not be comparable to that of other companies.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reconciles the underwriting profit (loss) by individual segment and for the entire Company to consolidated (loss) income before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Federal income taxes:</w:t>
      </w:r>
    </w:p>
    <w:p>
      <w:pPr>
        <w:spacing w:after="0" w:line="256"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profit (loss) of the insurance segments: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8,112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13,102</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Admitted Insurance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Casualty Reinsurance</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327</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underwriting profit of insurance segments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15,052</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operating expenses of the Corporate and Other segment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(8,279)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(7,906)</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Underwriting (loss) profit </w:t>
            </w:r>
            <w:r>
              <w:rPr>
                <w:rFonts w:ascii="Arial" w:cs="Arial" w:eastAsia="Arial" w:hAnsi="Arial"/>
                <w:sz w:val="14"/>
                <w:szCs w:val="14"/>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7,146</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20,836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19,431</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and unrealized (losses) gains on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(58,407)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1,625</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(2,808)</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(41,218)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25,491</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600" w:hanging="328"/>
        <w:spacing w:after="0" w:line="277"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months ended March 31, 2020 and 2019 is gross fee income of $5.5 million and $6.4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Net Operating Income</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define adjusted net operating income as net (loss) income excluding certain non-operating expenses such as net realized and unrealized investment gains and losses, expenses related to due diligence costs for various merger and acquisition activities, professional service fees related to the filing of registration statements for the offering of securities, and severance costs associated with terminated employees. We use adjusted net operating income as an internal performance measure in the management of our operations because we believe it gives our management and other users of our financial information useful insight into our results of operations and our underlying business performance. Adjusted net operating income should not be viewed as a substitute for net income calculated in accordance with GAAP, and our definition of adjusted net operating income may not be comparable to that of other companies.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(loss) income before taxes and net (loss) income reconcile to our adjusted net operating income as follows: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4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2019</w:t>
            </w: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(Loss) Income</w:t>
            </w:r>
          </w:p>
        </w:tc>
        <w:tc>
          <w:tcPr>
            <w:tcW w:w="180" w:type="dxa"/>
            <w:vAlign w:val="bottom"/>
          </w:tcPr>
          <w:p>
            <w:pPr>
              <w:spacing w:after="0"/>
              <w:rPr>
                <w:sz w:val="13"/>
                <w:szCs w:val="13"/>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420" w:type="dxa"/>
            <w:vAlign w:val="bottom"/>
          </w:tcPr>
          <w:p>
            <w:pPr>
              <w:spacing w:after="0"/>
              <w:rPr>
                <w:sz w:val="13"/>
                <w:szCs w:val="13"/>
                <w:color w:val="auto"/>
              </w:rPr>
            </w:pPr>
          </w:p>
        </w:tc>
        <w:tc>
          <w:tcPr>
            <w:tcW w:w="820" w:type="dxa"/>
            <w:vAlign w:val="bottom"/>
          </w:tcPr>
          <w:p>
            <w:pPr>
              <w:jc w:val="center"/>
              <w:ind w:right="259"/>
              <w:spacing w:after="0" w:line="153" w:lineRule="exact"/>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Before</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0"/>
              </w:rPr>
              <w:t>Before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Taxes</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(Loss) Income</w:t>
            </w: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90"/>
              </w:rPr>
              <w:t>Taxes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as reported</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(36,815)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25,491</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22,728</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Net realized and unrealized investment losses (gains)</w:t>
            </w:r>
          </w:p>
        </w:tc>
        <w:tc>
          <w:tcPr>
            <w:tcW w:w="22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Arial" w:cs="Arial" w:eastAsia="Arial" w:hAnsi="Arial"/>
                <w:sz w:val="18"/>
                <w:szCs w:val="18"/>
                <w:color w:val="auto"/>
              </w:rPr>
              <w:t>58,407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20"/>
              <w:spacing w:after="0"/>
              <w:rPr>
                <w:sz w:val="20"/>
                <w:szCs w:val="20"/>
                <w:color w:val="auto"/>
              </w:rPr>
            </w:pPr>
            <w:r>
              <w:rPr>
                <w:rFonts w:ascii="Arial" w:cs="Arial" w:eastAsia="Arial" w:hAnsi="Arial"/>
                <w:sz w:val="18"/>
                <w:szCs w:val="18"/>
                <w:color w:val="auto"/>
              </w:rPr>
              <w:t>52,233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operating income</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17,189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15,418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23,866</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21,713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48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89"/>
              </w:rPr>
              <w:t>48</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Tangible Equity (per Share) and Pre Dividend Tangible Equity (per Share)</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Key financial measures that we use to assess our longer term financial performance include the percentage growth in our tangible equity per share and our return on tangible equity. We believe tangible equity is a good measure to evaluate the strength of our balance sheet and to compare returns relative to this measure. For the three months ended March 31, 2020, our tangible equity per share decreased by 10.7%. Absent the $9.3 million in dividends to shareholders in the three months ended March 31, 2020, our tangible equity per share decreased by 9.0% for the three months ended March 31, 2020. The outbreak of the coronavirus pandemic in the first quarter of 2020 and uncertainty around the extent of its economic impact caused severe declines in financial markets. The significant declines in the fair values of our investments reduced tangible equity through earnings with $13.3 million of net unrealized losses on equity securities and $43.9 million of net unrealized losses on bank loan participations (as discussed in Investing Results). Our operating return on tangible shareholders’ equity was 11.6% for the three months ended March 31, 2020.</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define tangible equity as the sum of shareholders’ equity less goodwill and intangible assets (net of amortization). Our definition of tangible equity may not be comparable to that of other companies, and it should not be viewed as a substitute for shareholders’ equity calculated in accordance with GAAP. The following table reconciles shareholders’ equity to tangible equity as of March 31, 2020 and December 31, 2019 and reconciles tangible equity to pre-dividend tangible equity as of March 31, 2020: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5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Equity</w:t>
            </w:r>
          </w:p>
        </w:tc>
        <w:tc>
          <w:tcPr>
            <w:tcW w:w="1220" w:type="dxa"/>
            <w:vAlign w:val="bottom"/>
            <w:gridSpan w:val="2"/>
          </w:tcPr>
          <w:p>
            <w:pPr>
              <w:jc w:val="right"/>
              <w:ind w:right="193"/>
              <w:spacing w:after="0" w:line="153" w:lineRule="exact"/>
              <w:rPr>
                <w:sz w:val="20"/>
                <w:szCs w:val="20"/>
                <w:color w:val="auto"/>
              </w:rPr>
            </w:pPr>
            <w:r>
              <w:rPr>
                <w:rFonts w:ascii="Arial" w:cs="Arial" w:eastAsia="Arial" w:hAnsi="Arial"/>
                <w:sz w:val="14"/>
                <w:szCs w:val="14"/>
                <w:b w:val="1"/>
                <w:bCs w:val="1"/>
                <w:color w:val="auto"/>
              </w:rPr>
              <w:t>Equity per</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3"/>
                <w:szCs w:val="13"/>
                <w:color w:val="auto"/>
              </w:rPr>
            </w:pPr>
          </w:p>
        </w:tc>
        <w:tc>
          <w:tcPr>
            <w:tcW w:w="1020" w:type="dxa"/>
            <w:vAlign w:val="bottom"/>
          </w:tcPr>
          <w:p>
            <w:pPr>
              <w:jc w:val="right"/>
              <w:ind w:right="196"/>
              <w:spacing w:after="0" w:line="153" w:lineRule="exact"/>
              <w:rPr>
                <w:sz w:val="20"/>
                <w:szCs w:val="20"/>
                <w:color w:val="auto"/>
              </w:rPr>
            </w:pPr>
            <w:r>
              <w:rPr>
                <w:rFonts w:ascii="Arial" w:cs="Arial" w:eastAsia="Arial" w:hAnsi="Arial"/>
                <w:sz w:val="14"/>
                <w:szCs w:val="14"/>
                <w:b w:val="1"/>
                <w:bCs w:val="1"/>
                <w:color w:val="auto"/>
              </w:rPr>
              <w:t>Equity per</w:t>
            </w:r>
          </w:p>
        </w:tc>
        <w:tc>
          <w:tcPr>
            <w:tcW w:w="0" w:type="dxa"/>
            <w:vAlign w:val="bottom"/>
          </w:tcPr>
          <w:p>
            <w:pPr>
              <w:spacing w:after="0"/>
              <w:rPr>
                <w:sz w:val="1"/>
                <w:szCs w:val="1"/>
                <w:color w:val="auto"/>
              </w:rPr>
            </w:pPr>
          </w:p>
        </w:tc>
      </w:tr>
      <w:tr>
        <w:trPr>
          <w:trHeight w:val="192"/>
        </w:trPr>
        <w:tc>
          <w:tcPr>
            <w:tcW w:w="5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6"/>
          </w:tcPr>
          <w:p>
            <w:pPr>
              <w:ind w:left="120"/>
              <w:spacing w:after="0"/>
              <w:rPr>
                <w:sz w:val="20"/>
                <w:szCs w:val="20"/>
                <w:color w:val="auto"/>
              </w:rPr>
            </w:pPr>
            <w:r>
              <w:rPr>
                <w:rFonts w:ascii="Arial" w:cs="Arial" w:eastAsia="Arial" w:hAnsi="Arial"/>
                <w:sz w:val="14"/>
                <w:szCs w:val="14"/>
                <w:b w:val="1"/>
                <w:bCs w:val="1"/>
                <w:i w:val="1"/>
                <w:iCs w:val="1"/>
                <w:color w:val="auto"/>
                <w:w w:val="96"/>
              </w:rPr>
              <w:t>($ in thousands, except share amounts)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720,317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778,581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Less:</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181,831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181,831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36,791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36,940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Tangible equity</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501,695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16.44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559,810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3"/>
              </w:rPr>
              <w:t>Dividends to shareholders for the three months ended March 31, 2020</w:t>
            </w:r>
          </w:p>
        </w:tc>
        <w:tc>
          <w:tcPr>
            <w:tcW w:w="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55"/>
              <w:spacing w:after="0"/>
              <w:rPr>
                <w:sz w:val="20"/>
                <w:szCs w:val="20"/>
                <w:color w:val="auto"/>
              </w:rPr>
            </w:pPr>
            <w:r>
              <w:rPr>
                <w:rFonts w:ascii="Arial" w:cs="Arial" w:eastAsia="Arial" w:hAnsi="Arial"/>
                <w:sz w:val="18"/>
                <w:szCs w:val="18"/>
                <w:color w:val="auto"/>
              </w:rPr>
              <w:t>9,267</w:t>
            </w: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ind w:right="13"/>
              <w:spacing w:after="0"/>
              <w:rPr>
                <w:sz w:val="20"/>
                <w:szCs w:val="20"/>
                <w:color w:val="auto"/>
              </w:rPr>
            </w:pPr>
            <w:r>
              <w:rPr>
                <w:rFonts w:ascii="Arial" w:cs="Arial" w:eastAsia="Arial" w:hAnsi="Arial"/>
                <w:sz w:val="18"/>
                <w:szCs w:val="18"/>
                <w:color w:val="auto"/>
              </w:rPr>
              <w:t>0.30</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0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Pre-dividend tangible equity</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510,962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16.74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vMerge w:val="restart"/>
          </w:tcPr>
          <w:p>
            <w:pPr>
              <w:jc w:val="right"/>
              <w:ind w:right="150"/>
              <w:spacing w:after="0"/>
              <w:rPr>
                <w:sz w:val="20"/>
                <w:szCs w:val="20"/>
                <w:color w:val="auto"/>
              </w:rPr>
            </w:pPr>
            <w:r>
              <w:rPr>
                <w:rFonts w:ascii="Arial" w:cs="Arial" w:eastAsia="Arial" w:hAnsi="Arial"/>
                <w:sz w:val="18"/>
                <w:szCs w:val="18"/>
                <w:color w:val="auto"/>
              </w:rPr>
              <w:t>49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3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in market risk from the information provided in Item 7A of our Annual Report on Form 10-K for the year ended December 31,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connection with the preparation of this quarterly report on Form 10-Q, our management carried out an evaluation, under the supervision and with the participation of our management, including the CEO and CFO, as of March 31, 2020,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March 31,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our quarter ended March 31, 2020 that have materially affected, or are reasonably likely to materially affect, our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party to legal proceedings which arise in the ordinary course of business. We believe that the outcome of such matters, individually and in the aggregate, will not have a material adverse effect on our consolidated financial position.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in our risk factors in the quarter ended March 31, 2020 from those disclosed in our Annual Report on Form 10-K for the year ended December 31, 2019, except as follows: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recent global coronavirus outbreak could harm business and results of operations of the Company.</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December 2019, a coronavirus (COVID-19) outbreak was reported in China, and, in March 2020, the World Health Organization declared it a pandemic. The coronavirus has spread throughout the United States, including states in which the Company operates. In response, many governments, including Bermuda, the state and local governments of the States of Virginia and North Carolina, and governments in many other states in which our policyholders are located, have instituted emergency restrictions that have substantially limited the operation of non-essential businesses and the activities of individuals. These restrictions could result in significant adverse effects on our policyholders and many different types of small and mid-sized businesses within the Company’s client base, particularly those in the retail, hospitality and food and beverage industries, among many others. The ultimate effect of COVID-19 on the economy is not known nor is the ultimate length of the restrictions and any accompanying effects.</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effect of COVID-19 and related events, including those described above and those not yet known or knowable, began to impact our results of operations in March 2020 and could have a negative effect on the stock price, business prospects, financial condition and results of operations of the Company, including as a result of quarantines, market volatility, market downturns, actions of lawmakers and regulators, changes in consumer behavior, business closures, deterioration in the credit quality of policyholders or the inability of policyholders to pay their premium and deductible obligations to the Company, and deterioration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credit quality of reinsurers or insurance entities with which we have a fronting arrangement or the inability of reinsurers or the insurance entities for which we are fronting to pay their obligations to the Company.</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uncertainty around the extent of the economic impact of COVID-19 caused severe volatility in global financial markets in February and March 2020. As a result of this volatility, the Company experienced net realized and unrealized losses on investments in its senior secured bank loan portfolio and its equity portfolio. Further disruptions in global financial markets could result in additional net realized and unrealized investment losses, including potential impairments in our fixed income portfolio. Moreover, the Federal Reserve has taken action to lower the Federal Funds rate, which, along with other factors, has placed pressure on net investment income by causing the yields on many of the types of investments that we make to decline. For further discussion of risks related to our investment portfolio see “</w:t>
      </w:r>
      <w:r>
        <w:rPr>
          <w:rFonts w:ascii="Arial" w:cs="Arial" w:eastAsia="Arial" w:hAnsi="Arial"/>
          <w:sz w:val="17"/>
          <w:szCs w:val="17"/>
          <w:i w:val="1"/>
          <w:iCs w:val="1"/>
          <w:color w:val="auto"/>
        </w:rPr>
        <w:t>Our investment portfolio is subject to significant market and credit risks, which could result in a</w:t>
      </w:r>
      <w:r>
        <w:rPr>
          <w:rFonts w:ascii="Arial" w:cs="Arial" w:eastAsia="Arial" w:hAnsi="Arial"/>
          <w:sz w:val="17"/>
          <w:szCs w:val="17"/>
          <w:color w:val="auto"/>
        </w:rPr>
        <w:t xml:space="preserve"> </w:t>
      </w:r>
      <w:r>
        <w:rPr>
          <w:rFonts w:ascii="Arial" w:cs="Arial" w:eastAsia="Arial" w:hAnsi="Arial"/>
          <w:sz w:val="17"/>
          <w:szCs w:val="17"/>
          <w:i w:val="1"/>
          <w:iCs w:val="1"/>
          <w:color w:val="auto"/>
        </w:rPr>
        <w:t>material adverse impact on our financial condition and results of operations</w:t>
      </w:r>
      <w:r>
        <w:rPr>
          <w:rFonts w:ascii="Arial" w:cs="Arial" w:eastAsia="Arial" w:hAnsi="Arial"/>
          <w:sz w:val="17"/>
          <w:szCs w:val="17"/>
          <w:color w:val="auto"/>
        </w:rPr>
        <w:t>” in “Part I-Item 1A-Risk Factors” in the Company’s Annual Report on Form</w:t>
      </w:r>
      <w:r>
        <w:rPr>
          <w:rFonts w:ascii="Arial" w:cs="Arial" w:eastAsia="Arial" w:hAnsi="Arial"/>
          <w:sz w:val="17"/>
          <w:szCs w:val="17"/>
          <w:i w:val="1"/>
          <w:iCs w:val="1"/>
          <w:color w:val="auto"/>
        </w:rPr>
        <w:t xml:space="preserve"> </w:t>
      </w:r>
      <w:r>
        <w:rPr>
          <w:rFonts w:ascii="Arial" w:cs="Arial" w:eastAsia="Arial" w:hAnsi="Arial"/>
          <w:sz w:val="17"/>
          <w:szCs w:val="17"/>
          <w:color w:val="auto"/>
        </w:rPr>
        <w:t>10-K for the year ended December 31, 2019.</w:t>
      </w:r>
    </w:p>
    <w:p>
      <w:pPr>
        <w:spacing w:after="0" w:line="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outbreak has resulted in authorities implementing numerous measures in an attempt to contain the virus, such as quarantines and shelter in place orders. These measures may remain in place for a significant period of time and adversely affect the business, operations and financial condition of our policyholders and business partners and therefore our business, operations and financial condition. The Company may be materially affected by a downturn in the economic well-being of policyholders and business partners and the economy in general in numerous ways, including without limitation as follows:</w:t>
      </w:r>
    </w:p>
    <w:p>
      <w:pPr>
        <w:spacing w:after="0" w:line="49" w:lineRule="exact"/>
        <w:rPr>
          <w:sz w:val="20"/>
          <w:szCs w:val="20"/>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Collection of premiums, deductibles or self-insured retentions from our policyholders and reinsurance recoverables from our reinsurers may become increasingly difficult. We have incurred, and may continue to incur, increased estimated credit losses on premiums receivable.</w:t>
      </w:r>
    </w:p>
    <w:p>
      <w:pPr>
        <w:spacing w:after="0" w:line="3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material portion of the Company’s premiums are calculated based on policyholder payroll costs or revenues, and therefore such premiums will decrease, perhaps materially so, when policyholders reduce staffing levels or suffer declines in revenue.</w:t>
      </w:r>
    </w:p>
    <w:p>
      <w:pPr>
        <w:spacing w:after="0" w:line="62"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Declines in certain sectors of the economy may have an especially negative impact on the Company due to the concentration of premiums written in such sectors. For example, a material portion of the Company’s direct written premiums are related in various ways to construction. A decline in construction activity or employment would have a material adverse effect on the Company’s premium volume.</w:t>
      </w:r>
    </w:p>
    <w:p>
      <w:pPr>
        <w:spacing w:after="0" w:line="57"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Demand for the insurance policies that the Company offers is highly dependent upon the business environment in the markets in which the Company operates. Suppressed demand for the Company’s insurance policies may lead to reduced premium rates on new or renewal policies or on reinsurance contracts and such reduced rates may not be appropriate for the risks we insure, which in turn may adversely affect the number of policies or contracts we can write.</w:t>
      </w:r>
    </w:p>
    <w:p>
      <w:pPr>
        <w:spacing w:after="0" w:line="7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Claims frequency and/or severity may increase in certain lines of business, such as, but not exclusively, workers’ compensation, and therefore we may incur increased losses and loss adjustment expenses.</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 reduction in premium volume would increase the Company’s expense ratio and, combined with an increase in losses and loss adjustment expenses, would negatively affect the ability of the Company to earn an underwriting profit. For a further discussion of these risks, see “</w:t>
      </w:r>
      <w:r>
        <w:rPr>
          <w:rFonts w:ascii="Arial" w:cs="Arial" w:eastAsia="Arial" w:hAnsi="Arial"/>
          <w:sz w:val="17"/>
          <w:szCs w:val="17"/>
          <w:i w:val="1"/>
          <w:iCs w:val="1"/>
          <w:color w:val="auto"/>
        </w:rPr>
        <w:t>Adverse economic factors,</w:t>
      </w:r>
      <w:r>
        <w:rPr>
          <w:rFonts w:ascii="Arial" w:cs="Arial" w:eastAsia="Arial" w:hAnsi="Arial"/>
          <w:sz w:val="17"/>
          <w:szCs w:val="17"/>
          <w:color w:val="auto"/>
        </w:rPr>
        <w:t xml:space="preserve"> </w:t>
      </w:r>
      <w:r>
        <w:rPr>
          <w:rFonts w:ascii="Arial" w:cs="Arial" w:eastAsia="Arial" w:hAnsi="Arial"/>
          <w:sz w:val="17"/>
          <w:szCs w:val="17"/>
          <w:i w:val="1"/>
          <w:iCs w:val="1"/>
          <w:color w:val="auto"/>
        </w:rPr>
        <w:t>including recession, inflation, periods of high unemployment or lower economic activity could result in the sale of fewer policies than expected or an increase in frequency or severity in claims and premium defaults or both, which, in turn, could affect our growth and profitability</w:t>
      </w:r>
      <w:r>
        <w:rPr>
          <w:rFonts w:ascii="Arial" w:cs="Arial" w:eastAsia="Arial" w:hAnsi="Arial"/>
          <w:sz w:val="17"/>
          <w:szCs w:val="17"/>
          <w:color w:val="auto"/>
        </w:rPr>
        <w:t>” in “Part I-Item 1A-Risk</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in the Company’s Annual Report on Form 10-K for the year ended December 31, 2019.</w:t>
      </w:r>
    </w:p>
    <w:p>
      <w:pPr>
        <w:spacing w:after="0" w:line="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Efforts of lawmakers at the federal and state level to address the effects of COVID-19 on businesses may have an adverse effect on the financial condition and results of operations of the Company. At the federal and state level, there have been proposals by lawmakers to retroactively amend business interruption insurance policies to cover claims related to COVID-19 when such insurance policies otherwise would exclude such risks. In addition, a number of states have instituted, and other states are considering instituting, changes designed to effectively expand workers’ compensation coverage by creating presumptions of compensability of claims for certain types of workers. If these efforts are successful and enforceable, the Company may be forced to pay claims under policies for which it received inadequate premiums to cover such risks, and therefore the Company’s reserves may be inadequate to pay such claims. At the state level, insurance departments throughout the country have issued bulletins and regulations urging or requiring insurers to extend grace periods for the payment of policy premiums and to refrain from canceling or non-renewing policies for the non-payment of policy premiums for policyholders adversely affected by COVID-19. It is uncertain what impact these government mandates may have on our ability to recover unpaid premiums on the affected policies or what our obligations may be for the payment of claims made under policies for which we have not received premium payments. At least one state regulator has issued an order requiring insurers to issue premium refunds, and regulators in other states could take similar actions. It is not yet clear the extent of impact on the Company these new regulations will have or what other actions may be taken by government bodies, both legislative and regulatory, in reaction to COVID-19. For further discussion on risks related to emerging claim and coverage issues see “</w:t>
      </w:r>
      <w:r>
        <w:rPr>
          <w:rFonts w:ascii="Arial" w:cs="Arial" w:eastAsia="Arial" w:hAnsi="Arial"/>
          <w:sz w:val="16"/>
          <w:szCs w:val="16"/>
          <w:i w:val="1"/>
          <w:iCs w:val="1"/>
          <w:color w:val="auto"/>
        </w:rPr>
        <w:t>The effect of</w:t>
      </w:r>
      <w:r>
        <w:rPr>
          <w:rFonts w:ascii="Arial" w:cs="Arial" w:eastAsia="Arial" w:hAnsi="Arial"/>
          <w:sz w:val="16"/>
          <w:szCs w:val="16"/>
          <w:color w:val="auto"/>
        </w:rPr>
        <w:t xml:space="preserve"> </w:t>
      </w:r>
      <w:r>
        <w:rPr>
          <w:rFonts w:ascii="Arial" w:cs="Arial" w:eastAsia="Arial" w:hAnsi="Arial"/>
          <w:sz w:val="16"/>
          <w:szCs w:val="16"/>
          <w:i w:val="1"/>
          <w:iCs w:val="1"/>
          <w:color w:val="auto"/>
        </w:rPr>
        <w:t>emerging claim and coverage issues on our business is uncertain</w:t>
      </w:r>
      <w:r>
        <w:rPr>
          <w:rFonts w:ascii="Arial" w:cs="Arial" w:eastAsia="Arial" w:hAnsi="Arial"/>
          <w:sz w:val="16"/>
          <w:szCs w:val="16"/>
          <w:color w:val="auto"/>
        </w:rPr>
        <w:t>” and “</w:t>
      </w:r>
      <w:r>
        <w:rPr>
          <w:rFonts w:ascii="Arial" w:cs="Arial" w:eastAsia="Arial" w:hAnsi="Arial"/>
          <w:sz w:val="16"/>
          <w:szCs w:val="16"/>
          <w:i w:val="1"/>
          <w:iCs w:val="1"/>
          <w:color w:val="auto"/>
        </w:rPr>
        <w:t>If</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we are unable to underwrite risks accurately and charge competitive yet profitable rates to our policyholders, our business, financial condition and results of operations will be materially adversely affected</w:t>
      </w:r>
      <w:r>
        <w:rPr>
          <w:rFonts w:ascii="Arial" w:cs="Arial" w:eastAsia="Arial" w:hAnsi="Arial"/>
          <w:sz w:val="18"/>
          <w:szCs w:val="18"/>
          <w:color w:val="auto"/>
        </w:rPr>
        <w:t>” in “Part I-Item 1A-Risk Factors” in the Company’s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w:t>
      </w:r>
    </w:p>
    <w:p>
      <w:pPr>
        <w:spacing w:after="0" w:line="7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spread of the virus has caused us to modify our business practices (including employee work locations and cancellation of physical participation in meetings) in ways that might become detrimental to the operation of our business (including working remotely and its attendant cybersecurity risks). We may take further actions as may be required by government authorities or that we determine are in the best interests of our employees and policyholders. There is no certainty that such measures will be sufficient to mitigate the risks posed by the virus or otherwise be satisfactory to government authorities. Our operations could be disrupted if key members of our senior management or a significant percentage of our workforce or the workforce of our agents, brokers or service providers are unable to continue to work because of illness, government directives or otherwise. For a further discussion of these risks, see “</w:t>
      </w:r>
      <w:r>
        <w:rPr>
          <w:rFonts w:ascii="Arial" w:cs="Arial" w:eastAsia="Arial" w:hAnsi="Arial"/>
          <w:sz w:val="16"/>
          <w:szCs w:val="16"/>
          <w:i w:val="1"/>
          <w:iCs w:val="1"/>
          <w:color w:val="auto"/>
        </w:rPr>
        <w:t>We rely on our systems and employees, and those of certain third-party vendors and service providers in conducting our operations, and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failures, including internal or external fraud, operational errors, systems malfunctions, or cybersecurity incidents, could materially adversely affect our operations</w:t>
      </w:r>
      <w:r>
        <w:rPr>
          <w:rFonts w:ascii="Arial" w:cs="Arial" w:eastAsia="Arial" w:hAnsi="Arial"/>
          <w:sz w:val="16"/>
          <w:szCs w:val="16"/>
          <w:color w:val="auto"/>
        </w:rPr>
        <w:t>” in “Part I-Item 1A-Risk Factors” in the Company’s Annual Report on Form 10-K for the year ended December 31, 2019.</w:t>
      </w:r>
    </w:p>
    <w:p>
      <w:pPr>
        <w:spacing w:after="0" w:line="5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Given the ongoing and dynamic nature of the circumstances, it is not possible to predict the ultimate impact of the coronavirus outbreak on the stock price, business prospects, financial condition or results of operations of the Company. Notwithstanding any actions by national, state and local governments to mitigate the impact of COVID-19 or by the Company to address the adverse impacts of COVID-19, there can be no assurance that any of the foregoing activities will be successful in mitigating or preventing significant adverse effects on the Company. The Company may also incur additional costs to remedy damages caused by such disruptions, which could adversely affect its financial condition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2172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3.3</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3.4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3.6</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31.1</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31.2</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101.INS</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101.SCH</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101.CAL</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101.DEF</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101.LAB</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101.PRE</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16459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459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16459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459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wp:posOffset>
            </wp:positionV>
            <wp:extent cx="5486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43" w:lineRule="exact"/>
        <w:rPr>
          <w:sz w:val="20"/>
          <w:szCs w:val="20"/>
          <w:color w:val="auto"/>
        </w:rPr>
      </w:pPr>
    </w:p>
    <w:p>
      <w:pPr>
        <w:jc w:val="both"/>
        <w:spacing w:after="0" w:line="342" w:lineRule="auto"/>
        <w:rPr>
          <w:rFonts w:ascii="Arial" w:cs="Arial" w:eastAsia="Arial" w:hAnsi="Arial"/>
          <w:sz w:val="16"/>
          <w:szCs w:val="16"/>
          <w:u w:val="single" w:color="auto"/>
          <w:color w:val="0000FF"/>
        </w:rPr>
      </w:pPr>
      <w:hyperlink r:id="rId30">
        <w:r>
          <w:rPr>
            <w:rFonts w:ascii="Arial" w:cs="Arial" w:eastAsia="Arial" w:hAnsi="Arial"/>
            <w:sz w:val="16"/>
            <w:szCs w:val="16"/>
            <w:u w:val="single" w:color="auto"/>
            <w:color w:val="0000FF"/>
          </w:rPr>
          <w:t>Certificate of Incorporation of James River Group Holdings, Ltd. (incorporated by reference to Exhibit 3.1 of the</w:t>
        </w:r>
      </w:hyperlink>
      <w:r>
        <w:rPr>
          <w:rFonts w:ascii="Arial" w:cs="Arial" w:eastAsia="Arial" w:hAnsi="Arial"/>
          <w:sz w:val="16"/>
          <w:szCs w:val="16"/>
          <w:u w:val="single" w:color="auto"/>
          <w:color w:val="0000FF"/>
        </w:rPr>
        <w:t xml:space="preserve"> </w:t>
      </w:r>
      <w:hyperlink r:id="rId30">
        <w:r>
          <w:rPr>
            <w:rFonts w:ascii="Arial" w:cs="Arial" w:eastAsia="Arial" w:hAnsi="Arial"/>
            <w:sz w:val="16"/>
            <w:szCs w:val="16"/>
            <w:u w:val="single" w:color="auto"/>
            <w:color w:val="0000FF"/>
          </w:rPr>
          <w:t>Registration Statement on Form S-1, Registration No. 333-199958, filed with the Commission on November 7, 2014)</w:t>
        </w:r>
      </w:hyperlink>
    </w:p>
    <w:p>
      <w:pPr>
        <w:spacing w:after="0" w:line="232" w:lineRule="exact"/>
        <w:rPr>
          <w:sz w:val="20"/>
          <w:szCs w:val="20"/>
          <w:color w:val="auto"/>
        </w:rPr>
      </w:pPr>
    </w:p>
    <w:p>
      <w:pPr>
        <w:jc w:val="both"/>
        <w:ind w:right="20"/>
        <w:spacing w:after="0" w:line="277" w:lineRule="auto"/>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Certificate of Incorporation on Change of Name (incorporated by reference to Exhibit 3.2 of the Registration</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Statement on Form S-1, Registration No. 333-199958, filed with the Commission on November 7, 2014)</w:t>
        </w:r>
      </w:hyperlink>
    </w:p>
    <w:p>
      <w:pPr>
        <w:spacing w:after="0" w:line="278" w:lineRule="exact"/>
        <w:rPr>
          <w:sz w:val="20"/>
          <w:szCs w:val="20"/>
          <w:color w:val="auto"/>
        </w:rPr>
      </w:pPr>
    </w:p>
    <w:p>
      <w:pPr>
        <w:jc w:val="both"/>
        <w:ind w:right="20"/>
        <w:spacing w:after="0" w:line="342" w:lineRule="auto"/>
        <w:rPr>
          <w:rFonts w:ascii="Arial" w:cs="Arial" w:eastAsia="Arial" w:hAnsi="Arial"/>
          <w:sz w:val="16"/>
          <w:szCs w:val="16"/>
          <w:u w:val="single" w:color="auto"/>
          <w:color w:val="0000FF"/>
        </w:rPr>
      </w:pPr>
      <w:hyperlink r:id="rId32">
        <w:r>
          <w:rPr>
            <w:rFonts w:ascii="Arial" w:cs="Arial" w:eastAsia="Arial" w:hAnsi="Arial"/>
            <w:sz w:val="16"/>
            <w:szCs w:val="16"/>
            <w:u w:val="single" w:color="auto"/>
            <w:color w:val="0000FF"/>
          </w:rPr>
          <w:t>Memorandum of Association of James River Group Holdings, Ltd. (incorporated by reference to Exhibit 3.3 of the</w:t>
        </w:r>
      </w:hyperlink>
      <w:r>
        <w:rPr>
          <w:rFonts w:ascii="Arial" w:cs="Arial" w:eastAsia="Arial" w:hAnsi="Arial"/>
          <w:sz w:val="16"/>
          <w:szCs w:val="16"/>
          <w:u w:val="single" w:color="auto"/>
          <w:color w:val="0000FF"/>
        </w:rPr>
        <w:t xml:space="preserve"> </w:t>
      </w:r>
      <w:hyperlink r:id="rId32">
        <w:r>
          <w:rPr>
            <w:rFonts w:ascii="Arial" w:cs="Arial" w:eastAsia="Arial" w:hAnsi="Arial"/>
            <w:sz w:val="16"/>
            <w:szCs w:val="16"/>
            <w:u w:val="single" w:color="auto"/>
            <w:color w:val="0000FF"/>
          </w:rPr>
          <w:t>Registration Statement on Form S-1, Registration No. 333-199958, filed with the Commission on November 7, 2014)</w:t>
        </w:r>
      </w:hyperlink>
    </w:p>
    <w:p>
      <w:pPr>
        <w:spacing w:after="0" w:line="232" w:lineRule="exact"/>
        <w:rPr>
          <w:sz w:val="20"/>
          <w:szCs w:val="20"/>
          <w:color w:val="auto"/>
        </w:rPr>
      </w:pPr>
    </w:p>
    <w:p>
      <w:pPr>
        <w:jc w:val="both"/>
        <w:spacing w:after="0" w:line="263" w:lineRule="auto"/>
        <w:rPr>
          <w:rFonts w:ascii="Arial" w:cs="Arial" w:eastAsia="Arial" w:hAnsi="Arial"/>
          <w:sz w:val="18"/>
          <w:szCs w:val="18"/>
          <w:u w:val="single" w:color="auto"/>
          <w:color w:val="0000FF"/>
        </w:rPr>
      </w:pPr>
      <w:hyperlink r:id="rId33">
        <w:r>
          <w:rPr>
            <w:rFonts w:ascii="Arial" w:cs="Arial" w:eastAsia="Arial" w:hAnsi="Arial"/>
            <w:sz w:val="18"/>
            <w:szCs w:val="18"/>
            <w:u w:val="single" w:color="auto"/>
            <w:color w:val="0000FF"/>
          </w:rPr>
          <w:t>Certificate of Deposit of Memorandum of Increase of Share Capital, dated December 24, 2007 (incorporated by</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reference to Exhibit 3.4 of the Registration Statement on Form S-1, Registration No. 333-199958, filed with the</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Commission on November 7, 2014)</w:t>
        </w:r>
      </w:hyperlink>
    </w:p>
    <w:p>
      <w:pPr>
        <w:spacing w:after="0" w:line="292" w:lineRule="exact"/>
        <w:rPr>
          <w:rFonts w:ascii="Arial" w:cs="Arial" w:eastAsia="Arial" w:hAnsi="Arial"/>
          <w:sz w:val="18"/>
          <w:szCs w:val="18"/>
          <w:u w:val="single" w:color="auto"/>
          <w:color w:val="0000FF"/>
        </w:rPr>
      </w:pPr>
    </w:p>
    <w:p>
      <w:pPr>
        <w:jc w:val="both"/>
        <w:ind w:right="20"/>
        <w:spacing w:after="0" w:line="263" w:lineRule="auto"/>
        <w:rPr>
          <w:rFonts w:ascii="Arial" w:cs="Arial" w:eastAsia="Arial" w:hAnsi="Arial"/>
          <w:sz w:val="18"/>
          <w:szCs w:val="18"/>
          <w:u w:val="single" w:color="auto"/>
          <w:color w:val="0000FF"/>
        </w:rPr>
      </w:pPr>
      <w:hyperlink r:id="rId34">
        <w:r>
          <w:rPr>
            <w:rFonts w:ascii="Arial" w:cs="Arial" w:eastAsia="Arial" w:hAnsi="Arial"/>
            <w:sz w:val="18"/>
            <w:szCs w:val="18"/>
            <w:u w:val="single" w:color="auto"/>
            <w:color w:val="0000FF"/>
          </w:rPr>
          <w:t>Certificate of Deposit of Memorandum of Increase of Share Capital, dated October 7, 2009 (incorporated by reference</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to Exhibit 3.5 of the Registration Statement on Form S-1, Registration No. 333-199958, filed with the Commission on</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November 7, 2014)</w:t>
        </w:r>
      </w:hyperlink>
    </w:p>
    <w:p>
      <w:pPr>
        <w:spacing w:after="0" w:line="292" w:lineRule="exact"/>
        <w:rPr>
          <w:rFonts w:ascii="Arial" w:cs="Arial" w:eastAsia="Arial" w:hAnsi="Arial"/>
          <w:sz w:val="18"/>
          <w:szCs w:val="18"/>
          <w:u w:val="single" w:color="auto"/>
          <w:color w:val="0000FF"/>
        </w:rPr>
      </w:pPr>
    </w:p>
    <w:p>
      <w:pPr>
        <w:jc w:val="both"/>
        <w:spacing w:after="0" w:line="277" w:lineRule="auto"/>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Third Amended and Restated Bye-Laws of James River Group Holdings, Ltd. (incorporated by reference to Exhibit</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3.6 to the Annual Report on Form 10-K filed on March 12, 2015, Commission File No. 001-36777)</w:t>
        </w:r>
      </w:hyperlink>
    </w:p>
    <w:p>
      <w:pPr>
        <w:spacing w:after="0" w:line="143" w:lineRule="exact"/>
        <w:rPr>
          <w:sz w:val="20"/>
          <w:szCs w:val="20"/>
          <w:color w:val="auto"/>
        </w:rPr>
      </w:pPr>
    </w:p>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Chief Executive Officer Certification pursuant to Rule 13a-14(a)/15d-14(a)</w:t>
        </w:r>
      </w:hyperlink>
    </w:p>
    <w:p>
      <w:pPr>
        <w:spacing w:after="0" w:line="333" w:lineRule="exact"/>
        <w:rPr>
          <w:sz w:val="20"/>
          <w:szCs w:val="20"/>
          <w:color w:val="auto"/>
        </w:rPr>
      </w:pPr>
    </w:p>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Chief Financial Officer Certification pursuant to Rule 13a-14(a)/15d-14(a)</w:t>
        </w:r>
      </w:hyperlink>
    </w:p>
    <w:p>
      <w:pPr>
        <w:spacing w:after="0" w:line="333" w:lineRule="exact"/>
        <w:rPr>
          <w:sz w:val="20"/>
          <w:szCs w:val="20"/>
          <w:color w:val="auto"/>
        </w:rPr>
      </w:pPr>
    </w:p>
    <w:p>
      <w:pPr>
        <w:jc w:val="both"/>
        <w:spacing w:after="0" w:line="277" w:lineRule="auto"/>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Chief Executive Officer and Chief Financial Officer Certification pursuant to 18 U.S.C. Section 1350, as adopted</w:t>
        </w:r>
      </w:hyperlink>
      <w:r>
        <w:rPr>
          <w:rFonts w:ascii="Arial" w:cs="Arial" w:eastAsia="Arial" w:hAnsi="Arial"/>
          <w:sz w:val="18"/>
          <w:szCs w:val="18"/>
          <w:u w:val="single" w:color="auto"/>
          <w:color w:val="0000FF"/>
        </w:rPr>
        <w:t xml:space="preserve"> </w:t>
      </w:r>
      <w:hyperlink w:anchor="page57">
        <w:r>
          <w:rPr>
            <w:rFonts w:ascii="Arial" w:cs="Arial" w:eastAsia="Arial" w:hAnsi="Arial"/>
            <w:sz w:val="18"/>
            <w:szCs w:val="18"/>
            <w:u w:val="single" w:color="auto"/>
            <w:color w:val="0000FF"/>
          </w:rPr>
          <w:t>pursuant to Section 906 of the Sarbanes-Oxley Act of 2002</w:t>
        </w:r>
      </w:hyperlink>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Inline XBRL Instance Document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Cover Page Interactive Data File - the cover page XBRL tags are embedded within the Inline XBRL document in Exhibit 101.</w:t>
      </w:r>
    </w:p>
    <w:p>
      <w:pPr>
        <w:spacing w:after="0" w:line="200" w:lineRule="exact"/>
        <w:rPr>
          <w:sz w:val="20"/>
          <w:szCs w:val="20"/>
          <w:color w:val="auto"/>
        </w:rPr>
      </w:pPr>
    </w:p>
    <w:p>
      <w:pPr>
        <w:sectPr>
          <w:pgSz w:w="11900" w:h="16838" w:orient="portrait"/>
          <w:cols w:equalWidth="0" w:num="2">
            <w:col w:w="1900" w:space="720"/>
            <w:col w:w="8600"/>
          </w:cols>
          <w:pgMar w:left="320" w:top="125" w:right="359"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 Denotes a management contract or compensatory plan or arrangement.</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20"/>
          </w:cols>
          <w:pgMar w:left="320" w:top="125" w:right="35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James River Group Holdings, Ltd.</w:t>
      </w:r>
    </w:p>
    <w:p>
      <w:pPr>
        <w:spacing w:after="0" w:line="333" w:lineRule="exact"/>
        <w:rPr>
          <w:sz w:val="20"/>
          <w:szCs w:val="20"/>
          <w:color w:val="auto"/>
        </w:rPr>
      </w:pPr>
    </w:p>
    <w:p>
      <w:pPr>
        <w:ind w:left="40"/>
        <w:spacing w:after="0"/>
        <w:tabs>
          <w:tab w:leader="none" w:pos="620" w:val="left"/>
          <w:tab w:leader="none" w:pos="5140" w:val="left"/>
          <w:tab w:leader="none" w:pos="5840" w:val="left"/>
        </w:tabs>
        <w:rPr>
          <w:sz w:val="20"/>
          <w:szCs w:val="20"/>
          <w:color w:val="auto"/>
        </w:rPr>
      </w:pPr>
      <w:r>
        <w:rPr>
          <w:rFonts w:ascii="Arial" w:cs="Arial" w:eastAsia="Arial" w:hAnsi="Arial"/>
          <w:sz w:val="18"/>
          <w:szCs w:val="18"/>
          <w:color w:val="auto"/>
        </w:rPr>
        <w:t>Date:</w:t>
        <w:tab/>
        <w:t>April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 Adam Abram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31750</wp:posOffset>
            </wp:positionV>
            <wp:extent cx="26746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 Adam Abram</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 and</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Chairman of the Board</w:t>
      </w:r>
    </w:p>
    <w:p>
      <w:pPr>
        <w:spacing w:after="0" w:line="4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40"/>
        <w:spacing w:after="0"/>
        <w:tabs>
          <w:tab w:leader="none" w:pos="620" w:val="left"/>
          <w:tab w:leader="none" w:pos="5140" w:val="left"/>
          <w:tab w:leader="none" w:pos="5840" w:val="left"/>
        </w:tabs>
        <w:rPr>
          <w:sz w:val="20"/>
          <w:szCs w:val="20"/>
          <w:color w:val="auto"/>
        </w:rPr>
      </w:pPr>
      <w:r>
        <w:rPr>
          <w:rFonts w:ascii="Arial" w:cs="Arial" w:eastAsia="Arial" w:hAnsi="Arial"/>
          <w:sz w:val="18"/>
          <w:szCs w:val="18"/>
          <w:color w:val="auto"/>
        </w:rPr>
        <w:t>Date:</w:t>
        <w:tab/>
        <w:t>April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31750</wp:posOffset>
            </wp:positionV>
            <wp:extent cx="26746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Sarah C. Doran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Officer)</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280"/>
          </w:cols>
          <w:pgMar w:left="320" w:top="125" w:right="129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J. Adam Abram,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6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Adam Abram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 Adam Abram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Chairman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Sarah C. Doran, certify that:</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60" w:hanging="320"/>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549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Sarah C. Doran</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553"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connection with the quarterly report of James River Group Holdings, Ltd. (the “Company”) on Form 10-Q for the period ended March 31, 2020 as filed with the Securities and Exchange Commission on the date hereof (the “Report”), we, J. Adam Abram, Chief Executive Officer and Chairman of the Company, and Sarah C. Doran, Chief Financial Officer of the Company, certify, to the best of our knowledge, pursuant to 18 U.S.C. §1350, as adopted pursuant to §906 of the Sarbanes-Oxley Act of 2002, that:</w:t>
      </w:r>
    </w:p>
    <w:p>
      <w:pPr>
        <w:spacing w:after="0" w:line="187" w:lineRule="exact"/>
        <w:rPr>
          <w:sz w:val="20"/>
          <w:szCs w:val="20"/>
          <w:color w:val="auto"/>
        </w:rPr>
      </w:pPr>
    </w:p>
    <w:p>
      <w:pPr>
        <w:ind w:left="860" w:hanging="852"/>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J. Adam Abram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 Adam Abram</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Executive Officer and Chairman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April 30, 2020</w:t>
      </w:r>
    </w:p>
    <w:p>
      <w:pPr>
        <w:spacing w:after="0" w:line="33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Sarah C. Doran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April 30, 2020</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2"/>
    </w:lvl>
  </w:abstractNum>
  <w:abstractNum w:abstractNumId="6">
    <w:nsid w:val="41A7C4C9"/>
    <w:multiLevelType w:val="hybridMultilevel"/>
    <w:lvl w:ilvl="0">
      <w:lvlJc w:val="left"/>
      <w:lvlText w:val="%1."/>
      <w:numFmt w:val="decimal"/>
      <w:start w:val="6"/>
    </w:lvl>
  </w:abstractNum>
  <w:abstractNum w:abstractNumId="7">
    <w:nsid w:val="6B68079A"/>
    <w:multiLevelType w:val="hybridMultilevel"/>
    <w:lvl w:ilvl="0">
      <w:lvlJc w:val="left"/>
      <w:lvlText w:val="%1."/>
      <w:numFmt w:val="decimal"/>
      <w:start w:val="7"/>
    </w:lvl>
  </w:abstractNum>
  <w:abstractNum w:abstractNumId="8">
    <w:nsid w:val="4E6AFB66"/>
    <w:multiLevelType w:val="hybridMultilevel"/>
    <w:lvl w:ilvl="0">
      <w:lvlJc w:val="left"/>
      <w:lvlText w:val="%1."/>
      <w:numFmt w:val="decimal"/>
      <w:start w:val="9"/>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3"/>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30" Type="http://schemas.openxmlformats.org/officeDocument/2006/relationships/hyperlink" Target="http://www.sec.gov/Archives/edgar/data/1620459/000157104914005924/t1401933_ex3-1.htm" TargetMode="External"/><Relationship Id="rId31" Type="http://schemas.openxmlformats.org/officeDocument/2006/relationships/hyperlink" Target="http://www.sec.gov/Archives/edgar/data/1620459/000157104914005924/t1401933_ex3-2.htm" TargetMode="External"/><Relationship Id="rId32" Type="http://schemas.openxmlformats.org/officeDocument/2006/relationships/hyperlink" Target="http://www.sec.gov/Archives/edgar/data/1620459/000157104914005924/t1401933_ex3-3.htm" TargetMode="External"/><Relationship Id="rId33" Type="http://schemas.openxmlformats.org/officeDocument/2006/relationships/hyperlink" Target="http://www.sec.gov/Archives/edgar/data/1620459/000157104914005924/t1401933_ex3-4.htm" TargetMode="External"/><Relationship Id="rId34" Type="http://schemas.openxmlformats.org/officeDocument/2006/relationships/hyperlink" Target="http://www.sec.gov/Archives/edgar/data/1620459/000157104914005924/t1401933_ex3-5.htm" TargetMode="External"/><Relationship Id="rId35" Type="http://schemas.openxmlformats.org/officeDocument/2006/relationships/hyperlink" Target="http://www.sec.gov/Archives/edgar/data/1620459/000157104915001874/t1500493_ex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2020-04-30T15:24:26Z</dcterms:created>
  <dcterms:modified xsi:type="dcterms:W3CDTF">2020-04-30T15:24:26Z</dcterms:modified>
</cp:coreProperties>
</file>