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422.xml.htm"/>
      <w:bookmarkStart w:id="1" w:name="kswkform4_17861344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Sutherland Todd Randell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JAMES RIVER GROUP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1414 RALEIGH ROAD, 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James River Group Holdings, Inc.</w:t>
              </w:r>
            </w:hyperlink>
            <w:r>
              <w:rPr/>
              <w:t xml:space="preserve"> [ </w:t>
            </w:r>
            <w:r>
              <w:rPr>
                <w:rFonts w:ascii="Times;serif" w:hAnsi="Times;serif"/>
                <w:color w:val="0000FF"/>
                <w:sz w:val="24"/>
                <w:shd w:fill="FFFFFF" w:val="clear"/>
              </w:rPr>
              <w:t>JRVR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E&amp;S Lines Segment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90,983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disposed of were withheld by James River Group Holdings, Inc. for payment of the tax liability incident to the vesting of 14,318 restricted share units on August 6,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L. Miller, Attorney-in-fact for Todd R. Sutherland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8751" TargetMode="External"/><Relationship Id="rId5" Type="http://schemas.openxmlformats.org/officeDocument/2006/relationships/hyperlink" Target="http://www.sec.gov/cgi-bin/browse-edgar?action=getcompany&amp;CIK=00016204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3316</Characters>
  <CharactersWithSpaces>3859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