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3087321.xml.htm"/>
      <w:bookmarkStart w:id="1" w:name="kswkform4_177308732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Doran Sarah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JAMES RIVER GROUP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1414 RALEIGH ROAD, SUITE 405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CHAPEL HILL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27517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James River Group Holdings, Inc.</w:t>
              </w:r>
            </w:hyperlink>
            <w:r>
              <w:rPr/>
              <w:t xml:space="preserve"> [ </w:t>
            </w:r>
            <w:r>
              <w:rPr>
                <w:rFonts w:ascii="Times;serif" w:hAnsi="Times;serif"/>
                <w:color w:val="0000FF"/>
                <w:sz w:val="24"/>
                <w:shd w:fill="FFFFFF" w:val="clear"/>
              </w:rPr>
              <w:t>JRVR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96"/>
        <w:gridCol w:w="461"/>
        <w:gridCol w:w="675"/>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8,741</w:t>
            </w:r>
            <w:r>
              <w:rPr>
                <w:rFonts w:ascii="Times;serif" w:hAnsi="Times;serif"/>
                <w:color w:val="008000"/>
                <w:position w:val="7"/>
                <w:sz w:val="16"/>
                <w:sz w:val="20"/>
                <w:shd w:fill="FFFFFF" w:val="clear"/>
              </w:rPr>
              <w:t>(1)</w:t>
            </w:r>
            <w:r>
              <w:rPr/>
              <w:t xml:space="preserve"> </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6.44</w:t>
            </w:r>
            <w:r>
              <w:rPr/>
              <w:t xml:space="preserve"> </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208,172</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9,000</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disposed of were withheld by James River Group Holdings, Inc. for payment of the tax liability incident to the vesting of 25,905 restricted share units on March 5,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Sarah C. Doran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95522" TargetMode="External"/><Relationship Id="rId5" Type="http://schemas.openxmlformats.org/officeDocument/2006/relationships/hyperlink" Target="http://www.sec.gov/cgi-bin/browse-edgar?action=getcompany&amp;CIK=000162045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610</Words>
  <Characters>3273</Characters>
  <CharactersWithSpaces>3818</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