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12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 for the quarterly period ended March 31, 2024</w:t>
            </w:r>
          </w:p>
        </w:tc>
      </w:tr>
    </w:tbl>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 for the transition period from _______ to _______</w:t>
            </w:r>
          </w:p>
        </w:tc>
      </w:tr>
    </w:tbl>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001-36777 </w:t>
      </w:r>
    </w:p>
    <w:tbl>
      <w:tblPr>
        <w:tblW w:w="9329" w:type="dxa"/>
        <w:jc w:val="center"/>
        <w:tblInd w:w="0" w:type="dxa"/>
        <w:tblLayout w:type="fixed"/>
        <w:tblCellMar>
          <w:top w:w="28" w:type="dxa"/>
          <w:left w:w="28" w:type="dxa"/>
          <w:bottom w:w="28" w:type="dxa"/>
          <w:right w:w="28" w:type="dxa"/>
        </w:tblCellMar>
      </w:tblPr>
      <w:tblGrid>
        <w:gridCol w:w="2988"/>
        <w:gridCol w:w="2627"/>
        <w:gridCol w:w="3714"/>
      </w:tblGrid>
      <w:tr>
        <w:trPr/>
        <w:tc>
          <w:tcPr>
            <w:tcW w:w="2988"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9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48"/>
              </w:rPr>
            </w:pPr>
            <w:r>
              <w:rPr>
                <w:rFonts w:ascii="Times New Roman;sans-serif" w:hAnsi="Times New Roman;sans-serif"/>
                <w:b/>
                <w:color w:val="000000"/>
                <w:sz w:val="48"/>
              </w:rPr>
              <w:t>JAMES RIVER GROUP HOLDINGS, LTD.</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271" w:type="dxa"/>
        <w:jc w:val="center"/>
        <w:tblInd w:w="0" w:type="dxa"/>
        <w:tblLayout w:type="fixed"/>
        <w:tblCellMar>
          <w:top w:w="28" w:type="dxa"/>
          <w:left w:w="28" w:type="dxa"/>
          <w:bottom w:w="28" w:type="dxa"/>
          <w:right w:w="28" w:type="dxa"/>
        </w:tblCellMar>
      </w:tblPr>
      <w:tblGrid>
        <w:gridCol w:w="874"/>
        <w:gridCol w:w="767"/>
        <w:gridCol w:w="773"/>
        <w:gridCol w:w="109"/>
        <w:gridCol w:w="109"/>
        <w:gridCol w:w="109"/>
        <w:gridCol w:w="447"/>
        <w:gridCol w:w="447"/>
        <w:gridCol w:w="636"/>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Bermuda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98-0585280</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 xml:space="preserve">Clarendon House, 2 Church Street, Hamilton, Pembroke HM11, Bermuda </w:t>
      </w:r>
    </w:p>
    <w:p>
      <w:pPr>
        <w:pStyle w:val="TextBody"/>
        <w:bidi w:val="0"/>
        <w:spacing w:lineRule="auto" w:line="26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(Zip Code)</w:t>
      </w:r>
    </w:p>
    <w:p>
      <w:pPr>
        <w:pStyle w:val="TextBody"/>
        <w:bidi w:val="0"/>
        <w:spacing w:before="0" w:after="0"/>
        <w:jc w:val="center"/>
        <w:rPr/>
      </w:pPr>
      <w:r>
        <w:rPr/>
      </w:r>
    </w:p>
    <w:p>
      <w:pPr>
        <w:pStyle w:val="TextBody"/>
        <w:bidi w:val="0"/>
        <w:spacing w:lineRule="auto" w:line="288" w:before="60" w:after="283"/>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 xml:space="preserve">(441) 295-1422 </w:t>
      </w:r>
    </w:p>
    <w:p>
      <w:pPr>
        <w:pStyle w:val="TextBody"/>
        <w:bidi w:val="0"/>
        <w:spacing w:lineRule="auto" w:line="288" w:before="0" w:after="0"/>
        <w:jc w:val="center"/>
        <w:rPr/>
      </w:pPr>
      <w:r>
        <w:rPr>
          <w:rFonts w:ascii="Times New Roman;sans-serif" w:hAnsi="Times New Roman;sans-serif"/>
          <w:b/>
          <w:color w:val="000000"/>
          <w:sz w:val="20"/>
        </w:rPr>
        <w:t>(Registrant</w:t>
      </w:r>
      <w:r>
        <w:rPr>
          <w:rFonts w:ascii="Times New Roman;sans-serif" w:hAnsi="Times New Roman;sans-serif"/>
          <w:b w:val="false"/>
          <w:color w:val="000000"/>
          <w:sz w:val="20"/>
        </w:rPr>
        <w:t>'</w:t>
      </w:r>
      <w:r>
        <w:rPr>
          <w:rFonts w:ascii="Times New Roman;sans-serif" w:hAnsi="Times New Roman;sans-serif"/>
          <w:b/>
          <w:color w:val="000000"/>
          <w:sz w:val="20"/>
        </w:rPr>
        <w:t>s telephone number, including area code)</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075" w:type="dxa"/>
        <w:jc w:val="center"/>
        <w:tblInd w:w="0" w:type="dxa"/>
        <w:tblLayout w:type="fixed"/>
        <w:tblCellMar>
          <w:top w:w="28" w:type="dxa"/>
          <w:left w:w="28" w:type="dxa"/>
          <w:bottom w:w="28" w:type="dxa"/>
          <w:right w:w="28" w:type="dxa"/>
        </w:tblCellMar>
      </w:tblPr>
      <w:tblGrid>
        <w:gridCol w:w="1363"/>
        <w:gridCol w:w="1193"/>
        <w:gridCol w:w="1208"/>
        <w:gridCol w:w="539"/>
        <w:gridCol w:w="539"/>
        <w:gridCol w:w="541"/>
        <w:gridCol w:w="304"/>
        <w:gridCol w:w="304"/>
        <w:gridCol w:w="304"/>
        <w:gridCol w:w="304"/>
        <w:gridCol w:w="304"/>
        <w:gridCol w:w="304"/>
        <w:gridCol w:w="610"/>
        <w:gridCol w:w="610"/>
        <w:gridCol w:w="610"/>
        <w:gridCol w:w="304"/>
        <w:gridCol w:w="304"/>
        <w:gridCol w:w="430"/>
      </w:tblGrid>
      <w:tr>
        <w:trPr/>
        <w:tc>
          <w:tcPr>
            <w:tcW w:w="136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469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Names of each exchange 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Shares, par value $0.0002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JRVR</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Global Select Market</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12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90"/>
        <w:gridCol w:w="519"/>
        <w:gridCol w:w="521"/>
        <w:gridCol w:w="109"/>
        <w:gridCol w:w="109"/>
        <w:gridCol w:w="109"/>
        <w:gridCol w:w="420"/>
        <w:gridCol w:w="420"/>
        <w:gridCol w:w="421"/>
        <w:gridCol w:w="109"/>
        <w:gridCol w:w="109"/>
        <w:gridCol w:w="109"/>
        <w:gridCol w:w="540"/>
        <w:gridCol w:w="540"/>
        <w:gridCol w:w="541"/>
        <w:gridCol w:w="109"/>
        <w:gridCol w:w="109"/>
        <w:gridCol w:w="109"/>
        <w:gridCol w:w="675"/>
        <w:gridCol w:w="675"/>
        <w:gridCol w:w="676"/>
        <w:gridCol w:w="109"/>
        <w:gridCol w:w="109"/>
        <w:gridCol w:w="109"/>
        <w:gridCol w:w="660"/>
        <w:gridCol w:w="660"/>
        <w:gridCol w:w="663"/>
        <w:gridCol w:w="109"/>
        <w:gridCol w:w="109"/>
        <w:gridCol w:w="158"/>
      </w:tblGrid>
      <w:tr>
        <w:trPr/>
        <w:tc>
          <w:tcPr>
            <w:tcW w:w="5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0" w:after="12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Exchange Act). </w:t>
      </w:r>
    </w:p>
    <w:p>
      <w:pPr>
        <w:pStyle w:val="TextBody"/>
        <w:bidi w:val="0"/>
        <w:spacing w:lineRule="auto" w:line="288" w:before="0" w:after="0"/>
        <w:jc w:val="left"/>
        <w:rPr/>
      </w:pP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of the registrant's common shares outstanding at May 7, 2024: 37,825,767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528"/>
        <w:gridCol w:w="449"/>
        <w:gridCol w:w="449"/>
        <w:gridCol w:w="2748"/>
        <w:gridCol w:w="2651"/>
        <w:gridCol w:w="2641"/>
        <w:gridCol w:w="215"/>
        <w:gridCol w:w="215"/>
        <w:gridCol w:w="309"/>
      </w:tblGrid>
      <w:tr>
        <w:trPr/>
        <w:tc>
          <w:tcPr>
            <w:tcW w:w="52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946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946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0">
              <w:r>
                <w:rPr>
                  <w:rStyle w:val="InternetLink"/>
                  <w:rFonts w:ascii="Times New Roman;sans-serif" w:hAnsi="Times New Roman;sans-serif"/>
                  <w:b w:val="false"/>
                  <w:color w:val="0000FF"/>
                  <w:sz w:val="20"/>
                  <w:u w:val="single"/>
                </w:rPr>
                <w:t>PART I. FINANCIAL INFORMATION</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3">
              <w:r>
                <w:rPr>
                  <w:rStyle w:val="InternetLink"/>
                  <w:rFonts w:ascii="Times New Roman;sans-serif" w:hAnsi="Times New Roman;sans-serif"/>
                  <w:b w:val="false"/>
                  <w:color w:val="0000FF"/>
                  <w:sz w:val="20"/>
                  <w:u w:val="single"/>
                </w:rPr>
                <w:t>Item 1.</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3">
              <w:r>
                <w:rPr>
                  <w:rStyle w:val="InternetLink"/>
                  <w:rFonts w:ascii="Times New Roman;sans-serif" w:hAnsi="Times New Roman;sans-serif"/>
                  <w:b w:val="false"/>
                  <w:color w:val="0000FF"/>
                  <w:sz w:val="20"/>
                  <w:u w:val="single"/>
                </w:rPr>
                <w:t>Financial Statements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6">
              <w:r>
                <w:rPr>
                  <w:rStyle w:val="InternetLink"/>
                  <w:rFonts w:ascii="Times New Roman;sans-serif" w:hAnsi="Times New Roman;sans-serif"/>
                  <w:b w:val="false"/>
                  <w:color w:val="000080"/>
                  <w:sz w:val="20"/>
                  <w:u w:val="single"/>
                </w:rPr>
                <w:t>Condensed Consolidated Balance Sheets</w:t>
              </w:r>
            </w:hyperlink>
            <w:hyperlink w:anchor="i852741abae374b32b806917ed955b196_19">
              <w:r>
                <w:rPr>
                  <w:rStyle w:val="InternetLink"/>
                  <w:rFonts w:ascii="Times New Roman;sans-serif" w:hAnsi="Times New Roman;sans-serif"/>
                  <w:b w:val="false"/>
                  <w:color w:val="000080"/>
                  <w:sz w:val="20"/>
                  <w:u w:val="single"/>
                </w:rPr>
                <w:t>—</w:t>
              </w:r>
            </w:hyperlink>
            <w:hyperlink w:anchor="i852741abae374b32b806917ed955b196_16">
              <w:r>
                <w:rPr>
                  <w:rStyle w:val="InternetLink"/>
                  <w:rFonts w:ascii="Times New Roman;sans-serif" w:hAnsi="Times New Roman;sans-serif"/>
                  <w:b w:val="false"/>
                  <w:color w:val="000080"/>
                  <w:sz w:val="20"/>
                  <w:u w:val="single"/>
                </w:rPr>
                <w:t>March 31, 2024 and December 31, 2023</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16">
              <w:r>
                <w:rPr>
                  <w:rStyle w:val="InternetLink"/>
                  <w:rFonts w:ascii="Times New Roman;sans-serif" w:hAnsi="Times New Roman;sans-serif"/>
                  <w:b w:val="false"/>
                  <w:color w:val="0000FF"/>
                  <w:sz w:val="20"/>
                  <w:u w:val="single"/>
                </w:rPr>
                <w:t>5</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9">
              <w:r>
                <w:rPr>
                  <w:rStyle w:val="InternetLink"/>
                  <w:rFonts w:ascii="Times New Roman;sans-serif" w:hAnsi="Times New Roman;sans-serif"/>
                  <w:b w:val="false"/>
                  <w:color w:val="0000FF"/>
                  <w:sz w:val="20"/>
                  <w:u w:val="single"/>
                </w:rPr>
                <w:t>Condensed Consolidated Statements of Income and Comprehensive Income—Three Months Ended March 31, 2024 and 2023</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19">
              <w:r>
                <w:rPr>
                  <w:rStyle w:val="InternetLink"/>
                  <w:rFonts w:ascii="Times New Roman;sans-serif" w:hAnsi="Times New Roman;sans-serif"/>
                  <w:b w:val="false"/>
                  <w:color w:val="0000FF"/>
                  <w:sz w:val="20"/>
                  <w:u w:val="single"/>
                </w:rPr>
                <w:t>7</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22">
              <w:r>
                <w:rPr>
                  <w:rStyle w:val="InternetLink"/>
                  <w:rFonts w:ascii="Times New Roman;sans-serif" w:hAnsi="Times New Roman;sans-serif"/>
                  <w:b w:val="false"/>
                  <w:color w:val="0000FF"/>
                  <w:sz w:val="20"/>
                  <w:u w:val="single"/>
                </w:rPr>
                <w:t>Condensed Consolidated Statements of Changes in Shareholders’ Equity—Three Months Ended March 31, 2024 and 2023</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22">
              <w:r>
                <w:rPr>
                  <w:rStyle w:val="InternetLink"/>
                  <w:rFonts w:ascii="Times New Roman;sans-serif" w:hAnsi="Times New Roman;sans-serif"/>
                  <w:b w:val="false"/>
                  <w:color w:val="0000FF"/>
                  <w:sz w:val="20"/>
                  <w:u w:val="single"/>
                </w:rPr>
                <w:t>8</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25">
              <w:r>
                <w:rPr>
                  <w:rStyle w:val="InternetLink"/>
                  <w:rFonts w:ascii="Times New Roman;sans-serif" w:hAnsi="Times New Roman;sans-serif"/>
                  <w:b w:val="false"/>
                  <w:color w:val="0000FF"/>
                  <w:sz w:val="20"/>
                  <w:u w:val="single"/>
                </w:rPr>
                <w:t>Condensed Consolidated Statements of Cash Flows—Three Months Ended March 31, 2024 and 2023</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25">
              <w:r>
                <w:rPr>
                  <w:rStyle w:val="InternetLink"/>
                  <w:rFonts w:ascii="Times New Roman;sans-serif" w:hAnsi="Times New Roman;sans-serif"/>
                  <w:b w:val="false"/>
                  <w:color w:val="0000FF"/>
                  <w:sz w:val="20"/>
                  <w:u w:val="single"/>
                </w:rPr>
                <w:t>9</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28">
              <w:r>
                <w:rPr>
                  <w:rStyle w:val="InternetLink"/>
                  <w:rFonts w:ascii="Times New Roman;sans-serif" w:hAnsi="Times New Roman;sans-serif"/>
                  <w:b w:val="false"/>
                  <w:color w:val="0000FF"/>
                  <w:sz w:val="20"/>
                  <w:u w:val="single"/>
                </w:rPr>
                <w:t>Notes to Condensed Consolidated Financial Statements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28">
              <w:r>
                <w:rPr>
                  <w:rStyle w:val="InternetLink"/>
                  <w:rFonts w:ascii="Times New Roman;sans-serif" w:hAnsi="Times New Roman;sans-serif"/>
                  <w:b w:val="false"/>
                  <w:color w:val="0000FF"/>
                  <w:sz w:val="20"/>
                  <w:u w:val="single"/>
                </w:rPr>
                <w:t>10</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73">
              <w:r>
                <w:rPr>
                  <w:rStyle w:val="InternetLink"/>
                  <w:rFonts w:ascii="Times New Roman;sans-serif" w:hAnsi="Times New Roman;sans-serif"/>
                  <w:b w:val="false"/>
                  <w:color w:val="0000FF"/>
                  <w:sz w:val="20"/>
                  <w:u w:val="single"/>
                </w:rPr>
                <w:t>Item 2.</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7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73">
              <w:r>
                <w:rPr>
                  <w:rStyle w:val="InternetLink"/>
                  <w:rFonts w:ascii="Times New Roman;sans-serif" w:hAnsi="Times New Roman;sans-serif"/>
                  <w:b w:val="false"/>
                  <w:color w:val="0000FF"/>
                  <w:sz w:val="20"/>
                  <w:u w:val="single"/>
                </w:rPr>
                <w:t>37</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76">
              <w:r>
                <w:rPr>
                  <w:rStyle w:val="InternetLink"/>
                  <w:rFonts w:ascii="Times New Roman;sans-serif" w:hAnsi="Times New Roman;sans-serif"/>
                  <w:b w:val="false"/>
                  <w:color w:val="0000FF"/>
                  <w:sz w:val="20"/>
                  <w:u w:val="single"/>
                </w:rPr>
                <w:t>Critical Accounting Policies and Estimates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76">
              <w:r>
                <w:rPr>
                  <w:rStyle w:val="InternetLink"/>
                  <w:rFonts w:ascii="Times New Roman;sans-serif" w:hAnsi="Times New Roman;sans-serif"/>
                  <w:b w:val="false"/>
                  <w:color w:val="0000FF"/>
                  <w:sz w:val="20"/>
                  <w:u w:val="single"/>
                </w:rPr>
                <w:t>39</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91">
              <w:r>
                <w:rPr>
                  <w:rStyle w:val="InternetLink"/>
                  <w:rFonts w:ascii="Times New Roman;sans-serif" w:hAnsi="Times New Roman;sans-serif"/>
                  <w:b w:val="false"/>
                  <w:color w:val="0000FF"/>
                  <w:sz w:val="20"/>
                  <w:u w:val="single"/>
                </w:rPr>
                <w:t>Item 3.</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91">
              <w:r>
                <w:rPr>
                  <w:rStyle w:val="InternetLink"/>
                  <w:rFonts w:ascii="Times New Roman;sans-serif" w:hAnsi="Times New Roman;sans-serif"/>
                  <w:b w:val="false"/>
                  <w:color w:val="0000FF"/>
                  <w:sz w:val="20"/>
                  <w:u w:val="single"/>
                </w:rPr>
                <w:t>Quantitative and Qualitative Disclosures About Market Risk</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91">
              <w:r>
                <w:rPr>
                  <w:rStyle w:val="InternetLink"/>
                  <w:rFonts w:ascii="Times New Roman;sans-serif" w:hAnsi="Times New Roman;sans-serif"/>
                  <w:b w:val="false"/>
                  <w:color w:val="0000FF"/>
                  <w:sz w:val="20"/>
                  <w:u w:val="single"/>
                </w:rPr>
                <w:t>60</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94">
              <w:r>
                <w:rPr>
                  <w:rStyle w:val="InternetLink"/>
                  <w:rFonts w:ascii="Times New Roman;sans-serif" w:hAnsi="Times New Roman;sans-serif"/>
                  <w:b w:val="false"/>
                  <w:color w:val="0000FF"/>
                  <w:sz w:val="20"/>
                  <w:u w:val="single"/>
                </w:rPr>
                <w:t>Item 4.</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94">
              <w:r>
                <w:rPr>
                  <w:rStyle w:val="InternetLink"/>
                  <w:rFonts w:ascii="Times New Roman;sans-serif" w:hAnsi="Times New Roman;sans-serif"/>
                  <w:b w:val="false"/>
                  <w:color w:val="0000FF"/>
                  <w:sz w:val="20"/>
                  <w:u w:val="single"/>
                </w:rPr>
                <w:t>Controls and Procedures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94">
              <w:r>
                <w:rPr>
                  <w:rStyle w:val="InternetLink"/>
                  <w:rFonts w:ascii="Times New Roman;sans-serif" w:hAnsi="Times New Roman;sans-serif"/>
                  <w:b w:val="false"/>
                  <w:color w:val="0000FF"/>
                  <w:sz w:val="20"/>
                  <w:u w:val="single"/>
                </w:rPr>
                <w:t>60</w:t>
              </w:r>
            </w:hyperlink>
          </w:p>
        </w:tc>
      </w:tr>
      <w:tr>
        <w:trPr/>
        <w:tc>
          <w:tcPr>
            <w:tcW w:w="946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46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97">
              <w:r>
                <w:rPr>
                  <w:rStyle w:val="InternetLink"/>
                  <w:rFonts w:ascii="Times New Roman;sans-serif" w:hAnsi="Times New Roman;sans-serif"/>
                  <w:b w:val="false"/>
                  <w:color w:val="0000FF"/>
                  <w:sz w:val="20"/>
                  <w:u w:val="single"/>
                </w:rPr>
                <w:t>PART II. OTHER INFORMATION</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00">
              <w:r>
                <w:rPr>
                  <w:rStyle w:val="InternetLink"/>
                  <w:rFonts w:ascii="Times New Roman;sans-serif" w:hAnsi="Times New Roman;sans-serif"/>
                  <w:b w:val="false"/>
                  <w:color w:val="0000FF"/>
                  <w:sz w:val="20"/>
                  <w:u w:val="single"/>
                </w:rPr>
                <w:t>Item 1.</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00">
              <w:r>
                <w:rPr>
                  <w:rStyle w:val="InternetLink"/>
                  <w:rFonts w:ascii="Times New Roman;sans-serif" w:hAnsi="Times New Roman;sans-serif"/>
                  <w:b w:val="false"/>
                  <w:color w:val="0000FF"/>
                  <w:sz w:val="20"/>
                  <w:u w:val="single"/>
                </w:rPr>
                <w:t>Legal Proceedings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100">
              <w:r>
                <w:rPr>
                  <w:rStyle w:val="InternetLink"/>
                  <w:rFonts w:ascii="Times New Roman;sans-serif" w:hAnsi="Times New Roman;sans-serif"/>
                  <w:b w:val="false"/>
                  <w:color w:val="0000FF"/>
                  <w:sz w:val="20"/>
                  <w:u w:val="single"/>
                </w:rPr>
                <w:t>60</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03">
              <w:r>
                <w:rPr>
                  <w:rStyle w:val="InternetLink"/>
                  <w:rFonts w:ascii="Times New Roman;sans-serif" w:hAnsi="Times New Roman;sans-serif"/>
                  <w:b w:val="false"/>
                  <w:color w:val="0000FF"/>
                  <w:sz w:val="20"/>
                  <w:u w:val="single"/>
                </w:rPr>
                <w:t>Item 1A.</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03">
              <w:r>
                <w:rPr>
                  <w:rStyle w:val="InternetLink"/>
                  <w:rFonts w:ascii="Times New Roman;sans-serif" w:hAnsi="Times New Roman;sans-serif"/>
                  <w:b w:val="false"/>
                  <w:color w:val="0000FF"/>
                  <w:sz w:val="20"/>
                  <w:u w:val="single"/>
                </w:rPr>
                <w:t>Risk Factors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103">
              <w:r>
                <w:rPr>
                  <w:rStyle w:val="InternetLink"/>
                  <w:rFonts w:ascii="Times New Roman;sans-serif" w:hAnsi="Times New Roman;sans-serif"/>
                  <w:b w:val="false"/>
                  <w:color w:val="0000FF"/>
                  <w:sz w:val="20"/>
                  <w:u w:val="single"/>
                </w:rPr>
                <w:t>61</w:t>
              </w:r>
            </w:hyperlink>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06">
              <w:r>
                <w:rPr>
                  <w:rStyle w:val="InternetLink"/>
                  <w:rFonts w:ascii="Times New Roman;sans-serif" w:hAnsi="Times New Roman;sans-serif"/>
                  <w:b w:val="false"/>
                  <w:color w:val="0000FF"/>
                  <w:sz w:val="20"/>
                  <w:u w:val="single"/>
                </w:rPr>
                <w:t>Item 2.</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06">
              <w:r>
                <w:rPr>
                  <w:rStyle w:val="InternetLink"/>
                  <w:rFonts w:ascii="Times New Roman;sans-serif" w:hAnsi="Times New Roman;sans-serif"/>
                  <w:b w:val="false"/>
                  <w:color w:val="0000FF"/>
                  <w:sz w:val="20"/>
                  <w:u w:val="single"/>
                </w:rPr>
                <w:t>Unregistered Sales of Equity Securities and Use of Proceeds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106">
              <w:r>
                <w:rPr>
                  <w:rStyle w:val="InternetLink"/>
                  <w:rFonts w:ascii="Times New Roman;sans-serif" w:hAnsi="Times New Roman;sans-serif"/>
                  <w:b w:val="false"/>
                  <w:color w:val="0000FF"/>
                  <w:sz w:val="20"/>
                  <w:u w:val="single"/>
                </w:rPr>
                <w:t>61</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09">
              <w:r>
                <w:rPr>
                  <w:rStyle w:val="InternetLink"/>
                  <w:rFonts w:ascii="Times New Roman;sans-serif" w:hAnsi="Times New Roman;sans-serif"/>
                  <w:b w:val="false"/>
                  <w:color w:val="0000FF"/>
                  <w:sz w:val="20"/>
                  <w:u w:val="single"/>
                </w:rPr>
                <w:t>Item 3.</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09">
              <w:r>
                <w:rPr>
                  <w:rStyle w:val="InternetLink"/>
                  <w:rFonts w:ascii="Times New Roman;sans-serif" w:hAnsi="Times New Roman;sans-serif"/>
                  <w:b w:val="false"/>
                  <w:color w:val="0000FF"/>
                  <w:sz w:val="20"/>
                  <w:u w:val="single"/>
                </w:rPr>
                <w:t>Defaults Upon Senior Securities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109">
              <w:r>
                <w:rPr>
                  <w:rStyle w:val="InternetLink"/>
                  <w:rFonts w:ascii="Times New Roman;sans-serif" w:hAnsi="Times New Roman;sans-serif"/>
                  <w:b w:val="false"/>
                  <w:color w:val="0000FF"/>
                  <w:sz w:val="20"/>
                  <w:u w:val="single"/>
                </w:rPr>
                <w:t>61</w:t>
              </w:r>
            </w:hyperlink>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12">
              <w:r>
                <w:rPr>
                  <w:rStyle w:val="InternetLink"/>
                  <w:rFonts w:ascii="Times New Roman;sans-serif" w:hAnsi="Times New Roman;sans-serif"/>
                  <w:b w:val="false"/>
                  <w:color w:val="0000FF"/>
                  <w:sz w:val="20"/>
                  <w:u w:val="single"/>
                </w:rPr>
                <w:t>Item 4.</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12">
              <w:r>
                <w:rPr>
                  <w:rStyle w:val="InternetLink"/>
                  <w:rFonts w:ascii="Times New Roman;sans-serif" w:hAnsi="Times New Roman;sans-serif"/>
                  <w:b w:val="false"/>
                  <w:color w:val="0000FF"/>
                  <w:sz w:val="20"/>
                  <w:u w:val="single"/>
                </w:rPr>
                <w:t>Mine Safety Disclosures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112">
              <w:r>
                <w:rPr>
                  <w:rStyle w:val="InternetLink"/>
                  <w:rFonts w:ascii="Times New Roman;sans-serif" w:hAnsi="Times New Roman;sans-serif"/>
                  <w:b w:val="false"/>
                  <w:color w:val="0000FF"/>
                  <w:sz w:val="20"/>
                  <w:u w:val="single"/>
                </w:rPr>
                <w:t>61</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15">
              <w:r>
                <w:rPr>
                  <w:rStyle w:val="InternetLink"/>
                  <w:rFonts w:ascii="Times New Roman;sans-serif" w:hAnsi="Times New Roman;sans-serif"/>
                  <w:b w:val="false"/>
                  <w:color w:val="0000FF"/>
                  <w:sz w:val="20"/>
                  <w:u w:val="single"/>
                </w:rPr>
                <w:t>Item 5.</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15">
              <w:r>
                <w:rPr>
                  <w:rStyle w:val="InternetLink"/>
                  <w:rFonts w:ascii="Times New Roman;sans-serif" w:hAnsi="Times New Roman;sans-serif"/>
                  <w:b w:val="false"/>
                  <w:color w:val="0000FF"/>
                  <w:sz w:val="20"/>
                  <w:u w:val="single"/>
                </w:rPr>
                <w:t>Other Information</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115">
              <w:r>
                <w:rPr>
                  <w:rStyle w:val="InternetLink"/>
                  <w:rFonts w:ascii="Times New Roman;sans-serif" w:hAnsi="Times New Roman;sans-serif"/>
                  <w:b w:val="false"/>
                  <w:color w:val="0000FF"/>
                  <w:sz w:val="20"/>
                  <w:u w:val="single"/>
                </w:rPr>
                <w:t>61</w:t>
              </w:r>
            </w:hyperlink>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18">
              <w:r>
                <w:rPr>
                  <w:rStyle w:val="InternetLink"/>
                  <w:rFonts w:ascii="Times New Roman;sans-serif" w:hAnsi="Times New Roman;sans-serif"/>
                  <w:b w:val="false"/>
                  <w:color w:val="0000FF"/>
                  <w:sz w:val="20"/>
                  <w:u w:val="single"/>
                </w:rPr>
                <w:t>Item 6.</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18">
              <w:r>
                <w:rPr>
                  <w:rStyle w:val="InternetLink"/>
                  <w:rFonts w:ascii="Times New Roman;sans-serif" w:hAnsi="Times New Roman;sans-serif"/>
                  <w:b w:val="false"/>
                  <w:color w:val="0000FF"/>
                  <w:sz w:val="20"/>
                  <w:u w:val="single"/>
                </w:rPr>
                <w:t>Exhibits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118">
              <w:r>
                <w:rPr>
                  <w:rStyle w:val="InternetLink"/>
                  <w:rFonts w:ascii="Times New Roman;sans-serif" w:hAnsi="Times New Roman;sans-serif"/>
                  <w:b w:val="false"/>
                  <w:color w:val="0000FF"/>
                  <w:sz w:val="20"/>
                  <w:u w:val="single"/>
                </w:rPr>
                <w:t>63</w:t>
              </w:r>
            </w:hyperlink>
          </w:p>
        </w:tc>
      </w:tr>
      <w:tr>
        <w:trPr/>
        <w:tc>
          <w:tcPr>
            <w:tcW w:w="946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46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741abae374b32b806917ed955b196_121">
              <w:r>
                <w:rPr>
                  <w:rStyle w:val="InternetLink"/>
                  <w:rFonts w:ascii="Times New Roman;sans-serif" w:hAnsi="Times New Roman;sans-serif"/>
                  <w:b w:val="false"/>
                  <w:color w:val="0000FF"/>
                  <w:sz w:val="20"/>
                  <w:u w:val="single"/>
                </w:rPr>
                <w:t>Signatures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52741abae374b32b806917ed955b196_121">
              <w:r>
                <w:rPr>
                  <w:rStyle w:val="InternetLink"/>
                  <w:rFonts w:ascii="Times New Roman;sans-serif" w:hAnsi="Times New Roman;sans-serif"/>
                  <w:b w:val="false"/>
                  <w:color w:val="0000FF"/>
                  <w:sz w:val="20"/>
                  <w:u w:val="single"/>
                </w:rPr>
                <w:t>64</w:t>
              </w:r>
            </w:hyperlink>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results may differ materially from those expressed in, or implied by, the forward-looking statements included in this Quarterly Report as a result of various factors, many of which are beyond our control, including, among others: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inherent uncertainty of estimating reserves and the possibility that incurred losses may be greater than our loss and loss adjustment expense reserves;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inaccurate estimates and judgments in our risk management may expose us to greater risks than intended;</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downgrades in the financial strength rating or outlook of our regulated insurance subsidiaries impacting our ability to attract and retain insurance business that our subsidiaries write, our competitive position, and our financial condition;</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potential uncertainty regarding the outcome of our exploration of strategic alternatives, and the impacts that it may have on our business;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the potential loss of key members of our management team or key employees, and our ability to attract and retain personnel;</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adverse economic factors resulting in the sale of fewer policies than expected or an increase in the frequency or severity of claims, or both;</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the impact of a persistent high inflationary environment on our reserves, the values of our investments and investment returns, and our compensation expenses;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exposure to credit risk, interest rate risk and other market risk in our investment portfolio;</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reliance on a select group of brokers and agents for a significant portion of our business and the impact of our potential failure to maintain such relationships;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reliance on a select group of customers for a significant portion of our business and the impact of our potential failure to maintain, or decision to terminate, such relationships;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our ability to obtain reinsurance coverage at prices and on terms that allow us to transfer risk, adequately protect our Company against financial loss and that supports our growth plans;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inadequacy of premiums we charge to compensate us for our losses incurred;</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changes in laws or government regulation, including tax or insurance law and regulations;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changes in U.S. tax laws (including associated regulations) and the interpretation of certain provisions applicable to insurance/reinsurance businesses with U.S. and non-U.S. operations, which may be retroactive and could have a significant effect on us including, among other things, by potentially increasing our tax rate, as well as on our shareholders;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the Company or any of its foreign subsidiaries becoming subject to U.S. federal income taxation;</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a failure of any of the loss limitations or exclusions we utilize to shield us from unanticipated financial losses or legal exposures, or other liabilities;</w:t>
      </w:r>
    </w:p>
    <w:p>
      <w:pPr>
        <w:pStyle w:val="TextBody"/>
        <w:bidi w:val="0"/>
        <w:spacing w:lineRule="auto" w:line="288" w:before="0" w:after="120"/>
        <w:ind w:left="0" w:right="0" w:hanging="540"/>
        <w:jc w:val="left"/>
        <w:rPr/>
      </w:pPr>
      <w:r>
        <w:rPr>
          <w:color w:val="000000"/>
          <w:shd w:fill="FFFFFF" w:val="clear"/>
        </w:rPr>
        <w:t>•</w:t>
      </w:r>
      <w:r>
        <w:rPr>
          <w:rFonts w:ascii="Times New Roman;sans-serif" w:hAnsi="Times New Roman;sans-serif"/>
          <w:b w:val="false"/>
          <w:color w:val="000000"/>
          <w:sz w:val="20"/>
          <w:shd w:fill="FFFFFF" w:val="clear"/>
        </w:rPr>
        <w:t>losses from catastrophic events, such as natural disasters and terrorist acts, which substantially exceed our expectations and/or exceed the amount of reinsurance we have purchased to protect us from such events;</w:t>
      </w:r>
    </w:p>
    <w:p>
      <w:pPr>
        <w:pStyle w:val="TextBody"/>
        <w:bidi w:val="0"/>
        <w:spacing w:lineRule="auto" w:line="288" w:before="0" w:after="120"/>
        <w:ind w:left="0" w:right="0" w:hanging="540"/>
        <w:jc w:val="left"/>
        <w:rPr/>
      </w:pPr>
      <w:r>
        <w:rPr>
          <w:color w:val="000000"/>
          <w:shd w:fill="FFFFFF" w:val="clear"/>
        </w:rPr>
        <w:t>•</w:t>
      </w:r>
      <w:r>
        <w:rPr>
          <w:rFonts w:ascii="Times New Roman;sans-serif" w:hAnsi="Times New Roman;sans-serif"/>
          <w:b w:val="false"/>
          <w:color w:val="000000"/>
          <w:sz w:val="20"/>
          <w:shd w:fill="FFFFFF" w:val="clear"/>
        </w:rPr>
        <w:t>the amount of the final post-closing adjustment to the purchase price received in connection with the sale of our casualty reinsurance business;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potential effects on our business of emerging claim and coverage issues;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potential impact of internal or external fraud, operational errors, systems malfunctions or cyber security incidents;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our ability to manage our growth effectively;</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failure to maintain effective internal controls in accordance with the Sarbanes-Oxley Act of 2002, as amended (“Sarbanes-Oxley”);</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 xml:space="preserve">changes in our financial condition, regulations or other factors that may restrict our subsidiaries’ ability to pay us dividends; </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an adverse result in any litigation or legal proceedings we are or may become subject to; and</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other risks and uncertainties discussed under “Risk Factors” and elsewhere in this Quarterly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you should read this Quarterly Report completely and with the understanding that our actual future results may be materially different from information contained in forward-looking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for the year ended December 31, 2023 filed with the SEC on February 29,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1.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514"/>
        <w:gridCol w:w="2208"/>
        <w:gridCol w:w="2187"/>
        <w:gridCol w:w="264"/>
        <w:gridCol w:w="1225"/>
        <w:gridCol w:w="136"/>
        <w:gridCol w:w="109"/>
        <w:gridCol w:w="109"/>
        <w:gridCol w:w="109"/>
        <w:gridCol w:w="211"/>
        <w:gridCol w:w="976"/>
        <w:gridCol w:w="157"/>
      </w:tblGrid>
      <w:tr>
        <w:trPr/>
        <w:tc>
          <w:tcPr>
            <w:tcW w:w="2514"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Invested assets:</w:t>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09"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 at fair value (amortized cost: 2024 – $1,377,965; 2023 – $1,405,136)</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1,287,466 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 (cost: 2024 – $119,788; 2023 – $114,107)</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128,690 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 at fair value</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invested assets</w:t>
            </w:r>
          </w:p>
        </w:tc>
        <w:tc>
          <w:tcPr>
            <w:tcW w:w="14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1,706,818 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1,705,861 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305,496 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and agents’ balances, net</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 net</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1,377,863 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1,358,474 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paid losses</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reinsurance premiums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held-for-sale (Note 2 - discontinued operations)</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732,170 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5,250,919 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5,317,250 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(continued)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553"/>
        <w:gridCol w:w="2224"/>
        <w:gridCol w:w="2230"/>
        <w:gridCol w:w="248"/>
        <w:gridCol w:w="1150"/>
        <w:gridCol w:w="128"/>
        <w:gridCol w:w="109"/>
        <w:gridCol w:w="109"/>
        <w:gridCol w:w="109"/>
        <w:gridCol w:w="211"/>
        <w:gridCol w:w="976"/>
        <w:gridCol w:w="158"/>
      </w:tblGrid>
      <w:tr>
        <w:trPr/>
        <w:tc>
          <w:tcPr>
            <w:tcW w:w="2553"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0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2,661,909 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2,606,107 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550,688 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to reinsurers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126,538 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held</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reinsurance gain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held-for-sale (Note 2 - discontinued operations)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4,566,484 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4,637,731 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contingent liabilities</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preferred shares – 2024 and 2023: $0.00125 par value; 20,000,000 shares authorized; 150,000 shares issued and outstanding</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 2024 and 2023: $0.0002 par value; 200,000,000 shares authorized; 37,822,340 and 37,641,563 shares issued and outstanding, respectively</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(267,067)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(71,494)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539,537 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Series A redeemable preferred shares, and shareholders’ equity</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5,250,919 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5,317,250 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 (Unaudited)</w:t>
      </w:r>
    </w:p>
    <w:p>
      <w:pPr>
        <w:pStyle w:val="TextBody"/>
        <w:bidi w:val="0"/>
        <w:spacing w:before="0" w:after="0"/>
        <w:jc w:val="center"/>
        <w:rPr/>
      </w:pPr>
      <w:r>
        <w:rPr/>
      </w:r>
    </w:p>
    <w:tbl>
      <w:tblPr>
        <w:tblW w:w="9109" w:type="dxa"/>
        <w:jc w:val="center"/>
        <w:tblInd w:w="0" w:type="dxa"/>
        <w:tblLayout w:type="fixed"/>
        <w:tblCellMar>
          <w:top w:w="28" w:type="dxa"/>
          <w:left w:w="28" w:type="dxa"/>
          <w:bottom w:w="28" w:type="dxa"/>
          <w:right w:w="28" w:type="dxa"/>
        </w:tblCellMar>
      </w:tblPr>
      <w:tblGrid>
        <w:gridCol w:w="2107"/>
        <w:gridCol w:w="1849"/>
        <w:gridCol w:w="1878"/>
        <w:gridCol w:w="109"/>
        <w:gridCol w:w="109"/>
        <w:gridCol w:w="139"/>
        <w:gridCol w:w="139"/>
        <w:gridCol w:w="251"/>
        <w:gridCol w:w="945"/>
        <w:gridCol w:w="140"/>
        <w:gridCol w:w="109"/>
        <w:gridCol w:w="109"/>
        <w:gridCol w:w="109"/>
        <w:gridCol w:w="202"/>
        <w:gridCol w:w="759"/>
        <w:gridCol w:w="155"/>
      </w:tblGrid>
      <w:tr>
        <w:trPr/>
        <w:tc>
          <w:tcPr>
            <w:tcW w:w="2107"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353,454 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Ceded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(192,638)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(179,299)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138,172 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net unearned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171,691 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171,840 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realized and unrealized gains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201,127 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191,734 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Losses and loss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110,049 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168,167 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32,960 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on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 (Note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income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held for sale classification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(loss) income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Series A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(losses) gains, net of taxes of $(2,066) in 2024 and $5,001 in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37,733,710 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37,531,819 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44,638,969 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37,785,452 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0"/>
        <w:ind w:left="0" w:right="0" w:firstLine="36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i/>
          <w:color w:val="000000"/>
          <w:sz w:val="20"/>
        </w:rPr>
        <w:t>See accompanying notes.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54"/>
        <w:gridCol w:w="344"/>
        <w:gridCol w:w="345"/>
        <w:gridCol w:w="540"/>
        <w:gridCol w:w="541"/>
        <w:gridCol w:w="336"/>
        <w:gridCol w:w="109"/>
        <w:gridCol w:w="109"/>
        <w:gridCol w:w="109"/>
        <w:gridCol w:w="282"/>
        <w:gridCol w:w="343"/>
        <w:gridCol w:w="147"/>
        <w:gridCol w:w="109"/>
        <w:gridCol w:w="109"/>
        <w:gridCol w:w="109"/>
        <w:gridCol w:w="109"/>
        <w:gridCol w:w="109"/>
        <w:gridCol w:w="211"/>
        <w:gridCol w:w="826"/>
        <w:gridCol w:w="109"/>
        <w:gridCol w:w="109"/>
        <w:gridCol w:w="109"/>
        <w:gridCol w:w="109"/>
        <w:gridCol w:w="211"/>
        <w:gridCol w:w="842"/>
        <w:gridCol w:w="109"/>
        <w:gridCol w:w="109"/>
        <w:gridCol w:w="109"/>
        <w:gridCol w:w="109"/>
        <w:gridCol w:w="242"/>
        <w:gridCol w:w="847"/>
        <w:gridCol w:w="127"/>
        <w:gridCol w:w="109"/>
        <w:gridCol w:w="109"/>
        <w:gridCol w:w="109"/>
        <w:gridCol w:w="211"/>
        <w:gridCol w:w="826"/>
        <w:gridCol w:w="159"/>
      </w:tblGrid>
      <w:tr>
        <w:trPr/>
        <w:tc>
          <w:tcPr>
            <w:tcW w:w="75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Common</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Shares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9"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c>
          <w:tcPr>
            <w:tcW w:w="1523" w:type="dxa"/>
            <w:gridSpan w:val="6"/>
            <w:tcBorders/>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37,641,563 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180,777 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under share incentive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37,822,340 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(71,494)</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539,537 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82"/>
        <w:gridCol w:w="509"/>
        <w:gridCol w:w="511"/>
        <w:gridCol w:w="540"/>
        <w:gridCol w:w="541"/>
        <w:gridCol w:w="109"/>
        <w:gridCol w:w="109"/>
        <w:gridCol w:w="109"/>
        <w:gridCol w:w="109"/>
        <w:gridCol w:w="211"/>
        <w:gridCol w:w="256"/>
        <w:gridCol w:w="109"/>
        <w:gridCol w:w="109"/>
        <w:gridCol w:w="109"/>
        <w:gridCol w:w="109"/>
        <w:gridCol w:w="109"/>
        <w:gridCol w:w="109"/>
        <w:gridCol w:w="211"/>
        <w:gridCol w:w="826"/>
        <w:gridCol w:w="109"/>
        <w:gridCol w:w="109"/>
        <w:gridCol w:w="109"/>
        <w:gridCol w:w="109"/>
        <w:gridCol w:w="211"/>
        <w:gridCol w:w="852"/>
        <w:gridCol w:w="109"/>
        <w:gridCol w:w="109"/>
        <w:gridCol w:w="109"/>
        <w:gridCol w:w="109"/>
        <w:gridCol w:w="211"/>
        <w:gridCol w:w="852"/>
        <w:gridCol w:w="109"/>
        <w:gridCol w:w="109"/>
        <w:gridCol w:w="109"/>
        <w:gridCol w:w="109"/>
        <w:gridCol w:w="211"/>
        <w:gridCol w:w="826"/>
        <w:gridCol w:w="157"/>
      </w:tblGrid>
      <w:tr>
        <w:trPr/>
        <w:tc>
          <w:tcPr>
            <w:tcW w:w="8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7113" w:type="dxa"/>
            <w:gridSpan w:val="32"/>
            <w:tcBorders/>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37,470,237 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under share incentive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2023</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37,619,226 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590,915 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60"/>
        <w:jc w:val="left"/>
        <w:rPr/>
      </w:pPr>
      <w:r>
        <w:rPr/>
      </w:r>
    </w:p>
    <w:p>
      <w:pPr>
        <w:pStyle w:val="TextBody"/>
        <w:bidi w:val="0"/>
        <w:spacing w:before="0" w:after="6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before="0" w:after="0"/>
        <w:jc w:val="left"/>
        <w:rPr/>
      </w:pPr>
      <w:r>
        <w:rPr/>
      </w:r>
    </w:p>
    <w:tbl>
      <w:tblPr>
        <w:tblW w:w="9069" w:type="dxa"/>
        <w:jc w:val="center"/>
        <w:tblInd w:w="0" w:type="dxa"/>
        <w:tblLayout w:type="fixed"/>
        <w:tblCellMar>
          <w:top w:w="28" w:type="dxa"/>
          <w:left w:w="28" w:type="dxa"/>
          <w:bottom w:w="28" w:type="dxa"/>
          <w:right w:w="28" w:type="dxa"/>
        </w:tblCellMar>
      </w:tblPr>
      <w:tblGrid>
        <w:gridCol w:w="2320"/>
        <w:gridCol w:w="2035"/>
        <w:gridCol w:w="2050"/>
        <w:gridCol w:w="211"/>
        <w:gridCol w:w="826"/>
        <w:gridCol w:w="109"/>
        <w:gridCol w:w="109"/>
        <w:gridCol w:w="109"/>
        <w:gridCol w:w="109"/>
        <w:gridCol w:w="211"/>
        <w:gridCol w:w="826"/>
        <w:gridCol w:w="154"/>
      </w:tblGrid>
      <w:tr>
        <w:trPr/>
        <w:tc>
          <w:tcPr>
            <w:tcW w:w="2320"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available-for-sale: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 fixed maturity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 fixed maturity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and calls – fixed maturity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 equity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 equity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receivable or payable,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taxes withheld and remitted on net settlement of RSUs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information</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 at end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restricted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16"/>
        </w:rPr>
        <w:t xml:space="preserve">(a) Cash provided by operating activities for the three months ended March 31, 2024 and 2023 includes the restricted cash activity above related to a former insured, per the terms of a collateral trust. See “Item 2. Management’s Discussion and Analysis of Financial Condition and Results of Operations – </w:t>
      </w:r>
      <w:r>
        <w:rPr>
          <w:rFonts w:ascii="Times New Roman;sans-serif" w:hAnsi="Times New Roman;sans-serif"/>
          <w:b w:val="false"/>
          <w:i/>
          <w:color w:val="000000"/>
          <w:sz w:val="16"/>
        </w:rPr>
        <w:t>Amounts Recoverable from an Indemnifying Party and Reinsurer on Legacy Commercial Auto Book</w:t>
      </w:r>
      <w:r>
        <w:rPr>
          <w:color w:val="000000"/>
        </w:rPr>
        <w:t>”</w:t>
      </w:r>
      <w:r>
        <w:rPr>
          <w:rFonts w:ascii="Times New Roman;sans-serif" w:hAnsi="Times New Roman;sans-serif"/>
          <w:b w:val="false"/>
          <w:color w:val="000000"/>
          <w:sz w:val="16"/>
        </w:rPr>
        <w:t>. Excluding the restricted cash activity, cash provided by operating activities was $23.1 million and $18.4 million for the three months ended March 31, 2024 and 2023, respectively.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1.    Accounting Policies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(referred to as “JRG Holdings” or, with its subsidiaries, the “Company”) is an exempted holding company registered in Bermuda, organized for the purpose of acquiring and managing insurance entities.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five insurance companies based in the United States (“U.S.”) focused on specialty insurance niches as described below:</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James River Group Holdings UK Limited (“James River UK”) is an insurance holding company formed in 2015 in the United Kingdom (“U.K.”). JRG Holdings contributed James River Group, Inc. (“James River Group”), a U.S. insurance holding company, to James River UK in 2015.</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James River Insurance Company is an Ohio domiciled excess and surplus lines insurance company that, with its wholly-owned insurance subsidiary, James River Casualty Company, an Ohio domiciled company, is authorized to write business in every state and the District of Columbia.</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previously owned JRG Reinsurance Company Ltd. (“JRG Re”), a Bermuda domiciled reinsurer, which comprised the former Casualty Reinsurance segment, and which, prior to the suspension of its underwriting activities in 2023, primarily provided non-catastrophe casualty reinsurance to U.S. third parties. On November 8, 2023, the Company entered into an agreement to sell JRG Re. The sale closed on April 16, 2024 and resulted in the Company’s disposition of its casualty reinsurance business and related assets. See Held-for-Sale and Discontinued Operations below and Note 2 for additional disclosure.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2023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2023 was derived from the Company’s audited annual consolidated financial statements.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Intercompany transactions and balances have been eliminated.</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Held-for-Sale and Discontinued Operations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of a component of the Company are reported in discontinued operations when certain criteria are met as of the date of disposal, or earlier if classified as held-for-sale. The Company determined that the definitive agreement to sell JRG Re meets the criteria for JRG Re to be classified as held for sale and that the sale represents a strategic shift that will have a major effect on the Company's operations. Accordingly, the results of JRG Re's operations have been presented as discontinued operations, and the assets and liabilities of JRG Re have been classified as held-for-sale and segregated for all periods presented in this interim report on Form 10-Q. See Note 2 for additional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Estimates and Assumptions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$8.1 million at March 31, 2024 and $8.4 million at December 31, 2023, representing the Company’s maximum exposure to loss.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fluctuates from period to period based on the relative mix of income from continuing operations reported by country and the respective tax rates imposed by each tax jurisdiction. Statutory tax rates are 0% and 21% for Bermuda and the U.S. For the three months ended March 31, 2024 and 2023, our effective tax rate on income from continuing operations was 28.7% and 28.4%, respectively. The Company does not receive a U.S. tax deduction for losses in our Bermuda entities. Bermuda had losses in both periods primarily due to Bermuda holding company expenses and interest expense.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Adopted Accounting Standards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accounting standards adopted in 2024 that materially impacted the Company's financial statements.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Prospective Accounting Standards</w:t>
      </w:r>
    </w:p>
    <w:p>
      <w:pPr>
        <w:pStyle w:val="TextBody"/>
        <w:bidi w:val="0"/>
        <w:spacing w:lineRule="auto" w:line="288" w:before="0" w:after="120"/>
        <w:jc w:val="both"/>
        <w:rPr/>
      </w:pPr>
      <w:r>
        <w:rPr>
          <w:rFonts w:ascii="Times New Roman;sans-serif" w:hAnsi="Times New Roman;sans-serif"/>
          <w:b w:val="false"/>
          <w:color w:val="000000"/>
          <w:sz w:val="20"/>
        </w:rPr>
        <w:t>The guidance in ASU 2023-07</w:t>
      </w:r>
      <w:r>
        <w:rPr>
          <w:color w:val="000000"/>
        </w:rPr>
        <w:t>—</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was designed to improve reportable segment disclosure requirements, primarily through enhanced disclosures about significant segment expenses. This ASU is effective for fiscal years beginning after December 15, 2023, and interim periods within fiscal years beginning after December 15, 2024. Although the Company continues to evaluate the impact of adopting this new accounting standard, the amendments are disclosure-related and are not expected to have a material impact on our financial statements.</w:t>
      </w:r>
    </w:p>
    <w:p>
      <w:pPr>
        <w:pStyle w:val="TextBody"/>
        <w:bidi w:val="0"/>
        <w:spacing w:lineRule="auto" w:line="288" w:before="0" w:after="120"/>
        <w:jc w:val="both"/>
        <w:rPr/>
      </w:pPr>
      <w:r>
        <w:rPr>
          <w:rFonts w:ascii="Times New Roman;sans-serif" w:hAnsi="Times New Roman;sans-serif"/>
          <w:b w:val="false"/>
          <w:color w:val="000000"/>
          <w:sz w:val="20"/>
        </w:rPr>
        <w:t>The guidance in ASU 2023-09</w:t>
      </w:r>
      <w:r>
        <w:rPr>
          <w:color w:val="000000"/>
        </w:rPr>
        <w:t>—</w:t>
      </w:r>
      <w:r>
        <w:rPr>
          <w:rFonts w:ascii="Times New Roman;sans-serif" w:hAnsi="Times New Roman;sans-serif"/>
          <w:b w:val="false"/>
          <w:i/>
          <w:color w:val="000000"/>
          <w:sz w:val="20"/>
        </w:rPr>
        <w:t xml:space="preserve">Income Taxes (Topic 740): Improvements to Income Tax Disclosures </w:t>
      </w:r>
      <w:r>
        <w:rPr>
          <w:rFonts w:ascii="Times New Roman;sans-serif" w:hAnsi="Times New Roman;sans-serif"/>
          <w:b w:val="false"/>
          <w:color w:val="000000"/>
          <w:sz w:val="20"/>
        </w:rPr>
        <w:t>was designed to increase transparency about income tax information through improvements to the rate reconciliation and disclosure of income taxes paid. This ASU is effective for fiscal years beginning after December 15, 2024. Although the Company continues to evaluate the impact of adopting this new accounting standard, the amendments are disclosure-related and are not expected to have a material impact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    Discontinued Operations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2023, the Company entered into a Stock Purchase Agreement (the “Stock Purchase Agreement”) with Fleming Intermediate Holdings LLC, a Cayman Islands limited liability company (the “Buyer”). Pursuant to the Stock Purchase Agreement, and on the terms and subject to the conditions therein, the Buyer agreed to purchase from the Company all of the common shares of JRG Re. JRG Re comprises the remaining operations of the former Casualty Reinsurance segment, and the sale of JRG Re, which closed on April 16, 2024, resulted in the Company’s disposition of its casualty reinsurance business and related assets.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Stock Purchase Agreement, the aggregate purchase price received by the Company, after giving effect to estimated adjustments based on changes in JRG Re’s adjusted net worth between March 31, 2023 and the closing, totaled approximately $291.4 million. The aggregate purchase price was comprised of (i) $152.4 million paid in cash by the Buyer and (ii) an aggregate $139 million dividend and distribution from contributed surplus by JRG Re to the Company. In accordance with the Stock Purchase Agreement, the cash portion of the purchase price was calculated based on an estimated balance sheet of JRG Re as of the date of closing. The estimated balance sheet is subject to final post-closing adjustments, which could result in adjustments to the purchase price. Additionally, the Buyer may pay an additional $2.5 million to the Company in the event that certain conditions outlined in the Stock Purchase Agreement are met on the date that is nine months following the date of closing.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the sale of JRG Re meets the criteria to be classified as held for sale and that the sale represents a strategic shift that will have a major effect on its operations. Accordingly, the results of JRG Re's operations have been presented as discontinued operations, and the assets and liabilities of JRG Re have been classified as held for sale and segregated for all periods presented in this interim report on Form 10-Q.</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$139 million pre-closing dividend was completed in the first quarter of 2024. It included the forgiveness of $133.2 million owed from JRG Holdings to JRG Re and $5.8 million paid in cash to JRG Holdings. In the fourth quarter of 2023, after giving effect to the pre-closing dividend, we recorded an estimated loss on sale of $80.4 million to write down the carrying value of JRG Re to its estimated fair value based upon the estimated sales price of the transaction less costs to sell and other adjustments in accordance with the Stock Purchase Agreement. In the first quarter of 2024, the estimated loss on the sale was revised to $78.9 million, resulting in a gain of $1.5 million in the first quarter of 2024 for the change in the estimated loss on sale. The $5.8 million cash portion of the pre-closing dividend was included in other liabilities below at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JRG Re's assets and liabilities held for sale were comprised of the following:</w:t>
      </w:r>
    </w:p>
    <w:tbl>
      <w:tblPr>
        <w:tblW w:w="8050" w:type="dxa"/>
        <w:jc w:val="left"/>
        <w:tblInd w:w="0" w:type="dxa"/>
        <w:tblLayout w:type="fixed"/>
        <w:tblCellMar>
          <w:top w:w="28" w:type="dxa"/>
          <w:left w:w="28" w:type="dxa"/>
          <w:bottom w:w="28" w:type="dxa"/>
          <w:right w:w="28" w:type="dxa"/>
        </w:tblCellMar>
      </w:tblPr>
      <w:tblGrid>
        <w:gridCol w:w="1663"/>
        <w:gridCol w:w="1466"/>
        <w:gridCol w:w="1476"/>
        <w:gridCol w:w="326"/>
        <w:gridCol w:w="1276"/>
        <w:gridCol w:w="168"/>
        <w:gridCol w:w="109"/>
        <w:gridCol w:w="109"/>
        <w:gridCol w:w="109"/>
        <w:gridCol w:w="211"/>
        <w:gridCol w:w="826"/>
        <w:gridCol w:w="311"/>
      </w:tblGrid>
      <w:tr>
        <w:trPr/>
        <w:tc>
          <w:tcPr>
            <w:tcW w:w="1663"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Invested assets: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at fair value</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532,242 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invested assets</w:t>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478,991 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535,021 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and agents’ balances, net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and paid losses, net</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234,615 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down of JRG Re to fair value less cost to sell</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732,170 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783,393 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441,666 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held</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119,353 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reinsurance gain</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596,706 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641,497 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JRG Re reported in discontinued operations were as follows:</w:t>
      </w:r>
    </w:p>
    <w:tbl>
      <w:tblPr>
        <w:tblW w:w="7586" w:type="dxa"/>
        <w:jc w:val="left"/>
        <w:tblInd w:w="0" w:type="dxa"/>
        <w:tblLayout w:type="fixed"/>
        <w:tblCellMar>
          <w:top w:w="28" w:type="dxa"/>
          <w:left w:w="28" w:type="dxa"/>
          <w:bottom w:w="28" w:type="dxa"/>
          <w:right w:w="28" w:type="dxa"/>
        </w:tblCellMar>
      </w:tblPr>
      <w:tblGrid>
        <w:gridCol w:w="1862"/>
        <w:gridCol w:w="1637"/>
        <w:gridCol w:w="1645"/>
        <w:gridCol w:w="234"/>
        <w:gridCol w:w="518"/>
        <w:gridCol w:w="121"/>
        <w:gridCol w:w="121"/>
        <w:gridCol w:w="121"/>
        <w:gridCol w:w="121"/>
        <w:gridCol w:w="234"/>
        <w:gridCol w:w="801"/>
        <w:gridCol w:w="171"/>
      </w:tblGrid>
      <w:tr>
        <w:trPr/>
        <w:tc>
          <w:tcPr>
            <w:tcW w:w="186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written premiums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unearned premiums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(losses) gains on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discontinued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held for sale classification of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income from discontinued operations</w:t>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discontinued operations included in the consolidated statements of cash flows were as follows:</w:t>
      </w:r>
    </w:p>
    <w:tbl>
      <w:tblPr>
        <w:tblW w:w="8274" w:type="dxa"/>
        <w:jc w:val="left"/>
        <w:tblInd w:w="0" w:type="dxa"/>
        <w:tblLayout w:type="fixed"/>
        <w:tblCellMar>
          <w:top w:w="28" w:type="dxa"/>
          <w:left w:w="28" w:type="dxa"/>
          <w:bottom w:w="28" w:type="dxa"/>
          <w:right w:w="28" w:type="dxa"/>
        </w:tblCellMar>
      </w:tblPr>
      <w:tblGrid>
        <w:gridCol w:w="2056"/>
        <w:gridCol w:w="1802"/>
        <w:gridCol w:w="1812"/>
        <w:gridCol w:w="211"/>
        <w:gridCol w:w="796"/>
        <w:gridCol w:w="109"/>
        <w:gridCol w:w="109"/>
        <w:gridCol w:w="109"/>
        <w:gridCol w:w="109"/>
        <w:gridCol w:w="211"/>
        <w:gridCol w:w="796"/>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discontinued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of discontinued operations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discontinued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by discontinued operations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JRG Re Commitments and Contingent Liabilities</w:t>
      </w:r>
    </w:p>
    <w:p>
      <w:pPr>
        <w:pStyle w:val="TextBody"/>
        <w:bidi w:val="0"/>
        <w:spacing w:lineRule="auto" w:line="288" w:before="12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JRG Re entered into three letter of credit facilities with banks as security to third-party reinsureds on reinsurance assumed by JRG Re. JRG Re established custodial accounts to secure these letters of credit. Under a $30.0 million facility, $5.1 million of letters of credit were issued through March 31, 2024 which were secured by deposits of $5.6 million. Under a $102.5 million facility, $42.8 million of letters of credit were issued through March 31, 2024 which were secured by deposits of $47.5 million. Under a $100.0 million facility, $24.7 million of letters of credit were issued through March 31, 2024 which were secured by deposits of $27.4 million. JRG Re also established trust accounts to secure its obligations to selected reinsureds. The total amount deposited in the trust accounts for the benefit of third-party reinsureds was $446.0 million at March 31, 2024.</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Casualty Re Loss Portfolio Transfer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2022, JRG Re entered into a loss portfolio transfer retrocession agreement (the “Casualty Re LPT”) with Fortitude Reinsurance Company Ltd. (“FRL”) under which FRL reinsures the majority of JRG Re's reserves.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 Account balance on a quarterly basis. The total premium, initial Funds Withheld Account credit, and aggregate limit were adjusted for claims paid from October 1, 2021 to the Retrocession Closing Date. At March 31, 2024, the balance of the Funds Withheld Account was $119.4 million and reinsurance recoverables from FRL under the Casualty Re LPT were $209.4 million.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Retroactive Reinsurance Accounting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reevaluates the remaining reserves subject to the Casualty Re LPT. For the three months ended March 31, 2024 and 2023, due to adverse paid and reported loss trends, JRG Re recognized adverse prior year development of $6.1 million and $7.8 million, respectively, on the reserves subject to the Casualty Re LPT, resulting in corresponding additional amounts ceded under the loss portfolio transfer. The Casualty Re LPT is in a gain position as the cumulative amounts ceded under the loss portfolio transfer exceeds the consideration paid, requiring the application of retroactive reinsurance accounting under GAAP.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retroactive reinsurance accounting, gains are deferred and recognized in earnings in proportion to actual paid recoveries under the loss portfolio transfer using the recovery method. Over the life of the contract, we would expect no economic impact to JRG Re as long as any additional losses are within the limit of the loss portfolio transfer and the counterparty performs under the contract. In periods where JRG Re recognizes a change in the estimate of the reserves subject to the loss portfolio transfer that increases or decreases the amounts ceded under the loss portfolio transfer, the proportion of actual paid recoveries to total ceded losses is affected and the change in deferred gain is recognized in earnings as if the revised estimate of ceded losses was available at the effective date of the loss portfolio transfer. The effect of the deferred retroactive reinsurance benefit is recorded in losses and loss adjustment expenses for the discontinued operations of JRG Re and reported within (loss) income from discontinued operations on the Condensed Consolidated Statements of Income and Comprehensive Income.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retroactive reinsurance benefits totaling $5.2 million and $2.7 million, respectively, were recorded in losses and loss adjustment expenses using the recovery method. As of March 31, 2024, the cumulative amount ceded under the Casualty Re LPT was $400.0 million. The total deferred retroactive reinsurance gain of $34.0 million at March 31, 2024 under the loss portfolio transfer is presented within the liabilities held for sale of JRG Re on the Company's Condensed Consolidated Balance Sheets. The Company has no aggregate limit remaining under the Casualty Re LPT at March 31, 2024.</w:t>
      </w:r>
    </w:p>
    <w:p>
      <w:pPr>
        <w:pStyle w:val="TextBody"/>
        <w:bidi w:val="0"/>
        <w:spacing w:before="12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3.    Investments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available-for-sale fixed maturity securities are summarized as follows:</w:t>
      </w:r>
    </w:p>
    <w:tbl>
      <w:tblPr>
        <w:tblW w:w="10205" w:type="dxa"/>
        <w:jc w:val="left"/>
        <w:tblInd w:w="0" w:type="dxa"/>
        <w:tblLayout w:type="fixed"/>
        <w:tblCellMar>
          <w:top w:w="28" w:type="dxa"/>
          <w:left w:w="28" w:type="dxa"/>
          <w:bottom w:w="28" w:type="dxa"/>
          <w:right w:w="28" w:type="dxa"/>
        </w:tblCellMar>
      </w:tblPr>
      <w:tblGrid>
        <w:gridCol w:w="1712"/>
        <w:gridCol w:w="1508"/>
        <w:gridCol w:w="1337"/>
        <w:gridCol w:w="211"/>
        <w:gridCol w:w="976"/>
        <w:gridCol w:w="109"/>
        <w:gridCol w:w="109"/>
        <w:gridCol w:w="109"/>
        <w:gridCol w:w="109"/>
        <w:gridCol w:w="211"/>
        <w:gridCol w:w="616"/>
        <w:gridCol w:w="109"/>
        <w:gridCol w:w="109"/>
        <w:gridCol w:w="109"/>
        <w:gridCol w:w="109"/>
        <w:gridCol w:w="211"/>
        <w:gridCol w:w="773"/>
        <w:gridCol w:w="109"/>
        <w:gridCol w:w="109"/>
        <w:gridCol w:w="109"/>
        <w:gridCol w:w="109"/>
        <w:gridCol w:w="211"/>
        <w:gridCol w:w="976"/>
        <w:gridCol w:w="155"/>
      </w:tblGrid>
      <w:tr>
        <w:trPr/>
        <w:tc>
          <w:tcPr>
            <w:tcW w:w="1712"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1,287,466 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available-for-sale investments in fixed maturity securities at March 31, 2024 are summarized, by contractual maturity, as follows:</w:t>
      </w:r>
    </w:p>
    <w:tbl>
      <w:tblPr>
        <w:tblW w:w="6308" w:type="dxa"/>
        <w:jc w:val="left"/>
        <w:tblInd w:w="0" w:type="dxa"/>
        <w:tblLayout w:type="fixed"/>
        <w:tblCellMar>
          <w:top w:w="28" w:type="dxa"/>
          <w:left w:w="28" w:type="dxa"/>
          <w:bottom w:w="28" w:type="dxa"/>
          <w:right w:w="28" w:type="dxa"/>
        </w:tblCellMar>
      </w:tblPr>
      <w:tblGrid>
        <w:gridCol w:w="1205"/>
        <w:gridCol w:w="1062"/>
        <w:gridCol w:w="1077"/>
        <w:gridCol w:w="211"/>
        <w:gridCol w:w="976"/>
        <w:gridCol w:w="109"/>
        <w:gridCol w:w="109"/>
        <w:gridCol w:w="109"/>
        <w:gridCol w:w="109"/>
        <w:gridCol w:w="211"/>
        <w:gridCol w:w="976"/>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five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1,287,466 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maturities may differ for some securities because borrowers have the right to call or prepay obligations with or without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Company’s gross unrealized losses and fair value for available-for-sale securities aggregated by investment category and the length of time that individual securities have been in a continuous unrealized loss position:</w:t>
      </w:r>
    </w:p>
    <w:tbl>
      <w:tblPr>
        <w:tblW w:w="10205" w:type="dxa"/>
        <w:jc w:val="left"/>
        <w:tblInd w:w="0" w:type="dxa"/>
        <w:tblLayout w:type="fixed"/>
        <w:tblCellMar>
          <w:top w:w="28" w:type="dxa"/>
          <w:left w:w="28" w:type="dxa"/>
          <w:bottom w:w="28" w:type="dxa"/>
          <w:right w:w="28" w:type="dxa"/>
        </w:tblCellMar>
      </w:tblPr>
      <w:tblGrid>
        <w:gridCol w:w="894"/>
        <w:gridCol w:w="621"/>
        <w:gridCol w:w="345"/>
        <w:gridCol w:w="211"/>
        <w:gridCol w:w="826"/>
        <w:gridCol w:w="109"/>
        <w:gridCol w:w="109"/>
        <w:gridCol w:w="109"/>
        <w:gridCol w:w="109"/>
        <w:gridCol w:w="211"/>
        <w:gridCol w:w="635"/>
        <w:gridCol w:w="109"/>
        <w:gridCol w:w="109"/>
        <w:gridCol w:w="109"/>
        <w:gridCol w:w="109"/>
        <w:gridCol w:w="211"/>
        <w:gridCol w:w="826"/>
        <w:gridCol w:w="109"/>
        <w:gridCol w:w="109"/>
        <w:gridCol w:w="109"/>
        <w:gridCol w:w="109"/>
        <w:gridCol w:w="211"/>
        <w:gridCol w:w="740"/>
        <w:gridCol w:w="109"/>
        <w:gridCol w:w="109"/>
        <w:gridCol w:w="109"/>
        <w:gridCol w:w="109"/>
        <w:gridCol w:w="211"/>
        <w:gridCol w:w="976"/>
        <w:gridCol w:w="109"/>
        <w:gridCol w:w="109"/>
        <w:gridCol w:w="109"/>
        <w:gridCol w:w="109"/>
        <w:gridCol w:w="211"/>
        <w:gridCol w:w="740"/>
        <w:gridCol w:w="156"/>
      </w:tblGrid>
      <w:tr>
        <w:trPr/>
        <w:tc>
          <w:tcPr>
            <w:tcW w:w="89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4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(87,990)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Company held fixed maturity securities of 441 issuers that were in an unrealized loss position with a total fair value of $1,049.1 million and gross unrealized losses of $94.5 million. None of the fixed maturity securities with unrealized losses has ever missed, or been delinquent on a scheduled principal or interest payment. At March 31, 2024, 99.9% of the Company’s fixed maturity security portfolio was rated “BBB-” or better (“investment grade”) by Standard &amp; Poor’s or received an equivalent rating from another nationally recognized rating agency.</w:t>
      </w:r>
    </w:p>
    <w:p>
      <w:pPr>
        <w:pStyle w:val="TextBody"/>
        <w:bidi w:val="0"/>
        <w:spacing w:lineRule="auto" w:line="288" w:before="0" w:after="120"/>
        <w:ind w:left="0" w:right="0" w:firstLine="360"/>
        <w:jc w:val="both"/>
        <w:rPr/>
      </w:pPr>
      <w:r>
        <w:rPr>
          <w:rFonts w:ascii="Times New Roman;sans-serif" w:hAnsi="Times New Roman;sans-serif"/>
          <w:b w:val="false"/>
          <w:color w:val="231F20"/>
          <w:sz w:val="20"/>
        </w:rPr>
        <w:t>The Company reviews its available-for-sale fixed maturities to determine whether unrealized losses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Times New Roman;sans-serif" w:hAnsi="Times New Roman;sans-serif"/>
          <w:b w:val="false"/>
          <w:color w:val="000000"/>
          <w:sz w:val="20"/>
        </w:rPr>
        <w:t>et realized and unrealized gains (losses) on investments</w:t>
      </w:r>
      <w:r>
        <w:rPr>
          <w:rFonts w:ascii="Times New Roman;sans-serif" w:hAnsi="Times New Roman;sans-serif"/>
          <w:b w:val="false"/>
          <w:color w:val="231F20"/>
          <w:sz w:val="20"/>
        </w:rPr>
        <w:t>. Unrealized losses that are not credit-related are recognized in other comprehensive income.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March 31, 2024, December 31, 2023, or March 31, 2023. For securities in an unrealized loss position at March 31, 2024, m</w:t>
      </w:r>
      <w:r>
        <w:rPr>
          <w:rFonts w:ascii="Times New Roman;sans-serif" w:hAnsi="Times New Roman;sans-serif"/>
          <w:b w:val="false"/>
          <w:color w:val="231F20"/>
          <w:sz w:val="20"/>
        </w:rPr>
        <w:t>anagement does not intend to sell the securities, and it is not “more likely than not” that the Company will be required to sell these securities before a recovery in their value to their amortized cost basis occurs.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the fair value option to account for bank loan participations. Under the fair value option, bank loan participations are measured at fair value, and changes in unrealized gains and losses in bank loan participations are reported in the income statement as net realized and unrealized gains (losses) on investments. Applying the fair value option to the bank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 portfolio increases volatility in the Company's financial statements, but management believes it is less subjective and less burdensome to implement and maintain than ASU 2016-13, which would have otherwise been required. </w:t>
      </w:r>
    </w:p>
    <w:p>
      <w:pPr>
        <w:pStyle w:val="TextBody"/>
        <w:bidi w:val="0"/>
        <w:spacing w:lineRule="auto" w:line="288" w:before="0" w:after="120"/>
        <w:ind w:left="0" w:right="0" w:firstLine="360"/>
        <w:jc w:val="both"/>
        <w:rPr/>
      </w:pPr>
      <w:r>
        <w:rPr>
          <w:rFonts w:ascii="Times New Roman;sans-serif" w:hAnsi="Times New Roman;sans-serif"/>
          <w:b w:val="false"/>
          <w:color w:val="231F20"/>
          <w:sz w:val="20"/>
        </w:rPr>
        <w:t xml:space="preserve">At March 31, 2024, the Company's bank loan portfolio had an aggregate fair value of $173.0 million and unpaid principal of </w:t>
      </w:r>
      <w:r>
        <w:rPr>
          <w:rFonts w:ascii="Times New Roman;sans-serif" w:hAnsi="Times New Roman;sans-serif"/>
          <w:b w:val="false"/>
          <w:color w:val="000000"/>
          <w:sz w:val="20"/>
        </w:rPr>
        <w:t xml:space="preserve">$180.9 million. </w:t>
      </w:r>
      <w:r>
        <w:rPr>
          <w:rFonts w:ascii="Times New Roman;sans-serif" w:hAnsi="Times New Roman;sans-serif"/>
          <w:b w:val="false"/>
          <w:color w:val="231F20"/>
          <w:sz w:val="20"/>
        </w:rPr>
        <w:t xml:space="preserve">Investment income on bank loan participations included in net investment income was $4.5 million and $1.5 million for the </w:t>
      </w:r>
      <w:r>
        <w:rPr>
          <w:rFonts w:ascii="Times New Roman;sans-serif" w:hAnsi="Times New Roman;sans-serif"/>
          <w:b w:val="false"/>
          <w:color w:val="000000"/>
          <w:sz w:val="20"/>
        </w:rPr>
        <w:t>three</w:t>
      </w:r>
      <w:r>
        <w:rPr>
          <w:color w:val="231F20"/>
        </w:rPr>
        <w:t xml:space="preserve"> </w:t>
      </w:r>
      <w:r>
        <w:rPr>
          <w:rFonts w:ascii="Times New Roman;sans-serif" w:hAnsi="Times New Roman;sans-serif"/>
          <w:b w:val="false"/>
          <w:color w:val="231F20"/>
          <w:sz w:val="20"/>
        </w:rPr>
        <w:t xml:space="preserve">months ended March 31, 2024 and </w:t>
      </w:r>
      <w:r>
        <w:rPr>
          <w:rFonts w:ascii="Times New Roman;sans-serif" w:hAnsi="Times New Roman;sans-serif"/>
          <w:b w:val="false"/>
          <w:color w:val="000000"/>
          <w:sz w:val="20"/>
        </w:rPr>
        <w:t>2023</w:t>
      </w:r>
      <w:r>
        <w:rPr>
          <w:rFonts w:ascii="Times New Roman;sans-serif" w:hAnsi="Times New Roman;sans-serif"/>
          <w:b w:val="false"/>
          <w:color w:val="231F20"/>
          <w:sz w:val="20"/>
        </w:rPr>
        <w:t>, respectively.</w:t>
      </w:r>
      <w:r>
        <w:rPr>
          <w:color w:val="000000"/>
        </w:rPr>
        <w:t xml:space="preserve"> </w:t>
      </w:r>
      <w:r>
        <w:rPr>
          <w:rFonts w:ascii="Times New Roman;sans-serif" w:hAnsi="Times New Roman;sans-serif"/>
          <w:b w:val="false"/>
          <w:color w:val="231F20"/>
          <w:sz w:val="20"/>
        </w:rPr>
        <w:t xml:space="preserve">Net realized and unrealized gains on bank loan participations were </w:t>
      </w:r>
      <w:r>
        <w:rPr>
          <w:rFonts w:ascii="Times New Roman;sans-serif" w:hAnsi="Times New Roman;sans-serif"/>
          <w:b w:val="false"/>
          <w:color w:val="000000"/>
          <w:sz w:val="20"/>
        </w:rPr>
        <w:t>$281,000</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 xml:space="preserve">$507,000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three</w:t>
      </w:r>
      <w:r>
        <w:rPr>
          <w:color w:val="231F20"/>
        </w:rPr>
        <w:t xml:space="preserve"> </w:t>
      </w:r>
      <w:r>
        <w:rPr>
          <w:rFonts w:ascii="Times New Roman;sans-serif" w:hAnsi="Times New Roman;sans-serif"/>
          <w:b w:val="false"/>
          <w:color w:val="231F20"/>
          <w:sz w:val="20"/>
        </w:rPr>
        <w:t xml:space="preserve">months ended March 31, 2024 and 2023, respectively. For the </w:t>
      </w:r>
      <w:r>
        <w:rPr>
          <w:rFonts w:ascii="Times New Roman;sans-serif" w:hAnsi="Times New Roman;sans-serif"/>
          <w:b w:val="false"/>
          <w:color w:val="000000"/>
          <w:sz w:val="20"/>
        </w:rPr>
        <w:t>three months ended March 31, 2024</w:t>
      </w:r>
      <w:r>
        <w:rPr>
          <w:rFonts w:ascii="Times New Roman;sans-serif" w:hAnsi="Times New Roman;sans-serif"/>
          <w:b w:val="false"/>
          <w:color w:val="231F20"/>
          <w:sz w:val="20"/>
        </w:rPr>
        <w:t xml:space="preserve">, management concluded that </w:t>
      </w:r>
      <w:r>
        <w:rPr>
          <w:rFonts w:ascii="Times New Roman;sans-serif" w:hAnsi="Times New Roman;sans-serif"/>
          <w:b w:val="false"/>
          <w:color w:val="000000"/>
          <w:sz w:val="20"/>
        </w:rPr>
        <w:t>$1.2 million</w:t>
      </w:r>
      <w:r>
        <w:rPr>
          <w:color w:val="231F20"/>
        </w:rPr>
        <w:t xml:space="preserve"> </w:t>
      </w:r>
      <w:r>
        <w:rPr>
          <w:rFonts w:ascii="Times New Roman;sans-serif" w:hAnsi="Times New Roman;sans-serif"/>
          <w:b w:val="false"/>
          <w:color w:val="231F20"/>
          <w:sz w:val="20"/>
        </w:rPr>
        <w:t xml:space="preserve">of the unrealized losses associated with one loan were due to credit-related impairments. For the </w:t>
      </w:r>
      <w:r>
        <w:rPr>
          <w:rFonts w:ascii="Times New Roman;sans-serif" w:hAnsi="Times New Roman;sans-serif"/>
          <w:b w:val="false"/>
          <w:color w:val="000000"/>
          <w:sz w:val="20"/>
        </w:rPr>
        <w:t>three</w:t>
      </w:r>
      <w:r>
        <w:rPr>
          <w:color w:val="231F20"/>
        </w:rPr>
        <w:t xml:space="preserve"> </w:t>
      </w:r>
      <w:r>
        <w:rPr>
          <w:rFonts w:ascii="Times New Roman;sans-serif" w:hAnsi="Times New Roman;sans-serif"/>
          <w:b w:val="false"/>
          <w:color w:val="231F20"/>
          <w:sz w:val="20"/>
        </w:rPr>
        <w:t xml:space="preserve">months ended March 31, 2023, management concluded that </w:t>
      </w:r>
      <w:r>
        <w:rPr>
          <w:rFonts w:ascii="Times New Roman;sans-serif" w:hAnsi="Times New Roman;sans-serif"/>
          <w:b w:val="false"/>
          <w:color w:val="000000"/>
          <w:sz w:val="20"/>
        </w:rPr>
        <w:t>$607,000</w:t>
      </w:r>
      <w:r>
        <w:rPr>
          <w:color w:val="231F20"/>
        </w:rPr>
        <w:t xml:space="preserve"> </w:t>
      </w:r>
      <w:r>
        <w:rPr>
          <w:rFonts w:ascii="Times New Roman;sans-serif" w:hAnsi="Times New Roman;sans-serif"/>
          <w:b w:val="false"/>
          <w:color w:val="231F20"/>
          <w:sz w:val="20"/>
        </w:rPr>
        <w:t>of the unrealized losses associated with loans from two issuers were due to credit-related impairments. Losses due to credit-related impairments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pStyle w:val="TextBody"/>
        <w:bidi w:val="0"/>
        <w:spacing w:lineRule="auto" w:line="288" w:before="0" w:after="12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pStyle w:val="TextBody"/>
        <w:bidi w:val="0"/>
        <w:spacing w:lineRule="auto" w:line="288" w:before="0" w:after="12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March 31, 2024 or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realized and unrealized gains and losses on investments are summarized as follows:</w:t>
      </w:r>
    </w:p>
    <w:tbl>
      <w:tblPr>
        <w:tblW w:w="7808" w:type="dxa"/>
        <w:jc w:val="left"/>
        <w:tblInd w:w="0" w:type="dxa"/>
        <w:tblLayout w:type="fixed"/>
        <w:tblCellMar>
          <w:top w:w="28" w:type="dxa"/>
          <w:left w:w="28" w:type="dxa"/>
          <w:bottom w:w="28" w:type="dxa"/>
          <w:right w:w="28" w:type="dxa"/>
        </w:tblCellMar>
      </w:tblPr>
      <w:tblGrid>
        <w:gridCol w:w="1749"/>
        <w:gridCol w:w="1538"/>
        <w:gridCol w:w="1542"/>
        <w:gridCol w:w="109"/>
        <w:gridCol w:w="109"/>
        <w:gridCol w:w="151"/>
        <w:gridCol w:w="151"/>
        <w:gridCol w:w="293"/>
        <w:gridCol w:w="857"/>
        <w:gridCol w:w="151"/>
        <w:gridCol w:w="109"/>
        <w:gridCol w:w="109"/>
        <w:gridCol w:w="109"/>
        <w:gridCol w:w="211"/>
        <w:gridCol w:w="466"/>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4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bank loan participations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short-term investments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Realized investment gains or losses are determined on a specific identification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selectively in private debt and equity opportunities. These investments, which together comprise the Company’s other invested assets, are primarily focused in renewable energy, limited partnerships, and private debt.</w:t>
      </w:r>
    </w:p>
    <w:tbl>
      <w:tblPr>
        <w:tblW w:w="9612" w:type="dxa"/>
        <w:jc w:val="left"/>
        <w:tblInd w:w="0" w:type="dxa"/>
        <w:tblLayout w:type="fixed"/>
        <w:tblCellMar>
          <w:top w:w="28" w:type="dxa"/>
          <w:left w:w="28" w:type="dxa"/>
          <w:bottom w:w="28" w:type="dxa"/>
          <w:right w:w="28" w:type="dxa"/>
        </w:tblCellMar>
      </w:tblPr>
      <w:tblGrid>
        <w:gridCol w:w="1180"/>
        <w:gridCol w:w="1036"/>
        <w:gridCol w:w="1039"/>
        <w:gridCol w:w="211"/>
        <w:gridCol w:w="721"/>
        <w:gridCol w:w="109"/>
        <w:gridCol w:w="109"/>
        <w:gridCol w:w="109"/>
        <w:gridCol w:w="109"/>
        <w:gridCol w:w="222"/>
        <w:gridCol w:w="759"/>
        <w:gridCol w:w="114"/>
        <w:gridCol w:w="109"/>
        <w:gridCol w:w="109"/>
        <w:gridCol w:w="109"/>
        <w:gridCol w:w="109"/>
        <w:gridCol w:w="109"/>
        <w:gridCol w:w="162"/>
        <w:gridCol w:w="162"/>
        <w:gridCol w:w="314"/>
        <w:gridCol w:w="805"/>
        <w:gridCol w:w="162"/>
        <w:gridCol w:w="109"/>
        <w:gridCol w:w="109"/>
        <w:gridCol w:w="109"/>
        <w:gridCol w:w="211"/>
        <w:gridCol w:w="616"/>
        <w:gridCol w:w="109"/>
        <w:gridCol w:w="109"/>
        <w:gridCol w:w="109"/>
        <w:gridCol w:w="109"/>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62"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Renewable energy LLCs </w:t>
            </w:r>
            <w:r>
              <w:rPr>
                <w:rFonts w:ascii="Times New Roman;sans-serif" w:hAnsi="Times New Roman;sans-serif"/>
                <w:b w:val="false"/>
                <w:i/>
                <w:color w:val="000000"/>
                <w:sz w:val="20"/>
              </w:rPr>
              <w: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Renewable energy notes receivable (</w:t>
            </w:r>
            <w:r>
              <w:rPr>
                <w:rFonts w:ascii="Times New Roman;sans-serif" w:hAnsi="Times New Roman;sans-serif"/>
                <w:b w:val="false"/>
                <w:i/>
                <w:color w:val="000000"/>
                <w:sz w:val="20"/>
              </w:rPr>
              <w:t>b)</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Limited partnerships </w:t>
            </w:r>
            <w:r>
              <w:rPr>
                <w:rFonts w:ascii="Times New Roman;sans-serif" w:hAnsi="Times New Roman;sans-serif"/>
                <w:b w:val="false"/>
                <w:i/>
                <w:color w:val="000000"/>
                <w:sz w:val="20"/>
              </w:rPr>
              <w:t>(c)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Private Debt </w:t>
            </w:r>
            <w:r>
              <w:rPr>
                <w:rFonts w:ascii="Times New Roman;sans-serif" w:hAnsi="Times New Roman;sans-serif"/>
                <w:b w:val="false"/>
                <w:i/>
                <w:color w:val="000000"/>
                <w:sz w:val="20"/>
              </w:rPr>
              <w:t>(d)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invested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Company's Excess and Surplus Lines segment owns equity interests ranging from 2.5% to 4.9% in various LLCs whose principal objective is capital appreciation and income generation from owning and operating renewable energy production facilities (wind and solar). The Company's former Non-Executive Chairman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$14,000 and $24,000 in the three months ended March 31, 2024 and 2023, respectively. During the fourth quarter of 2022, the underlying projects in two of our LLCs were sold at the manager's discretion. In the three months ended March 31, 2023, the Company received additional proceeds from the sales of $1.2 million comprised of $984,000 in the Excess and Surplus Lines segment and $170,000 in the Corporate and Other segment. We could receive additional contingent payments in the future according to terms of the transaction.</w:t>
      </w:r>
    </w:p>
    <w:p>
      <w:pPr>
        <w:pStyle w:val="TextBody"/>
        <w:bidi w:val="0"/>
        <w:spacing w:lineRule="auto" w:line="288" w:before="0" w:after="12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color w:val="231F20"/>
          <w:sz w:val="20"/>
        </w:rPr>
        <w:t xml:space="preserve">The Company's </w:t>
      </w:r>
      <w:r>
        <w:rPr>
          <w:rFonts w:ascii="Times New Roman;sans-serif" w:hAnsi="Times New Roman;sans-serif"/>
          <w:b w:val="false"/>
          <w:color w:val="000000"/>
          <w:sz w:val="20"/>
        </w:rPr>
        <w:t xml:space="preserve">Excess and Surplus Lines and </w:t>
      </w:r>
      <w:r>
        <w:rPr>
          <w:rFonts w:ascii="Times New Roman;sans-serif" w:hAnsi="Times New Roman;sans-serif"/>
          <w:b w:val="false"/>
          <w:color w:val="231F20"/>
          <w:sz w:val="20"/>
        </w:rPr>
        <w:t xml:space="preserve">Corporate and Other segments invested in two notes receivable for renewable energy projects. Interest on the notes was fixed at 12%. During the </w:t>
      </w:r>
      <w:r>
        <w:rPr>
          <w:rFonts w:ascii="Times New Roman;sans-serif" w:hAnsi="Times New Roman;sans-serif"/>
          <w:b w:val="false"/>
          <w:color w:val="000000"/>
          <w:sz w:val="20"/>
        </w:rPr>
        <w:t>three months ended March 31, 2024</w:t>
      </w:r>
      <w:r>
        <w:rPr>
          <w:rFonts w:ascii="Times New Roman;sans-serif" w:hAnsi="Times New Roman;sans-serif"/>
          <w:b w:val="false"/>
          <w:color w:val="231F20"/>
          <w:sz w:val="20"/>
        </w:rPr>
        <w:t>, the Company received final principal repayments of $608,000 and $761,000 on the notes receivable in the Company's Excess and Surplus Lines segment and Corporate and Other segment, respectively.</w:t>
      </w:r>
    </w:p>
    <w:p>
      <w:pPr>
        <w:pStyle w:val="TextBody"/>
        <w:bidi w:val="0"/>
        <w:spacing w:lineRule="auto" w:line="276" w:before="0" w:after="120"/>
        <w:ind w:left="0" w:right="0" w:hanging="360"/>
        <w:jc w:val="both"/>
        <w:rPr/>
      </w:pPr>
      <w:r>
        <w:rPr>
          <w:rFonts w:ascii="Times New Roman;sans-serif" w:hAnsi="Times New Roman;sans-serif"/>
          <w:b w:val="false"/>
          <w:color w:val="231F20"/>
          <w:sz w:val="20"/>
        </w:rPr>
        <w:t>(c)</w:t>
      </w:r>
      <w:r>
        <w:rPr>
          <w:rFonts w:ascii="Times New Roman;sans-serif" w:hAnsi="Times New Roman;sans-serif"/>
          <w:b w:val="false"/>
          <w:color w:val="000000"/>
          <w:sz w:val="20"/>
        </w:rPr>
        <w:t xml:space="preserve">The Company owns investments in limited partnerships that invest in concentrated portfolios including publicly-traded small cap equities, loans of middle market private equity sponsored companies, private equity general partnership interests, commercial mortgage-backed securities, specialty private credit, and tranches of distressed home loans. </w:t>
      </w:r>
      <w:r>
        <w:rPr>
          <w:rFonts w:ascii="Times New Roman;sans-serif" w:hAnsi="Times New Roman;sans-serif"/>
          <w:b w:val="false"/>
          <w:color w:val="231F20"/>
          <w:sz w:val="20"/>
        </w:rPr>
        <w:t>Income f</w:t>
      </w:r>
      <w:r>
        <w:rPr>
          <w:rFonts w:ascii="Times New Roman;sans-serif" w:hAnsi="Times New Roman;sans-serif"/>
          <w:b w:val="false"/>
          <w:color w:val="000000"/>
          <w:sz w:val="20"/>
        </w:rPr>
        <w:t>rom the partnerships is recognized under the equity method of accounting. At March 31, 2024, the Company’s Excess and Surplus Lines segment has outstanding commitments to invest another $5.8 million in the limited partnerships.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hanging="360"/>
        <w:jc w:val="both"/>
        <w:rPr/>
      </w:pPr>
      <w:r>
        <w:rPr>
          <w:rFonts w:ascii="Times New Roman;sans-serif" w:hAnsi="Times New Roman;sans-serif"/>
          <w:b w:val="false"/>
          <w:color w:val="231F20"/>
          <w:sz w:val="20"/>
        </w:rPr>
        <w:t>(d)</w:t>
      </w:r>
      <w:r>
        <w:rPr>
          <w:rFonts w:ascii="Times New Roman;sans-serif" w:hAnsi="Times New Roman;sans-serif"/>
          <w:b w:val="false"/>
          <w:color w:val="000000"/>
          <w:sz w:val="20"/>
        </w:rPr>
        <w:t>The Company's Excess and Surplus Lines segment has invested in two notes receivable for structured private specialty credit. Interest on the notes, which mature in 2031, is fixed at 4.25% and 5.25%. At March 31, 2024, the Company’s Excess and Surplus Lines segment has outstanding commitments to invest another $4.2 million in these notes. Previously, the Company's Excess and Surplus Lines segment held $4.5 million of subordinated notes issued by a bank holding company for which the former Non-Executive Chairman of the Company was previously the Lead Independent Director.</w:t>
      </w:r>
      <w:r>
        <w:rPr>
          <w:color w:val="231F20"/>
        </w:rPr>
        <w:t xml:space="preserve"> </w:t>
      </w:r>
      <w:r>
        <w:rPr>
          <w:rFonts w:ascii="Times New Roman;sans-serif" w:hAnsi="Times New Roman;sans-serif"/>
          <w:b w:val="false"/>
          <w:color w:val="231F20"/>
          <w:sz w:val="20"/>
        </w:rPr>
        <w:t>T</w:t>
      </w:r>
      <w:r>
        <w:rPr>
          <w:rFonts w:ascii="Times New Roman;sans-serif" w:hAnsi="Times New Roman;sans-serif"/>
          <w:b w:val="false"/>
          <w:color w:val="000000"/>
          <w:sz w:val="20"/>
        </w:rPr>
        <w:t>he notes matured on August 12, 2023. Interest on the notes was fixed at 7.6% per annum.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4.    Goodwill and Intangible Assets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March 31, 2024 and December 31,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amounts and accumulated amortization for each major specifically identifiable intangible asset class were as follows: </w:t>
      </w:r>
    </w:p>
    <w:tbl>
      <w:tblPr>
        <w:tblW w:w="10205" w:type="dxa"/>
        <w:jc w:val="left"/>
        <w:tblInd w:w="0" w:type="dxa"/>
        <w:tblLayout w:type="fixed"/>
        <w:tblCellMar>
          <w:top w:w="28" w:type="dxa"/>
          <w:left w:w="28" w:type="dxa"/>
          <w:bottom w:w="28" w:type="dxa"/>
          <w:right w:w="28" w:type="dxa"/>
        </w:tblCellMar>
      </w:tblPr>
      <w:tblGrid>
        <w:gridCol w:w="1414"/>
        <w:gridCol w:w="1142"/>
        <w:gridCol w:w="1149"/>
        <w:gridCol w:w="299"/>
        <w:gridCol w:w="299"/>
        <w:gridCol w:w="303"/>
        <w:gridCol w:w="109"/>
        <w:gridCol w:w="109"/>
        <w:gridCol w:w="109"/>
        <w:gridCol w:w="211"/>
        <w:gridCol w:w="721"/>
        <w:gridCol w:w="109"/>
        <w:gridCol w:w="109"/>
        <w:gridCol w:w="109"/>
        <w:gridCol w:w="109"/>
        <w:gridCol w:w="243"/>
        <w:gridCol w:w="711"/>
        <w:gridCol w:w="127"/>
        <w:gridCol w:w="109"/>
        <w:gridCol w:w="109"/>
        <w:gridCol w:w="109"/>
        <w:gridCol w:w="211"/>
        <w:gridCol w:w="721"/>
        <w:gridCol w:w="109"/>
        <w:gridCol w:w="109"/>
        <w:gridCol w:w="109"/>
        <w:gridCol w:w="109"/>
        <w:gridCol w:w="242"/>
        <w:gridCol w:w="707"/>
        <w:gridCol w:w="179"/>
      </w:tblGrid>
      <w:tr>
        <w:trPr/>
        <w:tc>
          <w:tcPr>
            <w:tcW w:w="141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licenses and authorities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not subject to amortization</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relationships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subject to amortization</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5.    Earnings Per Share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reconciliation of the numerator and denominator of the basic and diluted earnings per common share computations contained in the condensed consolidated financial statements:</w:t>
      </w:r>
    </w:p>
    <w:tbl>
      <w:tblPr>
        <w:tblW w:w="10061" w:type="dxa"/>
        <w:jc w:val="left"/>
        <w:tblInd w:w="0" w:type="dxa"/>
        <w:tblLayout w:type="fixed"/>
        <w:tblCellMar>
          <w:top w:w="28" w:type="dxa"/>
          <w:left w:w="28" w:type="dxa"/>
          <w:bottom w:w="28" w:type="dxa"/>
          <w:right w:w="28" w:type="dxa"/>
        </w:tblCellMar>
      </w:tblPr>
      <w:tblGrid>
        <w:gridCol w:w="2103"/>
        <w:gridCol w:w="1848"/>
        <w:gridCol w:w="1853"/>
        <w:gridCol w:w="109"/>
        <w:gridCol w:w="109"/>
        <w:gridCol w:w="139"/>
        <w:gridCol w:w="139"/>
        <w:gridCol w:w="384"/>
        <w:gridCol w:w="1313"/>
        <w:gridCol w:w="198"/>
        <w:gridCol w:w="155"/>
        <w:gridCol w:w="155"/>
        <w:gridCol w:w="155"/>
        <w:gridCol w:w="301"/>
        <w:gridCol w:w="880"/>
        <w:gridCol w:w="220"/>
      </w:tblGrid>
      <w:tr>
        <w:trPr/>
        <w:tc>
          <w:tcPr>
            <w:tcW w:w="210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866" w:type="dxa"/>
            <w:gridSpan w:val="6"/>
            <w:tcBorders/>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7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and per share amounts)</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Dividends on Series A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37,733,710 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37,531,819 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6,905,259 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253,633 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44,638,969 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37,785,452 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360"/>
        <w:jc w:val="both"/>
        <w:rPr/>
      </w:pP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231F20"/>
          <w:sz w:val="20"/>
        </w:rPr>
        <w:t xml:space="preserve">March 31, 2024, all potential common shares were dilutive and included in the </w:t>
      </w:r>
      <w:r>
        <w:rPr>
          <w:rFonts w:ascii="Times New Roman;sans-serif" w:hAnsi="Times New Roman;sans-serif"/>
          <w:b w:val="false"/>
          <w:color w:val="000000"/>
          <w:sz w:val="20"/>
        </w:rPr>
        <w:t>calculation of diluted earnings per common share</w:t>
      </w:r>
      <w:r>
        <w:rPr>
          <w:rFonts w:ascii="Times New Roman;sans-serif" w:hAnsi="Times New Roman;sans-serif"/>
          <w:b w:val="false"/>
          <w:color w:val="231F20"/>
          <w:sz w:val="20"/>
        </w:rPr>
        <w:t xml:space="preserve">. For the three months ended March 31, 2023, potential common shares of </w:t>
      </w:r>
      <w:r>
        <w:rPr>
          <w:rFonts w:ascii="Times New Roman;sans-serif" w:hAnsi="Times New Roman;sans-serif"/>
          <w:b w:val="false"/>
          <w:color w:val="000000"/>
          <w:sz w:val="20"/>
        </w:rPr>
        <w:t>5,640,158 were excluded from the calculation of diluted earnings per common share as their effects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6.    Reserve for Losses and Loss Adjustment Expenses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an allowance for credit losses on reinsurance balances of $660,000 at March 31, 2024 and December 31, 2023, $628,000 at March 31, 2023, and $580,000 at December 31, 2022.</w:t>
      </w:r>
    </w:p>
    <w:tbl>
      <w:tblPr>
        <w:tblW w:w="10205" w:type="dxa"/>
        <w:jc w:val="left"/>
        <w:tblInd w:w="0" w:type="dxa"/>
        <w:tblLayout w:type="fixed"/>
        <w:tblCellMar>
          <w:top w:w="28" w:type="dxa"/>
          <w:left w:w="28" w:type="dxa"/>
          <w:bottom w:w="28" w:type="dxa"/>
          <w:right w:w="28" w:type="dxa"/>
        </w:tblCellMar>
      </w:tblPr>
      <w:tblGrid>
        <w:gridCol w:w="2446"/>
        <w:gridCol w:w="2150"/>
        <w:gridCol w:w="2162"/>
        <w:gridCol w:w="109"/>
        <w:gridCol w:w="109"/>
        <w:gridCol w:w="112"/>
        <w:gridCol w:w="112"/>
        <w:gridCol w:w="217"/>
        <w:gridCol w:w="1006"/>
        <w:gridCol w:w="112"/>
        <w:gridCol w:w="109"/>
        <w:gridCol w:w="109"/>
        <w:gridCol w:w="109"/>
        <w:gridCol w:w="211"/>
        <w:gridCol w:w="976"/>
        <w:gridCol w:w="156"/>
      </w:tblGrid>
      <w:tr>
        <w:trPr/>
        <w:tc>
          <w:tcPr>
            <w:tcW w:w="244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5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670" w:type="dxa"/>
            <w:gridSpan w:val="6"/>
            <w:tcBorders/>
          </w:tcPr>
          <w:p>
            <w:pPr>
              <w:pStyle w:val="TableContents"/>
              <w:bidi w:val="0"/>
              <w:spacing w:before="0" w:after="283"/>
              <w:jc w:val="left"/>
              <w:rPr>
                <w:sz w:val="4"/>
                <w:szCs w:val="4"/>
              </w:rPr>
            </w:pPr>
            <w:r>
              <w:rPr>
                <w:sz w:val="4"/>
                <w:szCs w:val="4"/>
              </w:rPr>
            </w:r>
          </w:p>
        </w:tc>
      </w:tr>
      <w:tr>
        <w:trPr/>
        <w:tc>
          <w:tcPr>
            <w:tcW w:w="67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7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net of reinsurance recoverables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1,246,973 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Incurred losses and loss adjustment expenses net of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 -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 - excluding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 losses and loss and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110,049 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Loss and loss adjustment expense payments net of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and loss adjustment expense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Change in deferred reinsurance gain -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7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net of reinsurance recoverables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1,283,386 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1,121,532 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Reinsurance recoverables on unpaid losses and loss adjustment expenses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1,378,523 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gross of reinsurance recoverables on unpaid losses and loss adjustment expenses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2,661,909 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2,408,759 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experienced $398,000 of net favorable reserve development in the three months ended March 31, 2024 on the reserve for losses and loss adjustment expenses held at December 31, 2023 (excluding adverse prior year development on the commercial auto loss portfolio transfer subject to retroactive reinsurance accounting - see </w:t>
      </w:r>
      <w:r>
        <w:rPr>
          <w:rFonts w:ascii="Times New Roman;sans-serif" w:hAnsi="Times New Roman;sans-serif"/>
          <w:b w:val="false"/>
          <w:i/>
          <w:color w:val="000000"/>
          <w:sz w:val="20"/>
        </w:rPr>
        <w:t xml:space="preserve">Loss Portfolio Transfer </w:t>
      </w:r>
      <w:r>
        <w:rPr>
          <w:rFonts w:ascii="Times New Roman;sans-serif" w:hAnsi="Times New Roman;sans-serif"/>
          <w:b w:val="false"/>
          <w:color w:val="000000"/>
          <w:sz w:val="20"/>
        </w:rPr>
        <w:t>below). This reserve development included $40,000 of net adverse development in the Excess and Surplus Lines segment and $438,000 of net favorable development in the Specialty Admitted Insurance segment.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experienced $495,000 of net favorable reserve development in the three months ended March 31, 2023 on the reserve for losses and loss adjustment expenses held at December 31, 2022 (excluding adverse prior year development on the commercial auto loss portfolio transfer subject to retroactive reinsurance accounting - see </w:t>
      </w:r>
      <w:r>
        <w:rPr>
          <w:rFonts w:ascii="Times New Roman;sans-serif" w:hAnsi="Times New Roman;sans-serif"/>
          <w:b w:val="false"/>
          <w:i/>
          <w:color w:val="000000"/>
          <w:sz w:val="20"/>
        </w:rPr>
        <w:t xml:space="preserve">Loss Portfolio Transfer </w:t>
      </w:r>
      <w:r>
        <w:rPr>
          <w:rFonts w:ascii="Times New Roman;sans-serif" w:hAnsi="Times New Roman;sans-serif"/>
          <w:b w:val="false"/>
          <w:color w:val="000000"/>
          <w:sz w:val="20"/>
        </w:rPr>
        <w:t>below). This reserve development included $324,000 of net favorable development in the Excess and Surplus Lines segment and $171,000 of net favorable development in the Specialty Admitted Insurance segment.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Loss Portfolio Transfers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 portfolio transfers are a form of reinsurance utilized by the Company to transfer losses and loss adjustment expenses and associated risk of adverse development on covered subject business, as defined in the respective agreements, to an assuming reinsurer in exchange for a reinsurance premium. Loss portfolio transfers can bring economic finality on the subject risks when they no longer meet the Company's appetite or are no longer aligned with the Company's risk management guidelines.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Commercial Auto Loss Portfolio Transfer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River is not otherwise indemnified by Rasier. The reinsurance coverage is structured to be fully collateralized, is not subject to an aggregate limit, and is subject to certain exclusions.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Retroactive Reinsurance Accounting</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reevaluates the remaining reserves subject to the Commercial Auto LPT, and when recognized adverse prior year development on the subject business causes the cumulative amounts ceded under the loss portfolio transfer to exceed the consideration paid, the loss portfolio transfer moves into a gain position subject to retroactive reinsurance accounting under GAAP. Gains are deferred under retroactive reinsurance accounting and recognized in earnings in proportion to actual paid recoveries under the loss portfolio transfer using the recovery method. While the deferral of gains can introduce volatility in our results in the short-term, over the life of the contract, we would expect no economic impact to the Company as long as the counterparty performs under the contract. The impact of retroactive reinsurance accounting is not indicative of our current and ongoing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due to adverse paid and reported loss trends on the legacy Rasier business, the Company recognized adverse prior year development of $477,000 and $41.0 million, respectively, on the net reserves subject to the Commercial Auto LPT, resulting in corresponding additional amounts ceded under the Commercial Auto LPT. As a result, the cumulative amounts ceded under the Commercial Auto LPT exceed the consideration paid, moving the Commercial Auto LPT into a gain position. The Company has applied retroactive reinsurance accounting to the loss portfolio transfer. Retroactive reinsurance benefits of $4.5 million and $29.3 million for the three months ended March 31, 2024 and 2023, respectively, were recorded in losses and loss adjustment expenses on the Condensed Consolidated Statements of Income and Comprehensive Income using the recovery method. The cumulative amounts ceded under the loss portfolio transfer were $456.7 million and $456.2 million as of March 31, 2024 and December 31, 2023, respectively. The deferred retroactive reinsurance gain related to the Commercial Auto LPT separately presented on the Company's Condensed Consolidated Balance Sheets was $16.7 million and $20.7 million at March 31,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7.    Other Comprehensive (Loss) Income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other comprehensive (loss) income:</w:t>
      </w:r>
    </w:p>
    <w:tbl>
      <w:tblPr>
        <w:tblW w:w="9506" w:type="dxa"/>
        <w:jc w:val="left"/>
        <w:tblInd w:w="0" w:type="dxa"/>
        <w:tblLayout w:type="fixed"/>
        <w:tblCellMar>
          <w:top w:w="28" w:type="dxa"/>
          <w:left w:w="28" w:type="dxa"/>
          <w:bottom w:w="28" w:type="dxa"/>
          <w:right w:w="28" w:type="dxa"/>
        </w:tblCellMar>
      </w:tblPr>
      <w:tblGrid>
        <w:gridCol w:w="2269"/>
        <w:gridCol w:w="1994"/>
        <w:gridCol w:w="2007"/>
        <w:gridCol w:w="109"/>
        <w:gridCol w:w="109"/>
        <w:gridCol w:w="131"/>
        <w:gridCol w:w="131"/>
        <w:gridCol w:w="254"/>
        <w:gridCol w:w="958"/>
        <w:gridCol w:w="131"/>
        <w:gridCol w:w="109"/>
        <w:gridCol w:w="109"/>
        <w:gridCol w:w="109"/>
        <w:gridCol w:w="211"/>
        <w:gridCol w:w="721"/>
        <w:gridCol w:w="154"/>
      </w:tblGrid>
      <w:tr>
        <w:trPr/>
        <w:tc>
          <w:tcPr>
            <w:tcW w:w="226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gains arising during the period, before U.S.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gains arising during the period, net of U.S.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investment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investment losses realized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(7,773)</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ans-serif" w:hAnsi="Times New Roman;sans-serif"/>
          <w:b w:val="false"/>
          <w:color w:val="000000"/>
          <w:sz w:val="20"/>
        </w:rPr>
        <w:t>In addition to the $311,000 and $91,000 of net realized investment losses on available-for-sale fixed maturities for the three</w:t>
      </w:r>
      <w:r>
        <w:rPr>
          <w:color w:val="231F20"/>
        </w:rPr>
        <w:t xml:space="preserve"> </w:t>
      </w:r>
      <w:r>
        <w:rPr>
          <w:rFonts w:ascii="Times New Roman;sans-serif" w:hAnsi="Times New Roman;sans-serif"/>
          <w:b w:val="false"/>
          <w:color w:val="231F20"/>
          <w:sz w:val="20"/>
        </w:rPr>
        <w:t xml:space="preserve">months ended </w:t>
      </w:r>
      <w:r>
        <w:rPr>
          <w:rFonts w:ascii="Times New Roman;sans-serif" w:hAnsi="Times New Roman;sans-serif"/>
          <w:b w:val="false"/>
          <w:color w:val="000000"/>
          <w:sz w:val="20"/>
        </w:rPr>
        <w:t>March 31, 2024 and 2023</w:t>
      </w:r>
      <w:r>
        <w:rPr>
          <w:rFonts w:ascii="Times New Roman;sans-serif" w:hAnsi="Times New Roman;sans-serif"/>
          <w:b w:val="false"/>
          <w:color w:val="231F20"/>
          <w:sz w:val="20"/>
        </w:rPr>
        <w:t>, respectively,</w:t>
      </w:r>
      <w:r>
        <w:rPr>
          <w:color w:val="000000"/>
        </w:rPr>
        <w:t xml:space="preserve"> </w:t>
      </w:r>
      <w:r>
        <w:rPr>
          <w:rFonts w:ascii="Times New Roman;sans-serif" w:hAnsi="Times New Roman;sans-serif"/>
          <w:b w:val="false"/>
          <w:color w:val="000000"/>
          <w:sz w:val="20"/>
        </w:rPr>
        <w:t>the Company also recognized net realized and unrealized investment (losses) gains in the respective periods of $(281,000) and $507,000 on its investments in bank loan participations and net realized and unrealized investment gains (losses) in the respective periods of $5.2 million and $(329,000) on its investments in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8.       Contingent Liabilities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involved in various legal proceedings, including commercial matters and litigation regarding insurance claims which arise in the ordinary course of business, as well as the matters described below. In addition, the Company is involved from time to time in legal actions which seek extra-contractual damages, punitive damages or penalties, including claims alleging bad faith in the handling of insurance claims. The Company believes that the outcome of such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individually and in the aggregate, is not reasonably likely to have a material adverse effect on the Company's consolidated financial position, results of operations or cash flows.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 2022. On August 25, 2022, Plaintiffs filed a motion for leave to file a second amended class action complaint (the “Second Amended Complaint”). On September </w:t>
      </w:r>
      <w:r>
        <w:rPr>
          <w:rFonts w:ascii="Times New Roman;sans-serif" w:hAnsi="Times New Roman;sans-serif"/>
          <w:b w:val="false"/>
          <w:color w:val="000000"/>
          <w:sz w:val="20"/>
          <w:shd w:fill="FFFFFF" w:val="clear"/>
        </w:rPr>
        <w:t>8</w:t>
      </w:r>
      <w:r>
        <w:rPr>
          <w:rFonts w:ascii="Times New Roman;sans-serif" w:hAnsi="Times New Roman;sans-serif"/>
          <w:b w:val="false"/>
          <w:color w:val="000000"/>
          <w:sz w:val="20"/>
        </w:rPr>
        <w:t>, 2022, the Defendants consented to the Plaintiffs’ motion to file the Second Amended Complaint, and filed a motion to dismiss the Second Amended Complaint on October 24, 2022 (the “Second MTD”). The Plaintiffs’ opposition to the Second MTD was filed on November 7, 2022, and the Defendant’s reply to the Plaintiffs’ opposition was filed on November 14, 2022. On August 28, 2023, the Court denied the Second MTD. The Second Amended Complaint asserts claims under Sections 10(b) and 20(a) of the Securities Exchange Act of 1934 on behalf of a putative class of persons and entities that purchased the Company’s stock between February 22, 2019 and October 25, 2021, alleges that Defendants failed to make appropriate disclosures concerning the adequacy of reserves for policies that covered Rasier LLC, a subsidiary of Uber Technologies, Inc., and seeks unspecified damages, costs, attorneys’ fees and such other relief as the court may deem proper. We engaged in mediation in the fourth quarter of 2023 and on December 7, 2023, in connection with the mediation, we reached an agreement in principle to settle the action. On December 22, 2023, the parties submitted the stipulation of settlement to the Court for approval. The settlement provides for a full release of all defendants in connection with the allegations made and a settlement payment to the class of $30 million, inclusive of all Plaintiffs’ attorneys fees and expenses and settlement costs, all of which will be paid by the Company’s insurance carriers, as the Company had paid its $1.0 million deductible prior to the settlement. On January 26, 2024, the Court issued an order granting preliminary approval of the settlement and scheduled a final settlement hearing for May 24, 2024.</w:t>
      </w:r>
    </w:p>
    <w:p>
      <w:pPr>
        <w:pStyle w:val="TextBody"/>
        <w:bidi w:val="0"/>
        <w:spacing w:lineRule="auto" w:line="256" w:before="0" w:after="120"/>
        <w:ind w:left="0" w:right="0" w:firstLine="360"/>
        <w:jc w:val="both"/>
        <w:rPr/>
      </w:pPr>
      <w:r>
        <w:rPr>
          <w:rFonts w:ascii="Times New Roman;sans-serif" w:hAnsi="Times New Roman;sans-serif"/>
          <w:b w:val="false"/>
          <w:color w:val="000000"/>
          <w:sz w:val="20"/>
        </w:rPr>
        <w:t>On November 13, 2023, a purported class action lawsuit was filed in the U.S. District Court, Southern District of New York, on behalf of Paul Glantz against James River Group Holdings, Ltd. and certain of its officers, asserting claims under Sections 10(b) and 20(a) of the Securities Exchange Act of 1934. Mr. Glantz alleges that he purchased James River common stock between August 7, 2023 and November 7, 2023, inclusive, that the Company failed to disclose that it lacked effective internal controls regarding the recognition of reinstatement premiums for reinsurance and as a result the Company overstated its net income, and that, as a result, Mr. Glantz suffered unspecified damages. On January 12, 2024, both Mr. Glantz and Madhav Ghimire, another individual shareholder, filed an application with the Court for appointment as Lead Plaintiff, and on January 26, 2024, Mr. Glantz filed a notice of non-opposition to Mr. Ghimire's competing motion for appointment as Lead Plaintiff. On March 25, 2024 the court entered an order appointing Mr. Ghimire as lead plaintiff.</w:t>
      </w:r>
      <w:r>
        <w:rPr>
          <w:color w:val="000000"/>
        </w:rPr>
        <w:t xml:space="preserve"> </w:t>
      </w:r>
      <w:r>
        <w:rPr>
          <w:rFonts w:ascii="Times New Roman;sans-serif" w:hAnsi="Times New Roman;sans-serif"/>
          <w:b w:val="false"/>
          <w:color w:val="000000"/>
          <w:sz w:val="20"/>
        </w:rPr>
        <w:t>Plaintiff's consolidated amended complaint is due no later than May 24, 2024.</w:t>
      </w:r>
      <w:r>
        <w:rPr>
          <w:color w:val="000000"/>
        </w:rPr>
        <w:t xml:space="preserve"> </w:t>
      </w:r>
      <w:r>
        <w:rPr>
          <w:rFonts w:ascii="Times New Roman;sans-serif" w:hAnsi="Times New Roman;sans-serif"/>
          <w:b w:val="false"/>
          <w:color w:val="000000"/>
          <w:sz w:val="20"/>
        </w:rPr>
        <w:t>We believe that the claims are without merit and intend to vigorously defend this lawsuit.</w:t>
      </w:r>
    </w:p>
    <w:p>
      <w:pPr>
        <w:pStyle w:val="TextBody"/>
        <w:bidi w:val="0"/>
        <w:spacing w:lineRule="auto" w:line="256"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11, 2024, the Company filed a complaint (the “Complaint”) in the Supreme Court of the State of New York, New York County, Commercial Division against Fleming Intermediate Holdings LLC (“Fleming”), a Cayman Islands limited liability company, relating to the previously announced Stock Purchase Agreement, dated as of November 8, 2023 (the “Stock Purchase Agreement”), pursuant to which Fleming agreed to purchase all of the outstanding common shares of JRG Re (the “Transaction”). The complaint alleges that Fleming breached the Stock Purchase Agreement by its refusal to close the Transaction on March 1, 2024 as required under the terms of the Stock Purchase Agreement, and seeks specific performance of Fleming’s obligation to complete the Transaction and an award of damages. The Company subsequently filed a motion for preliminary injunction to require Fleming to fulfill its contractual obligation to close the Transaction, and on April 6, 2024 the Court granted the Company’s motion and ordered Fleming to complete the Transaction on or prior to April 16, 2024. On April 8, 2024, Fleming filed a notice of appeal of the preliminary injunction, which is pending in the Supreme Court of the State of New York Appellate Division, First Department. The Transaction closed on April 16, 2024. On April 19, 2024, Fleming filed a Motion to Dismiss the Complaint. The Company’s response to the Motion to Dismiss is due May 9, 2024.</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Auto Policies written in the years 2013-2019, which amount constituted the reinsurance premium. Since inception, due to adverse paid and reported loss trends on the legacy Rasier business, the Company has recognized adverse prior year development of $111.6 million on the reserves subject to the Commercial Auto LPT, bringing the cumulative amount ceded under the Commercial Auto LPT to $456.7 million at March 31, 2024.</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are required to post collateral under the Indemnity Agreements and the Commercial Auto LPT, respectively:</w:t>
      </w:r>
    </w:p>
    <w:p>
      <w:pPr>
        <w:pStyle w:val="TextBody"/>
        <w:bidi w:val="0"/>
        <w:spacing w:lineRule="auto" w:line="288" w:before="0" w:after="120"/>
        <w:ind w:left="0" w:right="0" w:firstLine="405"/>
        <w:jc w:val="both"/>
        <w:rPr/>
      </w:pPr>
      <w:r>
        <w:rPr>
          <w:color w:val="000000"/>
        </w:rPr>
        <w:t>•</w:t>
      </w:r>
      <w:r>
        <w:rPr>
          <w:rFonts w:ascii="Times New Roman;sans-serif" w:hAnsi="Times New Roman;sans-serif"/>
          <w:b w:val="false"/>
          <w:color w:val="000000"/>
          <w:sz w:val="20"/>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March 31, 2024, the balance in the Indemnity Trust was $109.3 million, and, together with the balance of the Loss Fund Trust (as defined below) attributable to the Indemnity Agreements as described below, the total balance of collateral securing Rasier’s obligations under the Indemnity Agreements was $154.5 million.</w:t>
      </w:r>
    </w:p>
    <w:p>
      <w:pPr>
        <w:pStyle w:val="TextBody"/>
        <w:bidi w:val="0"/>
        <w:spacing w:lineRule="auto" w:line="288" w:before="0" w:after="120"/>
        <w:ind w:left="0" w:right="0" w:firstLine="405"/>
        <w:jc w:val="both"/>
        <w:rPr/>
      </w:pPr>
      <w:r>
        <w:rPr>
          <w:color w:val="000000"/>
        </w:rPr>
        <w:t>•</w:t>
      </w:r>
      <w:r>
        <w:rPr>
          <w:rFonts w:ascii="Times New Roman;sans-serif" w:hAnsi="Times New Roman;sans-serif"/>
          <w:b w:val="false"/>
          <w:color w:val="000000"/>
          <w:sz w:val="20"/>
        </w:rPr>
        <w:t>Pursuant to the Commercial Auto LPT, Aleka is required to post collateral equal to 102% of James River's estimate of Aleka's obligations under the Commercial Auto LPT, calculated in accordance with standard actuarial principles and based on reserves recorded in the Company’s statutory financial statements. The collateral is provided through a collateral trust arrangement (the “LPT Trust”) established in favor of James River by Aleka. At March 31, 2024, the balance in the LPT Trust was $49.9 million, and, together with the balance of the Loss Fund Trust (as defined below) attributable to the Commercial Auto LPT as described below, the total balance of collateral securing Aleka’s obligations under the Commercial Auto LPT was $70.0 million. At March 31, 2024, the total reinsurance recoverables under the Commercial Auto LPT was $67.4 million (including $63.7 million of unpaid recoverables and $3.7 million of paid recoverables).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March 31, 2024, the balance in the Loss Fund Trust was $73.4 million, including $45.2 million representing collateral supporting Rasier’s obligations under the Indemnity Agreements and $20.0 million representing collateral supporting Aleka’s obligations under the Commercial Auto LPT. Funds posted to the Loss Fund Trust are classified as restricted cash equivalents on the Company's balance sheets.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9.    Segment Information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continuing operations are comprised of three reportable segments, two of which are separately managed business units and the third (“Corporate and Other”) includes the Company’s remaining operations. Prior to entering into a definitive agreement to sell JRG Re on November 8, 2023, JRG Re was considered a reportable segment (the “Casualty Reinsurance” segment). After entering into the agreement to sell JRG Re, the Company no longer considers Casualty Reinsurance to be a reportable segment, but instead it is reported as discontinued operations. The segment information below excludes discontinued operations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405"/>
        <w:jc w:val="both"/>
        <w:rPr/>
      </w:pPr>
      <w:r>
        <w:rPr>
          <w:rFonts w:ascii="Times New Roman;sans-serif" w:hAnsi="Times New Roman;sans-serif"/>
          <w:b w:val="false"/>
          <w:color w:val="000000"/>
          <w:sz w:val="20"/>
        </w:rPr>
        <w:t xml:space="preserve">Segment profit (loss) is measured by underwriting profit (loss), which is generally defined as net earned premiums and gross fee income (in specific instances when the Company is not retaining insurance risk) in “other income” in the Condensed Consolidated Statements of Income and Comprehensive Income less loss and loss adjustment expenses on business not subject to retroactive reinsurance accounting for loss portfolio transfers (see </w:t>
      </w:r>
      <w:r>
        <w:rPr>
          <w:rFonts w:ascii="Times New Roman;sans-serif" w:hAnsi="Times New Roman;sans-serif"/>
          <w:b w:val="false"/>
          <w:i/>
          <w:color w:val="000000"/>
          <w:sz w:val="20"/>
        </w:rPr>
        <w:t xml:space="preserve">Loss Portfolio Transfer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i/>
          <w:color w:val="000000"/>
          <w:sz w:val="20"/>
        </w:rPr>
        <w:t>Note 6 - Reserve for Losses and Loss Adjustment Expenses</w:t>
      </w:r>
      <w:r>
        <w:rPr>
          <w:rFonts w:ascii="Times New Roman;sans-serif" w:hAnsi="Times New Roman;sans-serif"/>
          <w:b w:val="false"/>
          <w:color w:val="000000"/>
          <w:sz w:val="20"/>
        </w:rPr>
        <w:t>) and other operating expenses of the operating segments. Gross fee income of $1.3 million and $1.1 million for the Specialty Admitted Insurance segment was included in other income and in underwriting profit (loss) for the three</w:t>
      </w:r>
      <w:r>
        <w:rPr>
          <w:color w:val="231F20"/>
        </w:rPr>
        <w:t xml:space="preserve"> </w:t>
      </w:r>
      <w:r>
        <w:rPr>
          <w:rFonts w:ascii="Times New Roman;sans-serif" w:hAnsi="Times New Roman;sans-serif"/>
          <w:b w:val="false"/>
          <w:color w:val="231F20"/>
          <w:sz w:val="20"/>
        </w:rPr>
        <w:t xml:space="preserve">months ended </w:t>
      </w:r>
      <w:r>
        <w:rPr>
          <w:rFonts w:ascii="Times New Roman;sans-serif" w:hAnsi="Times New Roman;sans-serif"/>
          <w:b w:val="false"/>
          <w:color w:val="000000"/>
          <w:sz w:val="20"/>
        </w:rPr>
        <w:t>March 31, 2024 and 2023, respectively</w:t>
      </w:r>
      <w:r>
        <w:rPr>
          <w:rFonts w:ascii="Times New Roman;sans-serif" w:hAnsi="Times New Roman;sans-serif"/>
          <w:b w:val="false"/>
          <w:color w:val="231F20"/>
          <w:sz w:val="20"/>
        </w:rPr>
        <w:t xml:space="preserve">. </w:t>
      </w:r>
      <w:r>
        <w:rPr>
          <w:rFonts w:ascii="Times New Roman;sans-serif" w:hAnsi="Times New Roman;sans-serif"/>
          <w:b w:val="false"/>
          <w:color w:val="000000"/>
          <w:sz w:val="20"/>
        </w:rPr>
        <w:t>Segment results are reported prior to the effects of intercompany reinsurance agreements among the Company’s insurance subsidiaries.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segment results:</w:t>
      </w:r>
    </w:p>
    <w:tbl>
      <w:tblPr>
        <w:tblW w:w="9557" w:type="dxa"/>
        <w:jc w:val="left"/>
        <w:tblInd w:w="0" w:type="dxa"/>
        <w:tblLayout w:type="fixed"/>
        <w:tblCellMar>
          <w:top w:w="28" w:type="dxa"/>
          <w:left w:w="28" w:type="dxa"/>
          <w:bottom w:w="28" w:type="dxa"/>
          <w:right w:w="28" w:type="dxa"/>
        </w:tblCellMar>
      </w:tblPr>
      <w:tblGrid>
        <w:gridCol w:w="1451"/>
        <w:gridCol w:w="1273"/>
        <w:gridCol w:w="1280"/>
        <w:gridCol w:w="211"/>
        <w:gridCol w:w="826"/>
        <w:gridCol w:w="109"/>
        <w:gridCol w:w="109"/>
        <w:gridCol w:w="109"/>
        <w:gridCol w:w="109"/>
        <w:gridCol w:w="211"/>
        <w:gridCol w:w="826"/>
        <w:gridCol w:w="109"/>
        <w:gridCol w:w="109"/>
        <w:gridCol w:w="109"/>
        <w:gridCol w:w="109"/>
        <w:gridCol w:w="109"/>
        <w:gridCol w:w="109"/>
        <w:gridCol w:w="253"/>
        <w:gridCol w:w="487"/>
        <w:gridCol w:w="131"/>
        <w:gridCol w:w="109"/>
        <w:gridCol w:w="109"/>
        <w:gridCol w:w="109"/>
        <w:gridCol w:w="211"/>
        <w:gridCol w:w="82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and</w:t>
              <w:br/>
              <w:t>Surplus</w:t>
              <w:br/>
              <w:t>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Specialty</w:t>
              <w:br/>
              <w:t>Admitted</w:t>
              <w:b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518"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of operating segments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operating segments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underwriting profit (loss) of the operating segments by individual segment to consolidated income from continuing operations before income taxes:</w:t>
      </w:r>
    </w:p>
    <w:tbl>
      <w:tblPr>
        <w:tblW w:w="8336" w:type="dxa"/>
        <w:jc w:val="left"/>
        <w:tblInd w:w="0" w:type="dxa"/>
        <w:tblLayout w:type="fixed"/>
        <w:tblCellMar>
          <w:top w:w="28" w:type="dxa"/>
          <w:left w:w="28" w:type="dxa"/>
          <w:bottom w:w="28" w:type="dxa"/>
          <w:right w:w="28" w:type="dxa"/>
        </w:tblCellMar>
      </w:tblPr>
      <w:tblGrid>
        <w:gridCol w:w="1848"/>
        <w:gridCol w:w="1622"/>
        <w:gridCol w:w="1630"/>
        <w:gridCol w:w="109"/>
        <w:gridCol w:w="109"/>
        <w:gridCol w:w="139"/>
        <w:gridCol w:w="139"/>
        <w:gridCol w:w="269"/>
        <w:gridCol w:w="919"/>
        <w:gridCol w:w="139"/>
        <w:gridCol w:w="109"/>
        <w:gridCol w:w="109"/>
        <w:gridCol w:w="109"/>
        <w:gridCol w:w="211"/>
        <w:gridCol w:w="721"/>
        <w:gridCol w:w="154"/>
      </w:tblGrid>
      <w:tr>
        <w:trPr/>
        <w:tc>
          <w:tcPr>
            <w:tcW w:w="1848"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the operating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underwriting profit of operating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10.    Other Operating Expenses and Other Expenses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consist of the following:</w:t>
      </w:r>
    </w:p>
    <w:tbl>
      <w:tblPr>
        <w:tblW w:w="8336" w:type="dxa"/>
        <w:jc w:val="left"/>
        <w:tblInd w:w="0" w:type="dxa"/>
        <w:tblLayout w:type="fixed"/>
        <w:tblCellMar>
          <w:top w:w="28" w:type="dxa"/>
          <w:left w:w="28" w:type="dxa"/>
          <w:bottom w:w="28" w:type="dxa"/>
          <w:right w:w="28" w:type="dxa"/>
        </w:tblCellMar>
      </w:tblPr>
      <w:tblGrid>
        <w:gridCol w:w="1847"/>
        <w:gridCol w:w="1622"/>
        <w:gridCol w:w="1631"/>
        <w:gridCol w:w="109"/>
        <w:gridCol w:w="109"/>
        <w:gridCol w:w="139"/>
        <w:gridCol w:w="139"/>
        <w:gridCol w:w="269"/>
        <w:gridCol w:w="919"/>
        <w:gridCol w:w="139"/>
        <w:gridCol w:w="109"/>
        <w:gridCol w:w="109"/>
        <w:gridCol w:w="109"/>
        <w:gridCol w:w="211"/>
        <w:gridCol w:w="721"/>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policy acquisition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expenses of the operating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ans-serif" w:hAnsi="Times New Roman;sans-serif"/>
          <w:b w:val="false"/>
          <w:color w:val="000000"/>
          <w:sz w:val="20"/>
        </w:rPr>
        <w:t>Other expenses of $732,000 and $603,000 for the three</w:t>
      </w:r>
      <w:r>
        <w:rPr>
          <w:color w:val="231F20"/>
        </w:rPr>
        <w:t xml:space="preserve"> </w:t>
      </w:r>
      <w:r>
        <w:rPr>
          <w:rFonts w:ascii="Times New Roman;sans-serif" w:hAnsi="Times New Roman;sans-serif"/>
          <w:b w:val="false"/>
          <w:color w:val="231F20"/>
          <w:sz w:val="20"/>
        </w:rPr>
        <w:t>months ended March 31, 2024 and 2023</w:t>
      </w:r>
      <w:r>
        <w:rPr>
          <w:rFonts w:ascii="Times New Roman;sans-serif" w:hAnsi="Times New Roman;sans-serif"/>
          <w:b w:val="false"/>
          <w:color w:val="000000"/>
          <w:sz w:val="20"/>
        </w:rPr>
        <w:t>, respectively, primarily consist of certain nonoperating expenses including legal and other professional fees and other expenses related to various strategic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11.    Senior Debt</w:t>
      </w:r>
    </w:p>
    <w:p>
      <w:pPr>
        <w:pStyle w:val="TextBody"/>
        <w:bidi w:val="0"/>
        <w:spacing w:lineRule="auto" w:line="288" w:before="0" w:after="120"/>
        <w:ind w:left="0" w:right="0" w:firstLine="405"/>
        <w:jc w:val="both"/>
        <w:rPr/>
      </w:pPr>
      <w:r>
        <w:rPr>
          <w:rFonts w:ascii="Times New Roman;sans-serif" w:hAnsi="Times New Roman;sans-serif"/>
          <w:b w:val="false"/>
          <w:color w:val="000000"/>
          <w:sz w:val="20"/>
        </w:rPr>
        <w:t xml:space="preserve">At </w:t>
      </w:r>
      <w:r>
        <w:rPr>
          <w:rFonts w:ascii="Times New Roman;sans-serif" w:hAnsi="Times New Roman;sans-serif"/>
          <w:b w:val="false"/>
          <w:color w:val="231F20"/>
          <w:sz w:val="20"/>
        </w:rPr>
        <w:t>March 31, 2024, t</w:t>
      </w:r>
      <w:r>
        <w:rPr>
          <w:rFonts w:ascii="Times New Roman;sans-serif" w:hAnsi="Times New Roman;sans-serif"/>
          <w:b w:val="false"/>
          <w:color w:val="000000"/>
          <w:sz w:val="20"/>
        </w:rPr>
        <w:t xml:space="preserve">he Company had a $315.0 million senior revolving credit facility (as amended or amended and restated, the "2013 Facility”). The 2013 Facility contains certain financial and other covenants (including minimum net worth, maximum ratio of total adjusted debt outstanding to total capitalization, and financial strength ratings) with which the Company was in compliance at </w:t>
      </w:r>
      <w:r>
        <w:rPr>
          <w:rFonts w:ascii="Times New Roman;sans-serif" w:hAnsi="Times New Roman;sans-serif"/>
          <w:b w:val="false"/>
          <w:color w:val="231F20"/>
          <w:sz w:val="20"/>
        </w:rPr>
        <w:t>March 31, 2024</w:t>
      </w:r>
      <w:r>
        <w:rPr>
          <w:rFonts w:ascii="Times New Roman;sans-serif" w:hAnsi="Times New Roman;sans-serif"/>
          <w:b w:val="false"/>
          <w:color w:val="000000"/>
          <w:sz w:val="20"/>
        </w:rPr>
        <w:t>, with the exception of a default of the financial strength rating covenant due to the downgrade of JRG Re by A.M. Best on December 20, 2023 from “A-” (Excellent) to “B++” (good). The financial strength rating covenant requires that each of the Company's regulated insurance subsidiaries maintain an A.M. Best rating not lower than “A-</w:t>
      </w:r>
      <w:r>
        <w:rPr>
          <w:color w:val="000000"/>
        </w:rPr>
        <w:t xml:space="preserve">” </w:t>
      </w:r>
      <w:r>
        <w:rPr>
          <w:rFonts w:ascii="Times New Roman;sans-serif" w:hAnsi="Times New Roman;sans-serif"/>
          <w:b w:val="false"/>
          <w:color w:val="000000"/>
          <w:sz w:val="20"/>
        </w:rPr>
        <w:t>(Excellent).</w:t>
      </w:r>
      <w:r>
        <w:rPr>
          <w:color w:val="000000"/>
        </w:rPr>
        <w:t xml:space="preserve"> </w:t>
      </w:r>
      <w:r>
        <w:rPr>
          <w:rFonts w:ascii="Times New Roman;sans-serif" w:hAnsi="Times New Roman;sans-serif"/>
          <w:b w:val="false"/>
          <w:color w:val="000000"/>
          <w:sz w:val="20"/>
        </w:rPr>
        <w:t>Our lenders waived this default through March 1, 2025, and it was cured upon the April 16, 2024 closing of the sale of JRG Re, at which time JRG Re was removed as a borrower under the 2013 Facility.</w:t>
      </w:r>
    </w:p>
    <w:p>
      <w:pPr>
        <w:pStyle w:val="TextBody"/>
        <w:bidi w:val="0"/>
        <w:spacing w:lineRule="auto" w:line="288" w:before="0" w:after="120"/>
        <w:ind w:left="0" w:right="0" w:firstLine="405"/>
        <w:jc w:val="both"/>
        <w:rPr/>
      </w:pPr>
      <w:r>
        <w:rPr>
          <w:rFonts w:ascii="Times New Roman;sans-serif" w:hAnsi="Times New Roman;sans-serif"/>
          <w:b w:val="false"/>
          <w:color w:val="000000"/>
          <w:sz w:val="20"/>
        </w:rPr>
        <w:t xml:space="preserve">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The 2017 Facility contains certain financial and other covenants with which we are in compliance at </w:t>
      </w:r>
      <w:r>
        <w:rPr>
          <w:rFonts w:ascii="Times New Roman;sans-serif" w:hAnsi="Times New Roman;sans-serif"/>
          <w:b w:val="false"/>
          <w:color w:val="231F20"/>
          <w:sz w:val="20"/>
        </w:rPr>
        <w:t>March 31, 2024</w:t>
      </w:r>
      <w:r>
        <w:rPr>
          <w:rFonts w:ascii="Times New Roman;sans-serif" w:hAnsi="Times New Roman;sans-serif"/>
          <w:b w:val="false"/>
          <w:color w:val="000000"/>
          <w:sz w:val="20"/>
        </w:rPr>
        <w:t>, with the exception of a default of the financial strength rating covenant due to the downgrade of JRG Re by A.M. Best on December 20, 2023 from “A-” (Excellent) to “B++” (good). The financial strength rating covenant requires that each of the Company's regulated insurance subsidiaries maintain an A.M. Best rating not lower than “A-” (Excellent). Our lender waived this default through March 1, 2025, and it was cured upon the April 16, 2024 closing of the sale of JRG Re, at which time JRG Re was removed as a borrower under the 2017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12.    Fair Value Measurements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in the principal or most advantageous market in an orderly transaction between market participants on the measurement date.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sans-serif" w:hAnsi="Times New Roman;sans-serif"/>
          <w:b w:val="false"/>
          <w:i/>
          <w:color w:val="000000"/>
          <w:sz w:val="20"/>
        </w:rPr>
        <w:t>e.g.</w:t>
      </w:r>
      <w:r>
        <w:rPr>
          <w:color w:val="000000"/>
        </w:rPr>
        <w:t xml:space="preserve"> </w:t>
      </w:r>
      <w:r>
        <w:rPr>
          <w:rFonts w:ascii="Times New Roman;sans-serif" w:hAnsi="Times New Roman;sans-serif"/>
          <w:b w:val="false"/>
          <w:color w:val="000000"/>
          <w:sz w:val="20"/>
        </w:rPr>
        <w:t>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2022.</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as of March 31, 2024 are summarized below:</w:t>
      </w:r>
    </w:p>
    <w:tbl>
      <w:tblPr>
        <w:tblW w:w="10205" w:type="dxa"/>
        <w:jc w:val="left"/>
        <w:tblInd w:w="0" w:type="dxa"/>
        <w:tblLayout w:type="fixed"/>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1,287,466 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173,046 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84,534 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as of December 31, 2023 are summarized below:</w:t>
      </w:r>
    </w:p>
    <w:tbl>
      <w:tblPr>
        <w:tblW w:w="10205" w:type="dxa"/>
        <w:jc w:val="left"/>
        <w:tblInd w:w="0" w:type="dxa"/>
        <w:tblLayout w:type="fixed"/>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available-for-sale fixed maturity securities, equity securities, and bank loan participations measured at fair value on a recurring basis using significant unobservable inputs (Level 3) is shown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tbl>
      <w:tblPr>
        <w:tblW w:w="6323" w:type="dxa"/>
        <w:jc w:val="center"/>
        <w:tblInd w:w="0" w:type="dxa"/>
        <w:tblLayout w:type="fixed"/>
        <w:tblCellMar>
          <w:top w:w="28" w:type="dxa"/>
          <w:left w:w="28" w:type="dxa"/>
          <w:bottom w:w="28" w:type="dxa"/>
          <w:right w:w="28" w:type="dxa"/>
        </w:tblCellMar>
      </w:tblPr>
      <w:tblGrid>
        <w:gridCol w:w="1289"/>
        <w:gridCol w:w="1130"/>
        <w:gridCol w:w="1136"/>
        <w:gridCol w:w="109"/>
        <w:gridCol w:w="109"/>
        <w:gridCol w:w="194"/>
        <w:gridCol w:w="194"/>
        <w:gridCol w:w="376"/>
        <w:gridCol w:w="644"/>
        <w:gridCol w:w="194"/>
        <w:gridCol w:w="109"/>
        <w:gridCol w:w="109"/>
        <w:gridCol w:w="109"/>
        <w:gridCol w:w="211"/>
        <w:gridCol w:w="256"/>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948"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48"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 of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in to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calls and paydowns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gains or losses (realized/unrealized):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held one equity security at December 31, 2023 and March 31, 2024 for which the fair value was determined using significant unobservable inputs (Level 3). The fair value of $17,000 at March 31, 2024 for the equity security was obtained from our asset manager and was derived from an internal model.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one equity security at December 31, 2022 and March 31, 2023 for which the fair value was determined using significant unobservable inputs (Level 3). The fair value of $7,000 at March 31, 2023 for the equity security was obtained from our asset manager and was derived from an internal model.</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during the three months ended March 31, 2024 or 2023. The Company recognizes transfers between levels at the beginning of the reporting period.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March 31, 2024 and December 31, 2023, there were no investments for which external sources were unavailable to determine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and fair values of financial instruments are summarized below:</w:t>
      </w:r>
    </w:p>
    <w:tbl>
      <w:tblPr>
        <w:tblW w:w="9840" w:type="dxa"/>
        <w:jc w:val="left"/>
        <w:tblInd w:w="0" w:type="dxa"/>
        <w:tblLayout w:type="fixed"/>
        <w:tblCellMar>
          <w:top w:w="28" w:type="dxa"/>
          <w:left w:w="28" w:type="dxa"/>
          <w:bottom w:w="28" w:type="dxa"/>
          <w:right w:w="28" w:type="dxa"/>
        </w:tblCellMar>
      </w:tblPr>
      <w:tblGrid>
        <w:gridCol w:w="1310"/>
        <w:gridCol w:w="1154"/>
        <w:gridCol w:w="116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 – notes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other invested assets-notes receivable, senior debt, and junior subordinated debt at March 31, 2024 and December 31, 2023 were determined by calculating the present value of expected future cash flows under the terms of the note agreements or debt agreements, as applicable, discounted at an estimated market rate of interest at March 31, 2024 and December 31, 2023, respectively. The Company also utilized an internally developed valuation model based on the spread of a comparable market index to determine the fair value of certain other invested assets-notes receivable at March 31, 2024 and December 31,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senior debt and junior subordinated debt at March 31, 2024 and December 31, 2023 were determined using inputs to the valuation methodology that are unobservable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13.    Series A Preferred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2022, the Company entered into an Investment Agreement with GPC Partners Investments (Thames) LP (“GPC Partners”), an affiliate of Gallatin Point Capital LLC, relating to the issuance and sale of 150,000 7% Series A Perpetual Cumulative Convertible Preferred Shares, par value $0.00125 per share (the “Series A Preferred Shares”), for an aggregate purchase price of $150.0 million, or $1,000 per share, in a private placement. The transaction closed on March 1, 2022 (the “Series A Closing Date”).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rank senior to our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shares immediately before such liquidation, dissolution or winding up.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Series A Preferred Shares are entitled to a dividend at the initial rate of 7% of the Liquidation Preference per annum, paid in cash, in-kind in common shares or in Series A Preferred Shares, at the Company's election. On the five-year anniversary of the Series A Closing Date, and each five-year anniversary thereafter, the dividend rate will reset to a rate equal to the five-year U.S. treasury rate plus 5.2%. Dividends accrue and are payable quarterly. Cash dividends of $2.6 million for the fourth quarter of 2023 were paid on January 2, 2024. Cash dividends of $2.6 million for the first quarter of 2024 were paid on April 1, 2024. In the first quarter of 2023, cash dividends of $5.3 million were paid for the three month periods ended December 31, 2022 and March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are convertible at the option of the holders thereof at any time into common shares at an initial conversion price of $26.5950, making the Series A Preferred Shares convertible into 5,640,158 common shares. The conversion price is subject to customary anti-dilution adjustments, including cash dividends on the common shares above specified levels, as well as certain adjustments in case of net adverse reserve developments in excess of a threshold over a period of time. The measurement period for the adverse reserve development anti-dilution adjustment commenced with the quarter beginning January 1, 2022 and ends with the quarter ending December 31, 2025. As of March 31, 2024, net adverse reserve development exceeded the threshold. If net adverse reserve development exceeds the threshold at the conclusion of the measurement period (or upon a mandatory or optional conversion, if earlier), the conversion price will be adjusted pursuant to the Certificate of Designations, subject to a floor conversion price of $21.902, and the adjusted conversion price will become effective after the filing of the Company's financial statements for the period ending December 31, 2025 (or immediately after the close of business on the date of the public filing of the Company's financial statements for the most recent quarterly period preceding a mandatory or optional conversion, if earlier). None of the other triggers that would result in additional adjustments to the conversion price have been met at March 31,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Certificate of Designations setting forth the terms of the Series A Preferred Shares limits the Company's ability to pay dividends to its common shareholders. If the Company pays cash dividends of more than $0.05 per common share per quarter, without the consent of at least the majority of the Series A Preferred Shares then outstanding, the Company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and direct Bermuda-based insurance subsidiary satisfy certain capital requirements. Share dividends payable on the common shares to the Company's shareholders also trigger a reduction of the conversion price applicable to the Series A Preferred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on or after the two year anniversary of the Series A Closing Date, if the volume-weighted average price (“VWAP”) per common share is greater than 130% of the then-applicable conversion price for at least twenty consecutive trading days, the Company will be able to elect to convert (a “Mandatory Conversion”) all of the outstanding Series A Preferred Shares into common shares. In the case of a Mandatory Conversion, each Series A Preferred Share then outstanding will be converted into (i) the number of common shares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any Mandatory Conversion on or before the five-year anniversary of the Series A Closing Date, all dividends that would have accrued from the date of the Mandatory Conversion to the later of the five-year anniversary of the Series A Closing Date or the last day of the eighth quarter following the date of the Mandatory Conversion, the last eight quarters of which will be discounted to present value using a discount rate of 3.5% per annum, and will be immediately payable in common shares, valued at the average of the daily VWAP of the Company’s common shares during the five (5) trading days immediately preceding the Mandatory Conversion.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Series A Preferred Shares may require the Company to repurchase their shares upon the occurrence of certain change of control events. Upon the occurrence of a Fundamental Change (as defined in the Certificate of Designations designating the Series A Preferred Shares), each holder of outstanding Series A Preferred Shares will be permitted to, at its election, (i) effective as of immediately prior to the Fundamental Change, convert all or a portion of its Series A Preferred Shares into common shares, or (ii) require the Company to repurchase any or all of such holder’s Series A Preferred Shares at a purchase price per Series A Preferred Share equal to the Liquidation Preference of such Series A Preferred Share plus accrued and unpaid dividends plus, if the Fundamental Change repurchase occurs prior to the five-year anniversary of the Series A Closing Date, all dividends that would have accrued up to such five-year anniversary, but that have not been paid. The repurchase price will be payable in cash.</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may be required to repurchase all or a portion of the Series A Preferred Shares at the option of the holder upon the occurrence of certain change of control events, the Series A Preferred Shares have been classified as mezzanine equity in the Company's condensed consolidated balance sheets and are recognized at fair value of $150.0 million (the proceeds on the date of issuance) less issuance costs of $5.1 million, resulting in a carrying value of $144.9 million.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Investment Agreement, GPC Partners has the right to designate one member of the Board (the “Series A Designee”). GPC Partners has designated Matthew Botein as the Series A Designee and, accordingly, the Board approved the appointment of Mr. Botein to serve as a Class I director with a term expiring at the 2024 annual meeting of the Company’s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14.    Capital Stock and Equity Awards</w:t>
      </w:r>
    </w:p>
    <w:p>
      <w:pPr>
        <w:pStyle w:val="TextBody"/>
        <w:bidi w:val="0"/>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Common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common shares outstanding increased from 37,641,563 at December 31, 2023 to 37,822,340 at March 31, 2024, reflecting 180,777 common shares issued in the three months ended March 31, 2024 related to vesting of RSUs.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declared the following dividends on common shares during the first three months of 2024 and 2023:</w:t>
      </w:r>
    </w:p>
    <w:tbl>
      <w:tblPr>
        <w:tblW w:w="10205" w:type="dxa"/>
        <w:jc w:val="left"/>
        <w:tblInd w:w="0" w:type="dxa"/>
        <w:tblLayout w:type="fixed"/>
        <w:tblCellMar>
          <w:top w:w="28" w:type="dxa"/>
          <w:left w:w="28" w:type="dxa"/>
          <w:bottom w:w="28" w:type="dxa"/>
          <w:right w:w="28" w:type="dxa"/>
        </w:tblCellMar>
      </w:tblPr>
      <w:tblGrid>
        <w:gridCol w:w="554"/>
        <w:gridCol w:w="487"/>
        <w:gridCol w:w="490"/>
        <w:gridCol w:w="109"/>
        <w:gridCol w:w="109"/>
        <w:gridCol w:w="109"/>
        <w:gridCol w:w="530"/>
        <w:gridCol w:w="1283"/>
        <w:gridCol w:w="273"/>
        <w:gridCol w:w="109"/>
        <w:gridCol w:w="109"/>
        <w:gridCol w:w="109"/>
        <w:gridCol w:w="884"/>
        <w:gridCol w:w="884"/>
        <w:gridCol w:w="887"/>
        <w:gridCol w:w="109"/>
        <w:gridCol w:w="109"/>
        <w:gridCol w:w="109"/>
        <w:gridCol w:w="426"/>
        <w:gridCol w:w="426"/>
        <w:gridCol w:w="428"/>
        <w:gridCol w:w="109"/>
        <w:gridCol w:w="109"/>
        <w:gridCol w:w="109"/>
        <w:gridCol w:w="211"/>
        <w:gridCol w:w="976"/>
        <w:gridCol w:w="158"/>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Date of Declaration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Payable to Shareholders of Record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Amount</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1,940,410 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1,921,802 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the total dividends for the three months ended March 31, 2024 and 2023 are $49,000 and $41,000, respectively, of dividend equivalents on unvested RSUs. The balance of dividends payable on unvested RSUs was $186,000 at March 31, 2024 and $255,000 at December 31, 2023.</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Employees are eligible to receive non-qualified stock options, incentive stock options, share appreciation rights, performance shares, restricted shares, RSUs, and other awards under the 2014 LTIP. The maximum number of shares available for issuance under the 2014 LTIP is 4,982,650, and at March 31, 2024, 1,133,286 shares are available for grant.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26, 2022, the Board of Directors of the Company approved a new long-term incentive plan (the “LTI Plan”) under the 2014 LTIP. The LTI Plan is designed to align compensation of designated senior officers of the Company with Company performance and shareholder interests over the long-term. Awards under the LTI Plan are made in the form of performance restricted share units (a “PRSU”) and service based restricted share units (RSUs).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PRSU represents a contingent right to receive one Company common share based upon the level of achievement of certain performance metrics during the performance period, with payout for achievement of threshold, target and maximum performance levels to be set at 50%, 100% and 200% of the target number of PRSUs, respectively. The PRSUs awarded in the first quarter of 2023 have a performance period of January 1, 2023 through December 31, 2025. The PRSUs awarded in the first quarter of 2024 have a performance period of January 1, 2024 through December 31, 2026.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150,000, and at March 31, 2024, 31,285 shares are available for grant.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Options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 activity:</w:t>
      </w:r>
    </w:p>
    <w:tbl>
      <w:tblPr>
        <w:tblW w:w="7220" w:type="dxa"/>
        <w:jc w:val="left"/>
        <w:tblInd w:w="0" w:type="dxa"/>
        <w:tblLayout w:type="fixed"/>
        <w:tblCellMar>
          <w:top w:w="28" w:type="dxa"/>
          <w:left w:w="28" w:type="dxa"/>
          <w:bottom w:w="28" w:type="dxa"/>
          <w:right w:w="28" w:type="dxa"/>
        </w:tblCellMar>
      </w:tblPr>
      <w:tblGrid>
        <w:gridCol w:w="809"/>
        <w:gridCol w:w="711"/>
        <w:gridCol w:w="715"/>
        <w:gridCol w:w="396"/>
        <w:gridCol w:w="399"/>
        <w:gridCol w:w="196"/>
        <w:gridCol w:w="109"/>
        <w:gridCol w:w="109"/>
        <w:gridCol w:w="109"/>
        <w:gridCol w:w="211"/>
        <w:gridCol w:w="616"/>
        <w:gridCol w:w="109"/>
        <w:gridCol w:w="109"/>
        <w:gridCol w:w="109"/>
        <w:gridCol w:w="109"/>
        <w:gridCol w:w="449"/>
        <w:gridCol w:w="451"/>
        <w:gridCol w:w="196"/>
        <w:gridCol w:w="109"/>
        <w:gridCol w:w="109"/>
        <w:gridCol w:w="109"/>
        <w:gridCol w:w="211"/>
        <w:gridCol w:w="61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end of period</w:t>
            </w:r>
          </w:p>
        </w:tc>
        <w:tc>
          <w:tcPr>
            <w:tcW w:w="79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78,320 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options outstanding at December 31, 2023 lapsed in the three months ended March 31, 2024. At March 31, 2024, no options remain outstanding.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w:t>
      </w:r>
    </w:p>
    <w:tbl>
      <w:tblPr>
        <w:tblW w:w="7702" w:type="dxa"/>
        <w:jc w:val="left"/>
        <w:tblInd w:w="0" w:type="dxa"/>
        <w:tblLayout w:type="fixed"/>
        <w:tblCellMar>
          <w:top w:w="28" w:type="dxa"/>
          <w:left w:w="28" w:type="dxa"/>
          <w:bottom w:w="28" w:type="dxa"/>
          <w:right w:w="28" w:type="dxa"/>
        </w:tblCellMar>
      </w:tblPr>
      <w:tblGrid>
        <w:gridCol w:w="939"/>
        <w:gridCol w:w="825"/>
        <w:gridCol w:w="830"/>
        <w:gridCol w:w="449"/>
        <w:gridCol w:w="451"/>
        <w:gridCol w:w="196"/>
        <w:gridCol w:w="109"/>
        <w:gridCol w:w="109"/>
        <w:gridCol w:w="109"/>
        <w:gridCol w:w="213"/>
        <w:gridCol w:w="622"/>
        <w:gridCol w:w="110"/>
        <w:gridCol w:w="109"/>
        <w:gridCol w:w="109"/>
        <w:gridCol w:w="109"/>
        <w:gridCol w:w="449"/>
        <w:gridCol w:w="451"/>
        <w:gridCol w:w="196"/>
        <w:gridCol w:w="109"/>
        <w:gridCol w:w="109"/>
        <w:gridCol w:w="109"/>
        <w:gridCol w:w="213"/>
        <w:gridCol w:w="622"/>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period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(212,128)</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period</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985,864 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812,521 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RSUs granted to employees generally vest ratably over a three year vesting period in the case of time-vest RSUs and cliff vest at the end of a three-year performance period in the case of PRSUs. RSUs granted to non-employee directors generally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 The RSUs granted in 2024 and 2023 include 231,492 and 91,818 PRSU awards, respectively. The number of PRSUs is based upon the probable outcome of performance conditions.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Compensation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 is recognized on a straight-line basis over the vesting period. The amount of expense and related tax benefit is summarized below:</w:t>
      </w:r>
    </w:p>
    <w:tbl>
      <w:tblPr>
        <w:tblW w:w="7613" w:type="dxa"/>
        <w:jc w:val="left"/>
        <w:tblInd w:w="0" w:type="dxa"/>
        <w:tblLayout w:type="fixed"/>
        <w:tblCellMar>
          <w:top w:w="28" w:type="dxa"/>
          <w:left w:w="28" w:type="dxa"/>
          <w:bottom w:w="28" w:type="dxa"/>
          <w:right w:w="28" w:type="dxa"/>
        </w:tblCellMar>
      </w:tblPr>
      <w:tblGrid>
        <w:gridCol w:w="1625"/>
        <w:gridCol w:w="1426"/>
        <w:gridCol w:w="1433"/>
        <w:gridCol w:w="109"/>
        <w:gridCol w:w="109"/>
        <w:gridCol w:w="151"/>
        <w:gridCol w:w="151"/>
        <w:gridCol w:w="293"/>
        <w:gridCol w:w="857"/>
        <w:gridCol w:w="151"/>
        <w:gridCol w:w="109"/>
        <w:gridCol w:w="109"/>
        <w:gridCol w:w="109"/>
        <w:gridCol w:w="211"/>
        <w:gridCol w:w="61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tax benefit on share 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Company had $12.4 million of unrecognized share based compensation expense expected to be charged to earnings over a weighted-average period of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2024, the Board of Directors declared a cash dividend of $0.05 per common share. The dividend is payable on June 28, 2024 to shareholders of record on June 10,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2024, the Board of Directors declared a dividend in the aggregate amount of $2.6 million on the Series A Preferred Shares. The dividend will be payable in cash on July 1, 2024 to shareholders of record on June 15,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sale of JRG Re closed on April 16, 2024. Pursuant to the terms of the Stock Purchase Agreement, the aggregate purchase price received by the Company, after giving effect to estimated adjustments based on changes in JRG Re’s adjusted net worth between March 31, 2023 and the closing, totaled approximately $291.4 million. The aggregate purchase price was comprised of (i) $152.4 million paid in cash by the Buyer and (ii) an aggregate $139 million dividend and distribution from contributed surplus by JRG Re to the Company. In accordance with the Stock Purchase Agreement, the cash portion of the purchase price was calculated based on an estimated balance sheet of JRG Re as of the date of closing. The estimated balance sheet is subject to final post-closing adjustments, which could result in adjustments to the purchase price.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16, 2024, the 2013 Facility was amended in connection with the closing of the sale of JRG Re by the Company to (i) release JRG Re as a borrower and release all collateral pledged by JRG Re thereunder, and (ii) decrease the secured revolving facility commitment to $45 million.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16, 2024, the 2017 Facility was amended in connection with the closing of the sale of JRG Re by the Company to (i) release JRG Re as a borrower and release all collateral pledged by JRG Re thereunder, (ii) increase the applicable interest rates, (iii) eliminate the letter of credit portion of the facility, and (iv) to build in an automatic decrease of the facility amount by the amount of each letter of credit outstanding under the 2017 Facility as of the date of the amendment with effect from the date each such letter of credit is cancelled.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76"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Part II, Item 1A “Risk Factors” in this Quarterly Report on Form 10-Q, and Part I, Item 1A “Risk Factors” in our Annual Report on Form 10-K for the year ended December 31, 2023. The results of operations for the three months ended March 31, 2024 are not necessarily indicative of the results that may be expected for the full year ending December 31, 2024, or for any other future period. The following discussion should be read in conjunction with the unaudited condensed consolidated financial statements and the notes thereto included in Part I, Item 1 of this Quarterly Report on Form 10-Q, and in conjunction with our Annual Report on Form 10-K for the year ended December 31,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is a Bermuda-based holding company. We own and operate a group of specialty insurance companies with the objective of generating compelling returns on tangible equity while limiting underwriting and investment volatility. We seek to accomplish this by earning profits from insurance underwriting and generating meaningful risk-adjusted investment returns while managing our capital.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report our continuing operations in three reportable segments: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Specialty Admitted Insurance segment focuses on niche classes within the standard insurance markets with a primary focus on fronting business, where we retain a minority share of the risk and seek to earn fee income by allowing other carriers and producers to use our licensure, ratings, expertise and infrastructure. Through Falls Lake National and its subsidiaries, this segment has admitted licenses and the authority to write excess and surplus lines insurance in 50 states and the District of Columbia and distributes through a variety of sources, including program administrators and managing general agents;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Corporate and Other segment consists of the management and treasury activities of our holding companies, interest expense associated with our debt, and expenses of our holding companies, including public company expenses and equity compensation for the group, that are not reimbursed by our insurance segments.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discontinued operations include JRG Re, which comprised the remaining operations of the former Casualty Reinsurance segment, and which, prior to the suspension of its underwriting activities in 2023, provided proportional and working layer casualty reinsurance to third parties. On November 8, 2023, the Company entered into a definitive agreement to sell JRG Re. The sale transaction closed on April 16,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group’s regulated U.S. insurance subsidiaries have a financial strength rating of “A-” (Excellent) from A.M. Best Company.</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Key Metrics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certain key metrics, described below, which we believe provide useful information about our business and the operational factors underlying our financial performance.</w:t>
      </w:r>
    </w:p>
    <w:p>
      <w:pPr>
        <w:pStyle w:val="TextBody"/>
        <w:bidi w:val="0"/>
        <w:spacing w:lineRule="auto" w:line="288" w:before="0" w:after="120"/>
        <w:jc w:val="both"/>
        <w:rPr/>
      </w:pPr>
      <w:r>
        <w:rPr>
          <w:rFonts w:ascii="Times New Roman;sans-serif" w:hAnsi="Times New Roman;sans-serif"/>
          <w:b w:val="false"/>
          <w:i/>
          <w:color w:val="000000"/>
          <w:sz w:val="20"/>
        </w:rPr>
        <w:t>Underwriting profit</w:t>
      </w:r>
      <w:r>
        <w:rPr>
          <w:color w:val="000000"/>
        </w:rPr>
        <w:t xml:space="preserve"> </w:t>
      </w:r>
      <w:r>
        <w:rPr>
          <w:rFonts w:ascii="Times New Roman;sans-serif" w:hAnsi="Times New Roman;sans-serif"/>
          <w:b w:val="false"/>
          <w:color w:val="000000"/>
          <w:sz w:val="20"/>
        </w:rPr>
        <w:t xml:space="preserve">is a non-GAAP measure commonly used in the property and casualty insurance industry to evaluate underwriting performance. 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We define underwriting profit as net earned premiums and gross fee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pPr>
      <w:r>
        <w:rPr>
          <w:rFonts w:ascii="Times New Roman;sans-serif" w:hAnsi="Times New Roman;sans-serif"/>
          <w:b w:val="false"/>
          <w:color w:val="000000"/>
          <w:sz w:val="20"/>
        </w:rPr>
        <w:t xml:space="preserve">(in specific instances when the Company is not retaining insurance risk) less losses and loss adjustment expenses on business from continuing operations not subject to retroactive reinsurance accounting for a loss portfolio transfer (see </w:t>
      </w:r>
      <w:r>
        <w:rPr>
          <w:rFonts w:ascii="Times New Roman;sans-serif" w:hAnsi="Times New Roman;sans-serif"/>
          <w:b w:val="false"/>
          <w:i/>
          <w:color w:val="000000"/>
          <w:sz w:val="20"/>
        </w:rPr>
        <w:t xml:space="preserve">Loss Portfolio Transfer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i/>
          <w:color w:val="000000"/>
          <w:sz w:val="20"/>
        </w:rPr>
        <w:t xml:space="preserve">Strategic Actions </w:t>
      </w:r>
      <w:r>
        <w:rPr>
          <w:rFonts w:ascii="Times New Roman;sans-serif" w:hAnsi="Times New Roman;sans-serif"/>
          <w:b w:val="false"/>
          <w:color w:val="000000"/>
          <w:sz w:val="20"/>
        </w:rPr>
        <w:t>below)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from continuing operations before taxes and for additional information.</w:t>
      </w:r>
    </w:p>
    <w:p>
      <w:pPr>
        <w:pStyle w:val="TextBody"/>
        <w:bidi w:val="0"/>
        <w:spacing w:lineRule="auto" w:line="288" w:before="0" w:after="120"/>
        <w:jc w:val="both"/>
        <w:rPr/>
      </w:pPr>
      <w:r>
        <w:rPr>
          <w:rFonts w:ascii="Times New Roman;sans-serif" w:hAnsi="Times New Roman;sans-serif"/>
          <w:b w:val="false"/>
          <w:i/>
          <w:color w:val="000000"/>
          <w:sz w:val="20"/>
        </w:rPr>
        <w:t>Loss ratio</w:t>
      </w:r>
      <w:r>
        <w:rPr>
          <w:rFonts w:ascii="Times New Roman;sans-serif" w:hAnsi="Times New Roman;sans-serif"/>
          <w:b w:val="false"/>
          <w:color w:val="000000"/>
          <w:sz w:val="20"/>
        </w:rPr>
        <w:t>, expressed as a percentage, is the ratio of losses and loss adjustment expenses on business from continuing operations not subject to retroactive reinsurance accounting for a loss portfolio transfer to net earned premiums. Our definition of loss ratio may not be comparable to that of other companies. See “Underwriting Performance Ratios” for a reconciliation of underwriting ratios.</w:t>
      </w:r>
    </w:p>
    <w:p>
      <w:pPr>
        <w:pStyle w:val="TextBody"/>
        <w:bidi w:val="0"/>
        <w:spacing w:lineRule="auto" w:line="288" w:before="0" w:after="120"/>
        <w:jc w:val="both"/>
        <w:rPr/>
      </w:pPr>
      <w:r>
        <w:rPr>
          <w:rFonts w:ascii="Times New Roman;sans-serif" w:hAnsi="Times New Roman;sans-serif"/>
          <w:b w:val="false"/>
          <w:i/>
          <w:color w:val="000000"/>
          <w:sz w:val="20"/>
        </w:rPr>
        <w:t>Accident year loss ratio</w:t>
      </w:r>
      <w:r>
        <w:rPr>
          <w:rFonts w:ascii="Times New Roman;sans-serif" w:hAnsi="Times New Roman;sans-serif"/>
          <w:b w:val="false"/>
          <w:color w:val="000000"/>
          <w:sz w:val="20"/>
        </w:rPr>
        <w:t>, expressed as a percentage, is the ratio of losses and loss adjustment expenses for the current accident year (excluding development on prior accident year reserves) to net earned premiums for the current year (excluding net earned premium adjustments on certain reinsurance treaties with reinstatement premiums associated with prior years).</w:t>
      </w:r>
    </w:p>
    <w:p>
      <w:pPr>
        <w:pStyle w:val="TextBody"/>
        <w:bidi w:val="0"/>
        <w:spacing w:lineRule="auto" w:line="288" w:before="0" w:after="120"/>
        <w:jc w:val="both"/>
        <w:rPr/>
      </w:pPr>
      <w:r>
        <w:rPr>
          <w:rFonts w:ascii="Times New Roman;sans-serif" w:hAnsi="Times New Roman;sans-serif"/>
          <w:b w:val="false"/>
          <w:i/>
          <w:color w:val="000000"/>
          <w:sz w:val="20"/>
        </w:rPr>
        <w:t>Expense ratio</w:t>
      </w:r>
      <w:r>
        <w:rPr>
          <w:rFonts w:ascii="Times New Roman;sans-serif" w:hAnsi="Times New Roman;sans-serif"/>
          <w:b w:val="false"/>
          <w:color w:val="000000"/>
          <w:sz w:val="20"/>
        </w:rPr>
        <w:t>, expressed as a percentage, is the ratio of other operating expenses net of gross fee income included in other income to net earned premiums.</w:t>
      </w:r>
    </w:p>
    <w:p>
      <w:pPr>
        <w:pStyle w:val="TextBody"/>
        <w:bidi w:val="0"/>
        <w:spacing w:lineRule="auto" w:line="288" w:before="0" w:after="120"/>
        <w:jc w:val="both"/>
        <w:rPr/>
      </w:pPr>
      <w:r>
        <w:rPr>
          <w:rFonts w:ascii="Times New Roman;sans-serif" w:hAnsi="Times New Roman;sans-serif"/>
          <w:b w:val="false"/>
          <w:i/>
          <w:color w:val="000000"/>
          <w:sz w:val="20"/>
        </w:rPr>
        <w:t>Combined ratio</w:t>
      </w:r>
      <w:r>
        <w:rPr>
          <w:color w:val="000000"/>
        </w:rPr>
        <w:t xml:space="preserve"> </w:t>
      </w:r>
      <w:r>
        <w:rPr>
          <w:rFonts w:ascii="Times New Roman;sans-serif" w:hAnsi="Times New Roman;sans-serif"/>
          <w:b w:val="false"/>
          <w:color w:val="000000"/>
          <w:sz w:val="20"/>
        </w:rPr>
        <w:t>is a measure of underwriting performance calculated as the sum of the loss ratio and the expense ratio. A combined ratio of less than 100% 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pStyle w:val="TextBody"/>
        <w:bidi w:val="0"/>
        <w:spacing w:lineRule="auto" w:line="288" w:before="0" w:after="120"/>
        <w:jc w:val="both"/>
        <w:rPr/>
      </w:pPr>
      <w:r>
        <w:rPr>
          <w:rFonts w:ascii="Times New Roman;sans-serif" w:hAnsi="Times New Roman;sans-serif"/>
          <w:b w:val="false"/>
          <w:i/>
          <w:color w:val="000000"/>
          <w:sz w:val="20"/>
        </w:rPr>
        <w:t>Adjusted net operating income</w:t>
      </w:r>
      <w:r>
        <w:rPr>
          <w:color w:val="000000"/>
        </w:rPr>
        <w:t xml:space="preserve"> </w:t>
      </w:r>
      <w:r>
        <w:rPr>
          <w:rFonts w:ascii="Times New Roman;sans-serif" w:hAnsi="Times New Roman;sans-serif"/>
          <w:b w:val="false"/>
          <w:color w:val="000000"/>
          <w:sz w:val="20"/>
        </w:rPr>
        <w:t>is an internal performance measure used in the management of our operations. We believe it gives our management and other users of our financial information useful insight into our results of operations and our underlying business performance. Adjusted net operating income is defined as income available to common shareholders excluding a) income (loss) from discontinued operations b) the impact of retroactive reinsurance accounting for a loss portfolio transfer, c) net realized and unrealized gains (losses) on investments, d) certain non-operating expenses such as professional service fees related to a class action lawsuit, various strategic initiatives, and the filing of registration statements for the offering of securities, and e) severance costs associated with terminated employees. Adjusted net operating income is a non-GAAP measure and should not be viewed as a substitute for net income calculated in accordance with GAAP. Our definition of adjusted net operating income may not be comparable to that of other companies. See “Reconciliation of Non-GAAP Measures” for a reconciliation of income available to common shareholders to adjusted net operating income.</w:t>
      </w:r>
    </w:p>
    <w:p>
      <w:pPr>
        <w:pStyle w:val="TextBody"/>
        <w:bidi w:val="0"/>
        <w:spacing w:lineRule="auto" w:line="288" w:before="0" w:after="120"/>
        <w:jc w:val="both"/>
        <w:rPr/>
      </w:pPr>
      <w:r>
        <w:rPr>
          <w:rFonts w:ascii="Times New Roman;sans-serif" w:hAnsi="Times New Roman;sans-serif"/>
          <w:b w:val="false"/>
          <w:i/>
          <w:color w:val="000000"/>
          <w:sz w:val="20"/>
        </w:rPr>
        <w:t>Tangible equity</w:t>
      </w:r>
      <w:r>
        <w:rPr>
          <w:color w:val="000000"/>
        </w:rPr>
        <w:t xml:space="preserve"> </w:t>
      </w:r>
      <w:r>
        <w:rPr>
          <w:rFonts w:ascii="Times New Roman;sans-serif" w:hAnsi="Times New Roman;sans-serif"/>
          <w:b w:val="false"/>
          <w:color w:val="000000"/>
          <w:sz w:val="20"/>
        </w:rPr>
        <w:t>is defined as shareholders' equity plus mezzanine Series A Preferred Shares (as defined below) and the unrecognized deferred retroactive reinsurance gain on loss portfolio transfers less goodwill and intangible assets, net of amortization. We believe tangible equity is a good measure to evaluate the strength of our balance sheet and to compare returns relative to this measure. Key financial measures that we use to assess our longer term financial performance include the percentage growth in our tangible equity per share and our return on tangible equity.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pStyle w:val="TextBody"/>
        <w:bidi w:val="0"/>
        <w:spacing w:lineRule="auto" w:line="288" w:before="0" w:after="120"/>
        <w:jc w:val="both"/>
        <w:rPr/>
      </w:pPr>
      <w:r>
        <w:rPr>
          <w:rFonts w:ascii="Times New Roman;sans-serif" w:hAnsi="Times New Roman;sans-serif"/>
          <w:b w:val="false"/>
          <w:i/>
          <w:color w:val="000000"/>
          <w:sz w:val="20"/>
        </w:rPr>
        <w:t>Adjusted net operating return on tangible equity</w:t>
      </w:r>
      <w:r>
        <w:rPr>
          <w:color w:val="000000"/>
        </w:rPr>
        <w:t xml:space="preserve"> </w:t>
      </w:r>
      <w:r>
        <w:rPr>
          <w:rFonts w:ascii="Times New Roman;sans-serif" w:hAnsi="Times New Roman;sans-serif"/>
          <w:b w:val="false"/>
          <w:color w:val="000000"/>
          <w:sz w:val="20"/>
        </w:rPr>
        <w:t>is defined as annualized adjusted net operating income expressed as a percentage of the average quarterly tangible equity balances in the respective period.</w:t>
      </w:r>
    </w:p>
    <w:p>
      <w:pPr>
        <w:pStyle w:val="TextBody"/>
        <w:bidi w:val="0"/>
        <w:spacing w:lineRule="auto" w:line="288" w:before="0" w:after="120"/>
        <w:jc w:val="both"/>
        <w:rPr/>
      </w:pPr>
      <w:r>
        <w:rPr>
          <w:rFonts w:ascii="Times New Roman;sans-serif" w:hAnsi="Times New Roman;sans-serif"/>
          <w:b w:val="false"/>
          <w:i/>
          <w:color w:val="000000"/>
          <w:sz w:val="20"/>
        </w:rPr>
        <w:t>Tangible equity per share</w:t>
      </w:r>
      <w:r>
        <w:rPr>
          <w:color w:val="000000"/>
        </w:rPr>
        <w:t xml:space="preserve"> </w:t>
      </w:r>
      <w:r>
        <w:rPr>
          <w:rFonts w:ascii="Times New Roman;sans-serif" w:hAnsi="Times New Roman;sans-serif"/>
          <w:b w:val="false"/>
          <w:color w:val="000000"/>
          <w:sz w:val="20"/>
        </w:rPr>
        <w:t>represents tangible equity divided by the sum of total common shares outstanding plus the common shares resulting from an assumed conversion of the outstanding Series A Preferred Shares into common shares (at the current conversion price).</w:t>
      </w:r>
    </w:p>
    <w:p>
      <w:pPr>
        <w:pStyle w:val="TextBody"/>
        <w:bidi w:val="0"/>
        <w:spacing w:lineRule="auto" w:line="288" w:before="0" w:after="120"/>
        <w:jc w:val="both"/>
        <w:rPr/>
      </w:pPr>
      <w:r>
        <w:rPr>
          <w:rFonts w:ascii="Times New Roman;sans-serif" w:hAnsi="Times New Roman;sans-serif"/>
          <w:b w:val="false"/>
          <w:i/>
          <w:color w:val="000000"/>
          <w:sz w:val="20"/>
        </w:rPr>
        <w:t>Net retention</w:t>
      </w:r>
      <w:r>
        <w:rPr>
          <w:color w:val="000000"/>
        </w:rPr>
        <w:t xml:space="preserve"> </w:t>
      </w:r>
      <w:r>
        <w:rPr>
          <w:rFonts w:ascii="Times New Roman;sans-serif" w:hAnsi="Times New Roman;sans-serif"/>
          <w:b w:val="false"/>
          <w:color w:val="000000"/>
          <w:sz w:val="20"/>
        </w:rPr>
        <w:t>is defined as the ratio of net written premiums to gross written premiums.</w:t>
      </w:r>
    </w:p>
    <w:p>
      <w:pPr>
        <w:pStyle w:val="TextBody"/>
        <w:bidi w:val="0"/>
        <w:spacing w:lineRule="auto" w:line="288" w:before="0" w:after="120"/>
        <w:jc w:val="both"/>
        <w:rPr/>
      </w:pPr>
      <w:r>
        <w:rPr>
          <w:rFonts w:ascii="Times New Roman;sans-serif" w:hAnsi="Times New Roman;sans-serif"/>
          <w:b w:val="false"/>
          <w:i/>
          <w:color w:val="000000"/>
          <w:sz w:val="20"/>
        </w:rPr>
        <w:t>Gross investment yield</w:t>
      </w:r>
      <w:r>
        <w:rPr>
          <w:color w:val="000000"/>
        </w:rPr>
        <w:t xml:space="preserve"> </w:t>
      </w:r>
      <w:r>
        <w:rPr>
          <w:rFonts w:ascii="Times New Roman;sans-serif" w:hAnsi="Times New Roman;sans-serif"/>
          <w:b w:val="false"/>
          <w:color w:val="000000"/>
          <w:sz w:val="20"/>
        </w:rPr>
        <w:t>is annualized investment income before any deductions for fees and expenses, expressed as a percentage of the average beginning and ending carrying values of those investments during the period.</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Unless specified otherwise, all references to our defined metrics above in this </w:t>
      </w:r>
      <w:r>
        <w:rPr>
          <w:rFonts w:ascii="Times New Roman;sans-serif" w:hAnsi="Times New Roman;sans-serif"/>
          <w:b w:val="false"/>
          <w:i/>
          <w:color w:val="000000"/>
          <w:sz w:val="20"/>
        </w:rPr>
        <w:t xml:space="preserve">Management’s Discussion and Analysis of Financial Condition and Results of Operations </w:t>
      </w:r>
      <w:r>
        <w:rPr>
          <w:rFonts w:ascii="Times New Roman;sans-serif" w:hAnsi="Times New Roman;sans-serif"/>
          <w:b w:val="false"/>
          <w:color w:val="000000"/>
          <w:sz w:val="20"/>
        </w:rPr>
        <w:t>are for our business from continuing operations that is not subject to retroactive reinsurance accounting for a loss portfolio transfer. Management believes that the lack of economic impact of retroactive reinsurance accounting makes the presentation of our key metrics on business not subject to retroactive reinsurance accounting helpful to the users of our financial information. See “Underwriting Performance Ratios” and “Reconciliation of 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most critical accounting policies involve significant estimates and include those used in determining the reserve for losses and loss adjustment expenses and investment valuation and impairment. For a detailed discussion of each of these policies, refer to our Annual Report on Form 10-K for the year ended December 31, 2023. There have been no significant changes to any of these policies during the current year.</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Recent Strategic Actions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James River Group Holdings, Ltd.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10, 2023, the Company announced that its board of directors has initiated an exploration of strategic alternatives.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Sale of JRG Re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2023, the Company entered into a Stock Purchase Agreement (the “Stock Purchase Agreement”) with Fleming Intermediate Holdings LLC, a Cayman Islands limited liability company (the “Buyer”). Pursuant to the Stock Purchase Agreement, and on the terms and subject to the conditions therein, the Buyer agreed to purchase from the Company all of the common shares of JRG Re. JRG Re comprised the remaining operations of the former Casualty Reinsurance segment, and the sale of JRG Re, which closed on April 16, 2024, resulted in the Company’s disposition of its casualty reinsurance business and related assets.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Stock Purchase Agreement, the aggregate purchase price received by the Company, after giving effect to estimated adjustments based on changes in JRG Re’s adjusted net worth between March 31, 2023 and the Closing, totaled approximately $291.4 million. The aggregate purchase price was comprised of (i) $152.4 million paid in cash by the Buyer and (ii) an aggregate $139 million dividend and distribution from contributed surplus by JRG Re to the Company. In accordance with the Stock Purchase Agreement, the cash portion of the purchase price was calculated based on an estimated balance sheet of JRG Re as of the date of closing. The estimated balance sheet is subject to final post-closing adjustments, which could result in adjustments to the purchase price. Additionally, the Buyer may pay an additional $2.5 million to the Company in the event that certain conditions outlined in the Stock Purchase Agreement are met on the date that is nine months following the date of closing.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that the sale of JRG Re meets the criteria to be classified as held for sale and that the sale represents a strategic shift that will have a major effect on its operations. Accordingly, the results of JRG Re's operations have been presented as discontinued operations, and the assets and liabilities of JRG Re have been classified as held for sale and segregated for all periods presented in this interim report on Form 10-Q.</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$139 million pre-closing dividend was completed in the first quarter of 2024. It included the forgiveness of $133.2 million owed from JRG Holdings to JRG Re and $5.8 million paid in cash to JRG Holdings. In the fourth quarter of 2023, after giving effect to the pre-closing dividend, we recorded an estimated loss on sale of $80.4 million to write down the carrying value of JRG Re to its estimated fair value based upon the estimated sales price of the transaction less costs to sell and other adjustments in accordance with the Stock Purchase Agreement. In the first quarter of 2024, the estimated loss on the sale was revised to $78.9 million, resulting in a gain of $1.5 million in the first quarter of 2024 for the change in the estimated loss on sale.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Actions to Reduce Workers' Compensation Book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the Company non-renewed its large California workers' compensation program in the Specialty Admitted Insurance segment. This action was taken due to persistent rate pressure and tighter reinsurance capacity. Gross written premiums for the program were $12.0 million and $27.7 million for the three months ended March 31, 2024 and 2023,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25, 2023, the Company announced that certain of its subsidiaries entered into an agreement to sell the renewal rights to the Individual Risk Workers’ Compensation (“IRWC”) business in the Specialty Admitted Insurance segment. The transaction included the full operations of the business, including underwriting, loss control and claims, and transfer of the employees supporting the business. The transaction closed on September 29, 2023. Gross written premiums for IRWC were $2.0 million and $13.0 million for the three months ended March 31, 2024 and 2023,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sales of JRG Re and the renewal rights to the IRWC business are aligned with our strategy to focus our resources on core businesses where we have meaningful scale.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w:t>
      </w:r>
    </w:p>
    <w:tbl>
      <w:tblPr>
        <w:tblW w:w="10205" w:type="dxa"/>
        <w:jc w:val="left"/>
        <w:tblInd w:w="0" w:type="dxa"/>
        <w:tblLayout w:type="fixed"/>
        <w:tblCellMar>
          <w:top w:w="28" w:type="dxa"/>
          <w:left w:w="28" w:type="dxa"/>
          <w:bottom w:w="28" w:type="dxa"/>
          <w:right w:w="28" w:type="dxa"/>
        </w:tblCellMar>
      </w:tblPr>
      <w:tblGrid>
        <w:gridCol w:w="1863"/>
        <w:gridCol w:w="1589"/>
        <w:gridCol w:w="1602"/>
        <w:gridCol w:w="109"/>
        <w:gridCol w:w="109"/>
        <w:gridCol w:w="109"/>
        <w:gridCol w:w="109"/>
        <w:gridCol w:w="113"/>
        <w:gridCol w:w="113"/>
        <w:gridCol w:w="220"/>
        <w:gridCol w:w="861"/>
        <w:gridCol w:w="282"/>
        <w:gridCol w:w="109"/>
        <w:gridCol w:w="109"/>
        <w:gridCol w:w="109"/>
        <w:gridCol w:w="211"/>
        <w:gridCol w:w="826"/>
        <w:gridCol w:w="271"/>
        <w:gridCol w:w="109"/>
        <w:gridCol w:w="109"/>
        <w:gridCol w:w="109"/>
        <w:gridCol w:w="306"/>
        <w:gridCol w:w="310"/>
        <w:gridCol w:w="548"/>
      </w:tblGrid>
      <w:tr>
        <w:trPr/>
        <w:tc>
          <w:tcPr>
            <w:tcW w:w="1863"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6"/>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330,810 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(6.4)</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retention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138,172 </w:t>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174,155 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(20.7)</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171,691 </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171,840 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(0.1)</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excluding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(114,051)</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(114,681)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(0.5)</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(49,500)</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5.5 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Underwriting profit </w:t>
            </w:r>
            <w:r>
              <w:rPr>
                <w:rFonts w:ascii="Times New Roman;sans-serif" w:hAnsi="Times New Roman;sans-serif"/>
                <w:b w:val="false"/>
                <w:color w:val="000000"/>
                <w:sz w:val="16"/>
              </w:rPr>
              <w:t>(1),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(20.5)</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22.8 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16.2 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32,960 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198.6 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on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201.4 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23,508 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197.4 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15,403 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60.3 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12,778 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83.0 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net operating income </w:t>
            </w:r>
            <w:r>
              <w:rPr>
                <w:rFonts w:ascii="Times New Roman;sans-serif" w:hAnsi="Times New Roman;sans-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14,832 </w:t>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(0.9)</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(1)Underwriting profit and adjusted net operating income are non-GAAP measures. See “Reconciliation of Non-GAAP Measures.”</w:t>
      </w:r>
    </w:p>
    <w:p>
      <w:pPr>
        <w:pStyle w:val="TextBody"/>
        <w:bidi w:val="0"/>
        <w:spacing w:lineRule="auto" w:line="288" w:before="0" w:after="18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(2)Included in underwriting results for the three months ended March 31, 2024 and 2023 is gross fee income of $5.3 million and $5.7 million, respectively.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Three Months Ended March 31, 2024 and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produced net income available to common shareholders of $12.8 million for the three months ended March 31, 2024 compared to $7.0 million for the three months ended March 31, 2023. Adjusted net operating income was $14.8 million and $15.0 million in the respective periods.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Underwriting profits were $8.1 million and $10.2 million (combined ratios of 95.3% and 94.0%) for the three months ended March 31, 2024 and 2023, respectively. Our loss ratio for the three months ended March 31, 2024 was consistent with the prior year and net reserve development on prior accident years (excluding adverse prior year development on the legacy Rasier business and the impact of retroactive reinsurance - see discussion below) was slightly favorable in both periods at $398,000 and $495,000 in the three months ended March 31, 2024 and 2023, respectively. Our expense ratio increased from 27.3% in the prior year to 28.9% in the current year largely due to higher compensation expenses and outside professional services in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Investment income grew by $4.2 million or 22.8% in the three months ended March 31, 2024 compared to the same period in the prior year driven by higher yields on fixed maturities and bank loans, as well as higher invested assets in our continuing operations following the commutation of an internal quota share arrangement with JRG Re in the second and third quarters of 2023. Net realized and unrealized gains on investments for the three months ended March 31, 2024 includes $4.2 million of positive mark-to-market adjustments on our equity securities reflecting increases in their fair values in the period due to rising equity markets (see </w:t>
      </w:r>
      <w:r>
        <w:rPr>
          <w:rFonts w:ascii="Times New Roman;sans-serif" w:hAnsi="Times New Roman;sans-serif"/>
          <w:b w:val="false"/>
          <w:i/>
          <w:color w:val="000000"/>
          <w:sz w:val="20"/>
        </w:rPr>
        <w:t>Investing Results</w:t>
      </w:r>
      <w:r>
        <w:rPr>
          <w:color w:val="000000"/>
        </w:rPr>
        <w:t xml:space="preserve"> </w:t>
      </w:r>
      <w:r>
        <w:rPr>
          <w:rFonts w:ascii="Times New Roman;sans-serif" w:hAnsi="Times New Roman;sans-serif"/>
          <w:b w:val="false"/>
          <w:color w:val="000000"/>
          <w:sz w:val="20"/>
        </w:rPr>
        <w:t>below). Interest expense was $902,000 higher in the three months ended March 31, 2024 compared to the same period in the prior year driven by higher interest rates on our variable rate senior and trust preferred debt. The applicable rates on our debt reset periodically and are structured as SOFR plus a margin or spread. Our average rate of interest increased from 6.9% in the prior year to 8.0% in the current year.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definitive agreement on November 8, 2023 to sell JRG Re. The sale closed on April 16, 2024 and discontinued operations for both periods include the operating results of JRG Re which were a loss of $7.9 million for the three months ended March 31, 2024 compared to income of $1.7 million in the three months ended March 31, 2023. The results for discontinued operations include net adverse development of $7.1 million and $1.9 million on treaties not subject to the Casualty Re loss portfolio transfer for the three months ended March 31, 2024 and 2023, respectively. Discontinued operations in the current year also includes $1.7 million of certain transaction-related expenses associated with the sale and a change in the estimate of the loss on sale which resulted in a $1.5 million gain in the current period.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 was slightly lower (-0.9%) than the prior year as higher investment income largely offset lower underwriting results and higher interest expense. Changes in tangible equity (+0.2%) and tangible equity per share (-2.0%) were modest in the current period as positive operating results were mostly offset by unrealized losses on fixed maturities in other comprehensive loss, dividends on both common and preferred shares, and the impact of retroactive reinsurance benefits. Our 12.2% adjusted net operating return on tangible equity for the three months ended March 31, 2024 compares to a 9.4% return for the three months ended March 31, 2023.</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Loss Portfolio Transfers and Impact of Retroactive Reinsurance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two loss portfolio transfers, which are a form of reinsurance utilized by the Company to transfer losses and loss adjustment expenses and associated risk of adverse development on covered subject business, as defined in the respective agreements, to an assuming reinsurer in exchange for a reinsurance premium. Loss portfolio transfers can bring economic finality on the subject risks as long as any additional losses are within the limit of the loss portfolio transfer and the counterparty performs under the contract.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w:t>
      </w:r>
      <w:r>
        <w:rPr>
          <w:color w:val="000000"/>
        </w:rPr>
        <w:t xml:space="preserve"> </w:t>
      </w:r>
      <w:r>
        <w:rPr>
          <w:rFonts w:ascii="Times New Roman;sans-serif" w:hAnsi="Times New Roman;sans-serif"/>
          <w:b w:val="false"/>
          <w:color w:val="000000"/>
          <w:sz w:val="20"/>
        </w:rPr>
        <w:t>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JRG Re entered into a loss portfolio transfer retrocession agreement (the “Casualty Re LPT”) with Fortitude Reinsurance Company Ltd. (“FRL”) under which FRL reinsures the majority of the reserves in the Company’s Casualty Reinsurance segment.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 Account balance on a quarterly basis. The total premium, initial Funds Withheld Account credit, and aggregate limit was adjusted for claims paid from October 1, 2021 to the Retrocession Closing Date. The Funds Withheld Account balance was $119.4 million and $137.8 million at March 31, 2024 and December 31, 2023, respectively. Funds Withheld Account crediting fees of $643,000 and $1.0 million are included in the (loss) income from discontinued operations in our Condensed Consolidated Statements of Income and Comprehensive Income for the three months ended March 31, 2024 and 2023,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periodically reevaluates the remaining reserves subject to the Commercial Auto LPT and the Casualty Re LPT. For the three months ended March 31, 2024, due to adverse paid and reported loss trends on the business subject to the loss portfolio transfers, the Company recognized adverse prior year development of $477,000 and $6.1 million on the reserves subject to the Commercial Auto LPT and Casualty Re LPT, respectively, resulting in corresponding additional amounts ceded under the respective loss portfolio transfers. In the three months ended March 31, 2023, the Company recognized adverse prior year development of $41.0 million and $7.8 million on the reserves subject to the Commercial Auto LPT and Casualty Re LPT,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respectively. Both loss portfolio transfers are in gain positions as the cumulative amounts ceded under the loss portfolio transfers exceed the consideration paid, requiring the application of retroactive reinsurance accounting.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retroactive reinsurance accounting, gains are deferred and recognized in earnings in proportion to actual paid recoveries under the loss portfolio transfers using the recovery method. Over the life of the contracts, we would expect no economic impact to the Company as long as any additional losses are within the limit of the loss portfolio transfer and the counterparty performs under the contract. In periods where the Company recognizes a change in the estimate of the reserves subject to the loss portfolio transfers that increases or decreases the amounts ceded under the loss portfolio transfers, the proportion of actual paid recoveries to total ceded losses is affected and the change in deferred gain is recognized in earnings as if the revised estimate of ceded losses was available at the effective date of the loss portfolio transfer. The effect of the deferred retroactive reinsurance benefit is recorded in losses and loss adjustment expenses on the Condensed Consolidated Statements of Income and Comprehensive Income.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Retroactive reinsurance benefits totaling $9.7 million ($4.5 million for the Commercial Auto LPT and $5.2 million for the Casualty Re LPT) were recorded in losses and loss adjustment expenses for the three months ended March 31, 2024 using the recovery method, resulting in a net benefit of $3.1 million within our net losses and loss adjustment expenses for the three months ended March 31, 2024. In the three months ended March 31, 2023, retroactive reinsurance benefits totaling $32.0 million ($29.3 million for the Commercial Auto LPT and $2.7 million for the Casualty Re LPT) were recorded in losses and loss adjustment expenses, resulting in a net impact of $16.9 million within our net losses and loss adjustment expenses. As of March 31, 2024, the cumulative amounts ceded under the loss portfolio transfers was $856.7 million ($456.7 million under the Commercial Auto LPT and $400.0 million under the Casualty Re LPT). The total deferred retroactive reinsurance gain of $50.7 million at March 31, 2024 under the loss portfolio transfers includes $16.7 million related to the Commercial Auto LPT separately presented on the Company's Condensed Consolidated Balance Sheets, and $34.0 million related to the Casualty Re LPT which is included within the assets held-for sale of JRG Re on the Company's Condensed Consolidated Balance Sheets. At March 31, 2024, the Company has no aggregate limit remaining under the Casualty Re LPT.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Premiums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Insurance premiums are earned ratably over the terms of our insurance policies, generally twelve months. The following table summarizes the change in premium volume by component and business segment:</w:t>
      </w:r>
    </w:p>
    <w:tbl>
      <w:tblPr>
        <w:tblW w:w="7489" w:type="dxa"/>
        <w:jc w:val="left"/>
        <w:tblInd w:w="0" w:type="dxa"/>
        <w:tblLayout w:type="fixed"/>
        <w:tblCellMar>
          <w:top w:w="28" w:type="dxa"/>
          <w:left w:w="28" w:type="dxa"/>
          <w:bottom w:w="28" w:type="dxa"/>
          <w:right w:w="28" w:type="dxa"/>
        </w:tblCellMar>
      </w:tblPr>
      <w:tblGrid>
        <w:gridCol w:w="913"/>
        <w:gridCol w:w="800"/>
        <w:gridCol w:w="807"/>
        <w:gridCol w:w="109"/>
        <w:gridCol w:w="109"/>
        <w:gridCol w:w="109"/>
        <w:gridCol w:w="109"/>
        <w:gridCol w:w="128"/>
        <w:gridCol w:w="128"/>
        <w:gridCol w:w="248"/>
        <w:gridCol w:w="972"/>
        <w:gridCol w:w="128"/>
        <w:gridCol w:w="109"/>
        <w:gridCol w:w="109"/>
        <w:gridCol w:w="109"/>
        <w:gridCol w:w="211"/>
        <w:gridCol w:w="826"/>
        <w:gridCol w:w="109"/>
        <w:gridCol w:w="109"/>
        <w:gridCol w:w="109"/>
        <w:gridCol w:w="109"/>
        <w:gridCol w:w="291"/>
        <w:gridCol w:w="294"/>
        <w:gridCol w:w="544"/>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330,810 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(22.4)</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138,172 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(20.7)</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27.3 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171,691 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written premiums for the Excess and Surplus Lines segment (which represents 64.6% of our consolidated gross written premiums from continuing operations in the three months ended March 31, 2024) decreased 6.6% from the corresponding three month period in the prior year. The decline was primarily driven by the non-renewal of a few larger accounts that did not meet our underwriting appetite. Total policy submissions for Core E&amp;S lines (excluding commercial auto) increased 9.5% from the prior year, but the average premium size decreased 3.7%. Renewal rate increases across the segment were 10.7% during the first quarter of 2024. The change in gross written premiums was notable in several divisions as shown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tbl>
      <w:tblPr>
        <w:tblW w:w="8864" w:type="dxa"/>
        <w:jc w:val="center"/>
        <w:tblInd w:w="0" w:type="dxa"/>
        <w:tblLayout w:type="fixed"/>
        <w:tblCellMar>
          <w:top w:w="28" w:type="dxa"/>
          <w:left w:w="28" w:type="dxa"/>
          <w:bottom w:w="28" w:type="dxa"/>
          <w:right w:w="28" w:type="dxa"/>
        </w:tblCellMar>
      </w:tblPr>
      <w:tblGrid>
        <w:gridCol w:w="1453"/>
        <w:gridCol w:w="1282"/>
        <w:gridCol w:w="1285"/>
        <w:gridCol w:w="109"/>
        <w:gridCol w:w="109"/>
        <w:gridCol w:w="109"/>
        <w:gridCol w:w="109"/>
        <w:gridCol w:w="128"/>
        <w:gridCol w:w="128"/>
        <w:gridCol w:w="248"/>
        <w:gridCol w:w="972"/>
        <w:gridCol w:w="128"/>
        <w:gridCol w:w="109"/>
        <w:gridCol w:w="109"/>
        <w:gridCol w:w="109"/>
        <w:gridCol w:w="211"/>
        <w:gridCol w:w="826"/>
        <w:gridCol w:w="109"/>
        <w:gridCol w:w="109"/>
        <w:gridCol w:w="109"/>
        <w:gridCol w:w="109"/>
        <w:gridCol w:w="293"/>
        <w:gridCol w:w="293"/>
        <w:gridCol w:w="418"/>
      </w:tblGrid>
      <w:tr>
        <w:trPr/>
        <w:tc>
          <w:tcPr>
            <w:tcW w:w="145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331" w:type="dxa"/>
            <w:gridSpan w:val="6"/>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(14.2)</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Casualty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&amp; Contractors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(10.1)</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(17.9)</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Core E&amp;S divisions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Core E&amp;S divisions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208,890 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Auto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(26.3)</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 gross written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213,691 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(6.6)</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gross written premiums for the Specialty Admitted Insurance segment (which represents 35.4% of our consolidated gross written premiums for the three months ended March 31, 2024) are as follows:</w:t>
      </w:r>
    </w:p>
    <w:tbl>
      <w:tblPr>
        <w:tblW w:w="8849" w:type="dxa"/>
        <w:jc w:val="left"/>
        <w:tblInd w:w="0" w:type="dxa"/>
        <w:tblLayout w:type="fixed"/>
        <w:tblCellMar>
          <w:top w:w="28" w:type="dxa"/>
          <w:left w:w="28" w:type="dxa"/>
          <w:bottom w:w="28" w:type="dxa"/>
          <w:right w:w="28" w:type="dxa"/>
        </w:tblCellMar>
      </w:tblPr>
      <w:tblGrid>
        <w:gridCol w:w="1448"/>
        <w:gridCol w:w="1276"/>
        <w:gridCol w:w="1281"/>
        <w:gridCol w:w="109"/>
        <w:gridCol w:w="109"/>
        <w:gridCol w:w="109"/>
        <w:gridCol w:w="109"/>
        <w:gridCol w:w="128"/>
        <w:gridCol w:w="128"/>
        <w:gridCol w:w="248"/>
        <w:gridCol w:w="972"/>
        <w:gridCol w:w="128"/>
        <w:gridCol w:w="109"/>
        <w:gridCol w:w="109"/>
        <w:gridCol w:w="109"/>
        <w:gridCol w:w="211"/>
        <w:gridCol w:w="826"/>
        <w:gridCol w:w="109"/>
        <w:gridCol w:w="109"/>
        <w:gridCol w:w="109"/>
        <w:gridCol w:w="109"/>
        <w:gridCol w:w="293"/>
        <w:gridCol w:w="293"/>
        <w:gridCol w:w="418"/>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331" w:type="dxa"/>
            <w:gridSpan w:val="6"/>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Fronting and program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115,156 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 risk workers’ compensation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(84.9)</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gross written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117,119 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fronting written premium increased over the prior year corresponding quarter driven primarily by the continued expansion of existing fronting relationships, which was partially offset by the decline in gross written premiums for a large California workers' compensation program that was non-renewed in June 2023. Our largest fronting relationship represented $46.7 million and $34.4 million (39.8% and 27.6%) of segment gross written premium for the three months ended March 31, 2024 and 2023, respectively. Individual risk workers' compensation premium declined due to the sale of the renewal rights to the IRWC business in the prior year third quarter.</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Net Retention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net premium retention is summarized by segment as follows:</w:t>
      </w:r>
    </w:p>
    <w:tbl>
      <w:tblPr>
        <w:tblW w:w="5512" w:type="dxa"/>
        <w:jc w:val="left"/>
        <w:tblInd w:w="0" w:type="dxa"/>
        <w:tblLayout w:type="fixed"/>
        <w:tblCellMar>
          <w:top w:w="28" w:type="dxa"/>
          <w:left w:w="28" w:type="dxa"/>
          <w:bottom w:w="28" w:type="dxa"/>
          <w:right w:w="28" w:type="dxa"/>
        </w:tblCellMar>
      </w:tblPr>
      <w:tblGrid>
        <w:gridCol w:w="911"/>
        <w:gridCol w:w="801"/>
        <w:gridCol w:w="808"/>
        <w:gridCol w:w="109"/>
        <w:gridCol w:w="109"/>
        <w:gridCol w:w="247"/>
        <w:gridCol w:w="247"/>
        <w:gridCol w:w="255"/>
        <w:gridCol w:w="256"/>
        <w:gridCol w:w="615"/>
        <w:gridCol w:w="109"/>
        <w:gridCol w:w="109"/>
        <w:gridCol w:w="109"/>
        <w:gridCol w:w="255"/>
        <w:gridCol w:w="256"/>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54"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Lower net premium retention for the Excess and Surplus Lines segment was primarily driven by the renewal of a quota share treaty, effective July 1, 2023, that increased premium cessions across all underwriting divisions other than Excess Casualty and resulted in lower retentions for the segment.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premium retention for the Specialty Admitted Insurance segment decreased for the three months ended March 31, 2024 as fronting business, where we retain a much smaller percentage, represents a greater portion of the book following the sale of the renewal rights to the IRWC business in the prior year third quarter. The net retention on the fronting business was 16.7% for the three months ended March 31, 2024 compared to 15.4% for the three months ended March 31, 2023. Net retention on the individual risk workers' compensation business was 76.0% for the three months ended March 31, 2024 compared to 73.2% for the three months ended March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combined ratios by segment:</w:t>
      </w:r>
    </w:p>
    <w:tbl>
      <w:tblPr>
        <w:tblW w:w="5617" w:type="dxa"/>
        <w:jc w:val="left"/>
        <w:tblInd w:w="0" w:type="dxa"/>
        <w:tblLayout w:type="fixed"/>
        <w:tblCellMar>
          <w:top w:w="28" w:type="dxa"/>
          <w:left w:w="28" w:type="dxa"/>
          <w:bottom w:w="28" w:type="dxa"/>
          <w:right w:w="28" w:type="dxa"/>
        </w:tblCellMar>
      </w:tblPr>
      <w:tblGrid>
        <w:gridCol w:w="911"/>
        <w:gridCol w:w="801"/>
        <w:gridCol w:w="808"/>
        <w:gridCol w:w="109"/>
        <w:gridCol w:w="109"/>
        <w:gridCol w:w="247"/>
        <w:gridCol w:w="247"/>
        <w:gridCol w:w="255"/>
        <w:gridCol w:w="256"/>
        <w:gridCol w:w="615"/>
        <w:gridCol w:w="109"/>
        <w:gridCol w:w="109"/>
        <w:gridCol w:w="109"/>
        <w:gridCol w:w="307"/>
        <w:gridCol w:w="309"/>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59"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Excess and Surplus Lines Segment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the Excess and Surplus Lines segment are as follows:</w:t>
      </w:r>
    </w:p>
    <w:tbl>
      <w:tblPr>
        <w:tblW w:w="10205" w:type="dxa"/>
        <w:jc w:val="left"/>
        <w:tblInd w:w="0" w:type="dxa"/>
        <w:tblLayout w:type="fixed"/>
        <w:tblCellMar>
          <w:top w:w="28" w:type="dxa"/>
          <w:left w:w="28" w:type="dxa"/>
          <w:bottom w:w="28" w:type="dxa"/>
          <w:right w:w="28" w:type="dxa"/>
        </w:tblCellMar>
      </w:tblPr>
      <w:tblGrid>
        <w:gridCol w:w="1916"/>
        <w:gridCol w:w="1644"/>
        <w:gridCol w:w="1657"/>
        <w:gridCol w:w="109"/>
        <w:gridCol w:w="109"/>
        <w:gridCol w:w="109"/>
        <w:gridCol w:w="109"/>
        <w:gridCol w:w="113"/>
        <w:gridCol w:w="113"/>
        <w:gridCol w:w="220"/>
        <w:gridCol w:w="863"/>
        <w:gridCol w:w="283"/>
        <w:gridCol w:w="109"/>
        <w:gridCol w:w="109"/>
        <w:gridCol w:w="109"/>
        <w:gridCol w:w="211"/>
        <w:gridCol w:w="826"/>
        <w:gridCol w:w="271"/>
        <w:gridCol w:w="109"/>
        <w:gridCol w:w="109"/>
        <w:gridCol w:w="109"/>
        <w:gridCol w:w="287"/>
        <w:gridCol w:w="289"/>
        <w:gridCol w:w="422"/>
      </w:tblGrid>
      <w:tr>
        <w:trPr/>
        <w:tc>
          <w:tcPr>
            <w:tcW w:w="1916"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325" w:type="dxa"/>
            <w:gridSpan w:val="6"/>
            <w:tcBorders/>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213,691 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(6.6)</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117,425 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147,430 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(20.4)</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145,623 </w:t>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(3.8)</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excluding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(5.6)</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(33,527)</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Underwriting profit </w:t>
            </w:r>
            <w:r>
              <w:rPr>
                <w:rFonts w:ascii="Times New Roman;sans-serif" w:hAnsi="Times New Roman;sans-serif"/>
                <w:b w:val="false"/>
                <w:i/>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18,491 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(7.5)</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(1)Underwriting Profit is a non-GAAP Measure. See “Reconciliation of Non-GAAP Measures.”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and Surplus Lines segment produced underwriting profits of $18.5 million and $20.0 million (combined ratios of 87.3% and 86.8%) in the three months ended March 31, 2024 and 2023, respectively. Net reserve development on prior accident years (excluding adverse prior year development on the legacy Rasier business and the impact of retroactive reinsurance - see discussion above) was $40,000 adverse in the three months ended March 31, 2024 compared to $324,000 favorable in the three months ended March 31, 2023. The higher current year expense ratio was mostly driven by higher compensation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Specialty Admitted Insurance Segment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the Specialty Admitted Insurance segment are as follows:</w:t>
      </w:r>
    </w:p>
    <w:tbl>
      <w:tblPr>
        <w:tblW w:w="8095" w:type="dxa"/>
        <w:jc w:val="left"/>
        <w:tblInd w:w="0" w:type="dxa"/>
        <w:tblLayout w:type="fixed"/>
        <w:tblCellMar>
          <w:top w:w="28" w:type="dxa"/>
          <w:left w:w="28" w:type="dxa"/>
          <w:bottom w:w="28" w:type="dxa"/>
          <w:right w:w="28" w:type="dxa"/>
        </w:tblCellMar>
      </w:tblPr>
      <w:tblGrid>
        <w:gridCol w:w="1120"/>
        <w:gridCol w:w="981"/>
        <w:gridCol w:w="989"/>
        <w:gridCol w:w="109"/>
        <w:gridCol w:w="109"/>
        <w:gridCol w:w="109"/>
        <w:gridCol w:w="109"/>
        <w:gridCol w:w="114"/>
        <w:gridCol w:w="114"/>
        <w:gridCol w:w="222"/>
        <w:gridCol w:w="869"/>
        <w:gridCol w:w="285"/>
        <w:gridCol w:w="109"/>
        <w:gridCol w:w="109"/>
        <w:gridCol w:w="109"/>
        <w:gridCol w:w="211"/>
        <w:gridCol w:w="826"/>
        <w:gridCol w:w="271"/>
        <w:gridCol w:w="109"/>
        <w:gridCol w:w="109"/>
        <w:gridCol w:w="109"/>
        <w:gridCol w:w="291"/>
        <w:gridCol w:w="294"/>
        <w:gridCol w:w="418"/>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330"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117,119 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20,747 </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(22.4)</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26,068 </w:t>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27.3 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(11.4)</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Underwriting profit (loss)</w:t>
            </w:r>
            <w:r>
              <w:rPr>
                <w:color w:val="000000"/>
              </w:rPr>
              <w:t xml:space="preserve"> </w:t>
            </w:r>
            <w:r>
              <w:rPr>
                <w:rFonts w:ascii="Times New Roman;sans-serif" w:hAnsi="Times New Roman;sans-serif"/>
                <w:b w:val="false"/>
                <w:i/>
                <w:color w:val="000000"/>
                <w:sz w:val="16"/>
              </w:rPr>
              <w:t>(1),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(1)Underwriting Profit (Loss) is a non-GAAP Measure. See “Reconciliation of Non-GAAP Measures.”</w:t>
      </w:r>
    </w:p>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(2)Underwriting results include gross fee income of $5.3 million and $5.7 million for the three months ended March 31, 2024 and 2023,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Specialty Admitted Insurance segment produced an underwriting profit of $786,000 compared to an underwriting loss of $469,000 (combined ratios of 97.0% and 102.3%) in the three months ended March 31, 2024 and 2023, respectively. Net favorable development in our loss estimates for prior accident years was $438,000 or 1.7 points in the three months ended March 31, 2024 compared to $171,000 or 0.8 points in the three months ended March 31, 2023. The segment expense ratio decreased from the prior year driven by lower expenses for compensation and taxes, licenses, and fees following the reductions to our workers' compensation book in the prior year including the non-renewal of a large California workers' compensation program and the sale of the renewal rights to the IRWC business which included the transfer of employees associated with the business.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and Other Segment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Other operating expenses for the Corporate and Other segment include personnel costs associated with the Bermuda and U.S. holding companies, professional fees, share based compensation for the full Company, and various other corporate expenses that were not reimbursed by our subsidiaries, including costs associated with rating agencies and strategic initiatives. The expenses are included in our calculation of consolidated underwriting profit, and in our consolidated expense ratio and combined ratio. Total operating expenses of the Corporate and Other segment were $11.1 million and $9.3 million for the three months ended</w:t>
      </w:r>
      <w:r>
        <w:rPr>
          <w:color w:val="000000"/>
        </w:rPr>
        <w:t xml:space="preserve"> </w:t>
      </w:r>
      <w:r>
        <w:rPr>
          <w:rFonts w:ascii="Times New Roman;sans-serif" w:hAnsi="Times New Roman;sans-serif"/>
          <w:b w:val="false"/>
          <w:color w:val="000000"/>
          <w:sz w:val="20"/>
        </w:rPr>
        <w:t>March 31, 2024 and 2023, respectively. The higher year to date expense is related to higher expenses for employee compensation and outside professional services.</w:t>
      </w:r>
    </w:p>
    <w:p>
      <w:pPr>
        <w:pStyle w:val="TextBody"/>
        <w:bidi w:val="0"/>
        <w:spacing w:lineRule="auto" w:line="288" w:before="100" w:after="120"/>
        <w:jc w:val="left"/>
        <w:rPr>
          <w:rFonts w:ascii="Times New Roman;sans-serif" w:hAnsi="Times New Roman;sans-serif"/>
          <w:b/>
          <w:i/>
          <w:color w:val="000000"/>
          <w:sz w:val="20"/>
        </w:rPr>
      </w:pPr>
      <w:r>
        <w:rPr>
          <w:rFonts w:ascii="Times New Roman;sans-serif" w:hAnsi="Times New Roman;sans-serif"/>
          <w:b/>
          <w:i/>
          <w:color w:val="000000"/>
          <w:sz w:val="20"/>
        </w:rPr>
        <w:t>Investing Results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Net investment income was $22.6 million for the three months ended</w:t>
      </w:r>
      <w:r>
        <w:rPr>
          <w:color w:val="000000"/>
        </w:rPr>
        <w:t xml:space="preserve"> </w:t>
      </w:r>
      <w:r>
        <w:rPr>
          <w:rFonts w:ascii="Times New Roman;sans-serif" w:hAnsi="Times New Roman;sans-serif"/>
          <w:b w:val="false"/>
          <w:color w:val="000000"/>
          <w:sz w:val="20"/>
        </w:rPr>
        <w:t>March 31, 2024, compared to $18.4 million for the same period in the prior year. The Company's private investments generated losses of $145,000 for the three months ended</w:t>
      </w:r>
      <w:r>
        <w:rPr>
          <w:color w:val="000000"/>
        </w:rPr>
        <w:t xml:space="preserve"> </w:t>
      </w:r>
      <w:r>
        <w:rPr>
          <w:rFonts w:ascii="Times New Roman;sans-serif" w:hAnsi="Times New Roman;sans-serif"/>
          <w:b w:val="false"/>
          <w:color w:val="000000"/>
          <w:sz w:val="20"/>
        </w:rPr>
        <w:t>March 31, 2024 compared to income of $1.6 million in the corresponding prior year period. Excluding private investments, our net investment income for the three months ended March 31, 2024 increased 35.3% from the prior year, principally due to higher yields on fixed maturities and bank loan participations. The average duration of our portfolio excluding restricted cash equivalents was 3.4 years at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Major categories of the Company’s net investment income are summarized as follows:</w:t>
      </w:r>
    </w:p>
    <w:tbl>
      <w:tblPr>
        <w:tblW w:w="9670" w:type="dxa"/>
        <w:jc w:val="left"/>
        <w:tblInd w:w="0" w:type="dxa"/>
        <w:tblLayout w:type="fixed"/>
        <w:tblCellMar>
          <w:top w:w="28" w:type="dxa"/>
          <w:left w:w="28" w:type="dxa"/>
          <w:bottom w:w="28" w:type="dxa"/>
          <w:right w:w="28" w:type="dxa"/>
        </w:tblCellMar>
      </w:tblPr>
      <w:tblGrid>
        <w:gridCol w:w="2332"/>
        <w:gridCol w:w="2048"/>
        <w:gridCol w:w="2054"/>
        <w:gridCol w:w="109"/>
        <w:gridCol w:w="109"/>
        <w:gridCol w:w="139"/>
        <w:gridCol w:w="139"/>
        <w:gridCol w:w="269"/>
        <w:gridCol w:w="919"/>
        <w:gridCol w:w="139"/>
        <w:gridCol w:w="109"/>
        <w:gridCol w:w="109"/>
        <w:gridCol w:w="109"/>
        <w:gridCol w:w="211"/>
        <w:gridCol w:w="721"/>
        <w:gridCol w:w="154"/>
      </w:tblGrid>
      <w:tr>
        <w:trPr/>
        <w:tc>
          <w:tcPr>
            <w:tcW w:w="2332"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equivalents and 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annualized gross investment yields:</w:t>
      </w:r>
    </w:p>
    <w:tbl>
      <w:tblPr>
        <w:tblW w:w="5000" w:type="dxa"/>
        <w:jc w:val="left"/>
        <w:tblInd w:w="0" w:type="dxa"/>
        <w:tblLayout w:type="fixed"/>
        <w:tblCellMar>
          <w:top w:w="28" w:type="dxa"/>
          <w:left w:w="28" w:type="dxa"/>
          <w:bottom w:w="28" w:type="dxa"/>
          <w:right w:w="28" w:type="dxa"/>
        </w:tblCellMar>
      </w:tblPr>
      <w:tblGrid>
        <w:gridCol w:w="772"/>
        <w:gridCol w:w="678"/>
        <w:gridCol w:w="680"/>
        <w:gridCol w:w="109"/>
        <w:gridCol w:w="109"/>
        <w:gridCol w:w="247"/>
        <w:gridCol w:w="247"/>
        <w:gridCol w:w="247"/>
        <w:gridCol w:w="247"/>
        <w:gridCol w:w="615"/>
        <w:gridCol w:w="109"/>
        <w:gridCol w:w="109"/>
        <w:gridCol w:w="109"/>
        <w:gridCol w:w="203"/>
        <w:gridCol w:w="203"/>
        <w:gridCol w:w="316"/>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49" w:type="dxa"/>
            <w:gridSpan w:val="6"/>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invested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Of our total cash and invested assets of $2,012.3 million at March 31, 2024 (excluding restricted cash equivalents), $305.5 million represents the cash and cash equivalents portion of the portfolio. The majority of the portfolio, or $1,287.5 million, is comprised of fixed maturity securities that are classified as available-for-sale and carried at fair value with unrealized gains and losses on these securities reported, net of applicable taxes, as a separate component of accumulated comprehensive income (loss). Also included in our investments are $173.0 million of bank loan participations, $128.7 million of equity securities, $84.5 million of short-term investments, and $33.1 million of other invested assets.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Times New Roman;sans-serif" w:hAnsi="Times New Roman;sans-serif"/>
          <w:b w:val="false"/>
          <w:color w:val="231F20"/>
          <w:sz w:val="20"/>
        </w:rPr>
        <w:t xml:space="preserve">Bank loan participations are measured at fair value pursuant to the Company's election of the fair value option, and changes in unrealized gains and losses in bank loan participations are reported in our income statement as net realized and unrealized gains (losses) on investments. </w:t>
      </w:r>
      <w:r>
        <w:rPr>
          <w:rFonts w:ascii="Times New Roman;sans-serif" w:hAnsi="Times New Roman;sans-serif"/>
          <w:b w:val="false"/>
          <w:color w:val="000000"/>
          <w:sz w:val="20"/>
        </w:rPr>
        <w:t>At March 31, 2024 and December 31, 2023, the fair market value of these securities was $173.0 million and $156.2 million,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the Company recognized net realized and unrealized investment gains of $4.6 million, including $359,000 of net unrealized gains on bank loan participations, $4.2 million of net unrealized gains for the change in the fair value of equity securities, $640,000 of net realized investment losses on the sale of bank loan participations, $947,000 of net realized investment gains on the sale of equity securities, and $311,000 of net realized investment losses on the sale of fixed maturity securities.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 recognized net realized and unrealized investment gains of $160,000, including $910,000 of net unrealized gains on bank loan participations, $643,000 of net unrealized losses for the change in the fair value of equity securities, $7,000 of net realized investment losses on the sale of fixed maturity securities, $403,000 of net realized investment losses on the sale of bank loan participations, and $314,000 of net realized investment gains on the sale of equity securities.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 conjunction with its outside investment managers, the Company performs quarterly reviews of all securities within its investment portfolio to determine whether any impairment has occurred. As a result of this review, management concluded that there were no credit-related impairments of fixed maturity securities at March 31, 2024, December 31, 2023, or March 31, 2023. At March 31, 2024, 99.9% of the Company’s fixed maturity security portfolio was rated “BBB-” or better (“investment grade”) by Standard &amp; Poor’s or received an equivalent rating from another nationally recognized rating agency. </w:t>
      </w:r>
      <w:r>
        <w:rPr>
          <w:rFonts w:ascii="Times New Roman;sans-serif" w:hAnsi="Times New Roman;sans-serif"/>
          <w:b w:val="false"/>
          <w:color w:val="231F20"/>
          <w:sz w:val="20"/>
        </w:rPr>
        <w:t>Management does not intend to sell available-for-sale securities in an unrealized loss position, and it is not “more likely than not” that the Company will be required to sell these securities before a recovery in their value to their amortized cost basis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our available-for-sale fixed maturity securities were as follows:</w:t>
      </w:r>
    </w:p>
    <w:tbl>
      <w:tblPr>
        <w:tblW w:w="10393" w:type="dxa"/>
        <w:jc w:val="left"/>
        <w:tblInd w:w="0" w:type="dxa"/>
        <w:tblLayout w:type="fixed"/>
        <w:tblCellMar>
          <w:top w:w="28" w:type="dxa"/>
          <w:left w:w="28" w:type="dxa"/>
          <w:bottom w:w="28" w:type="dxa"/>
          <w:right w:w="28" w:type="dxa"/>
        </w:tblCellMar>
      </w:tblPr>
      <w:tblGrid>
        <w:gridCol w:w="1117"/>
        <w:gridCol w:w="296"/>
        <w:gridCol w:w="298"/>
        <w:gridCol w:w="211"/>
        <w:gridCol w:w="976"/>
        <w:gridCol w:w="109"/>
        <w:gridCol w:w="109"/>
        <w:gridCol w:w="109"/>
        <w:gridCol w:w="109"/>
        <w:gridCol w:w="211"/>
        <w:gridCol w:w="976"/>
        <w:gridCol w:w="109"/>
        <w:gridCol w:w="109"/>
        <w:gridCol w:w="109"/>
        <w:gridCol w:w="109"/>
        <w:gridCol w:w="307"/>
        <w:gridCol w:w="309"/>
        <w:gridCol w:w="292"/>
        <w:gridCol w:w="109"/>
        <w:gridCol w:w="109"/>
        <w:gridCol w:w="109"/>
        <w:gridCol w:w="211"/>
        <w:gridCol w:w="976"/>
        <w:gridCol w:w="109"/>
        <w:gridCol w:w="109"/>
        <w:gridCol w:w="109"/>
        <w:gridCol w:w="109"/>
        <w:gridCol w:w="211"/>
        <w:gridCol w:w="976"/>
        <w:gridCol w:w="109"/>
        <w:gridCol w:w="109"/>
        <w:gridCol w:w="109"/>
        <w:gridCol w:w="109"/>
        <w:gridCol w:w="307"/>
        <w:gridCol w:w="309"/>
        <w:gridCol w:w="339"/>
      </w:tblGrid>
      <w:tr>
        <w:trPr/>
        <w:tc>
          <w:tcPr>
            <w:tcW w:w="11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Fair Value</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38.3 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38.2 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16.8 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following table sets forth the composition of the Company’s portfolio of available-for-sale fixed maturity securities by rating as of </w:t>
      </w:r>
      <w:r>
        <w:rPr>
          <w:rFonts w:ascii="Times New Roman;sans-serif" w:hAnsi="Times New Roman;sans-serif"/>
          <w:b w:val="false"/>
          <w:color w:val="231F20"/>
          <w:sz w:val="20"/>
        </w:rPr>
        <w:t>March 31, 2024</w:t>
      </w:r>
      <w:r>
        <w:rPr>
          <w:rFonts w:ascii="Times New Roman;sans-serif" w:hAnsi="Times New Roman;sans-serif"/>
          <w:b w:val="false"/>
          <w:color w:val="000000"/>
          <w:sz w:val="20"/>
        </w:rPr>
        <w:t>:</w:t>
      </w:r>
    </w:p>
    <w:tbl>
      <w:tblPr>
        <w:tblW w:w="6234" w:type="dxa"/>
        <w:jc w:val="left"/>
        <w:tblInd w:w="0" w:type="dxa"/>
        <w:tblLayout w:type="fixed"/>
        <w:tblCellMar>
          <w:top w:w="28" w:type="dxa"/>
          <w:left w:w="28" w:type="dxa"/>
          <w:bottom w:w="28" w:type="dxa"/>
          <w:right w:w="28" w:type="dxa"/>
        </w:tblCellMar>
      </w:tblPr>
      <w:tblGrid>
        <w:gridCol w:w="1242"/>
        <w:gridCol w:w="1094"/>
        <w:gridCol w:w="1098"/>
        <w:gridCol w:w="211"/>
        <w:gridCol w:w="976"/>
        <w:gridCol w:w="109"/>
        <w:gridCol w:w="109"/>
        <w:gridCol w:w="109"/>
        <w:gridCol w:w="109"/>
        <w:gridCol w:w="307"/>
        <w:gridCol w:w="309"/>
        <w:gridCol w:w="561"/>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Standard &amp; Poor’s or Equivalent Designation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BBB and unrated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our available-for-sale investments in fixed maturity securities summarized by contractual maturity are as follows:</w:t>
      </w:r>
    </w:p>
    <w:tbl>
      <w:tblPr>
        <w:tblW w:w="7804" w:type="dxa"/>
        <w:jc w:val="left"/>
        <w:tblInd w:w="0" w:type="dxa"/>
        <w:tblLayout w:type="fixed"/>
        <w:tblCellMar>
          <w:top w:w="28" w:type="dxa"/>
          <w:left w:w="28" w:type="dxa"/>
          <w:bottom w:w="28" w:type="dxa"/>
          <w:right w:w="28" w:type="dxa"/>
        </w:tblCellMar>
      </w:tblPr>
      <w:tblGrid>
        <w:gridCol w:w="1210"/>
        <w:gridCol w:w="1060"/>
        <w:gridCol w:w="1075"/>
        <w:gridCol w:w="211"/>
        <w:gridCol w:w="976"/>
        <w:gridCol w:w="109"/>
        <w:gridCol w:w="109"/>
        <w:gridCol w:w="109"/>
        <w:gridCol w:w="109"/>
        <w:gridCol w:w="211"/>
        <w:gridCol w:w="976"/>
        <w:gridCol w:w="109"/>
        <w:gridCol w:w="109"/>
        <w:gridCol w:w="109"/>
        <w:gridCol w:w="109"/>
        <w:gridCol w:w="308"/>
        <w:gridCol w:w="308"/>
        <w:gridCol w:w="597"/>
      </w:tblGrid>
      <w:tr>
        <w:trPr/>
        <w:tc>
          <w:tcPr>
            <w:tcW w:w="12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 Value</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3.5 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five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26.0 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18.3 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11.5 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23.9 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16.8 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Other Income and Expense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Other income and expense items netted to income of $179,000 and expense of $415,000 for the three</w:t>
      </w:r>
      <w:r>
        <w:rPr>
          <w:color w:val="231F20"/>
        </w:rPr>
        <w:t xml:space="preserve"> </w:t>
      </w:r>
      <w:r>
        <w:rPr>
          <w:rFonts w:ascii="Times New Roman;sans-serif" w:hAnsi="Times New Roman;sans-serif"/>
          <w:b w:val="false"/>
          <w:color w:val="231F20"/>
          <w:sz w:val="20"/>
        </w:rPr>
        <w:t>months ended March 31, 2024 and 2023, respectively. T</w:t>
      </w:r>
      <w:r>
        <w:rPr>
          <w:rFonts w:ascii="Times New Roman;sans-serif" w:hAnsi="Times New Roman;sans-serif"/>
          <w:b w:val="false"/>
          <w:color w:val="000000"/>
          <w:sz w:val="20"/>
        </w:rPr>
        <w:t>he three</w:t>
      </w:r>
      <w:r>
        <w:rPr>
          <w:color w:val="231F20"/>
        </w:rPr>
        <w:t xml:space="preserve"> </w:t>
      </w:r>
      <w:r>
        <w:rPr>
          <w:rFonts w:ascii="Times New Roman;sans-serif" w:hAnsi="Times New Roman;sans-serif"/>
          <w:b w:val="false"/>
          <w:color w:val="231F20"/>
          <w:sz w:val="20"/>
        </w:rPr>
        <w:t>months ended March 31, 2024</w:t>
      </w:r>
      <w:r>
        <w:rPr>
          <w:color w:val="000000"/>
        </w:rPr>
        <w:t xml:space="preserve"> </w:t>
      </w:r>
      <w:r>
        <w:rPr>
          <w:rFonts w:ascii="Times New Roman;sans-serif" w:hAnsi="Times New Roman;sans-serif"/>
          <w:b w:val="false"/>
          <w:color w:val="000000"/>
          <w:sz w:val="20"/>
        </w:rPr>
        <w:t>included $709,000 of broker incentive rebates in the Excess and Surplus Lines segment and $202,000 of other miscellaneous income, partially offset by non-operating expenses of $732,000 primarily consisting of legal and other professional fees and other expenses related to various strategic initiatives. For the three</w:t>
      </w:r>
      <w:r>
        <w:rPr>
          <w:color w:val="231F20"/>
        </w:rPr>
        <w:t xml:space="preserve"> </w:t>
      </w:r>
      <w:r>
        <w:rPr>
          <w:rFonts w:ascii="Times New Roman;sans-serif" w:hAnsi="Times New Roman;sans-serif"/>
          <w:b w:val="false"/>
          <w:color w:val="231F20"/>
          <w:sz w:val="20"/>
        </w:rPr>
        <w:t>months ended March 31, 2023, the net expense of $415,000 was primarily comprised of $575,000 of non-operating expenses.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Interest expense was $6.5 million and $5.6 million for the three</w:t>
      </w:r>
      <w:r>
        <w:rPr>
          <w:color w:val="231F20"/>
        </w:rPr>
        <w:t xml:space="preserve"> </w:t>
      </w:r>
      <w:r>
        <w:rPr>
          <w:rFonts w:ascii="Times New Roman;sans-serif" w:hAnsi="Times New Roman;sans-serif"/>
          <w:b w:val="false"/>
          <w:color w:val="231F20"/>
          <w:sz w:val="20"/>
        </w:rPr>
        <w:t>months ended March 31, 2024 and 2023, respectively.</w:t>
      </w:r>
      <w:r>
        <w:rPr>
          <w:color w:val="000000"/>
        </w:rPr>
        <w:t xml:space="preserve"> </w:t>
      </w:r>
      <w:r>
        <w:rPr>
          <w:rFonts w:ascii="Times New Roman;sans-serif" w:hAnsi="Times New Roman;sans-serif"/>
          <w:b w:val="false"/>
          <w:color w:val="000000"/>
          <w:sz w:val="20"/>
        </w:rPr>
        <w:t>The increase over the prior year reflects the impact of rising interest rates on our variable rate senior and trust preferred debt. See “—Liquidity and Capital Resources—Sources and Uses of Funds” for more information regarding our senior bank debt facilities and trust preferred securities.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Amortization of Intangibles and Impairment of Intangible Assets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$91,000 of amortization of intangible assets in each of the three months ended March 31, 2024 and 2023.</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fluctuates from period to period based on the relative mix of income from continuing operations reported by country and the respective tax rates imposed by each tax jurisdiction. Statutory tax rates are 0% and 21% for Bermuda and the U.S. For the three months ended March 31, 2024 and 2023, our effective tax rate on income from continuing operations was 28.7% and 28.4%, respectively. The Company does not receive a U.S. tax deduction for losses in our Bermuda entities. Bermuda had losses in both periods primarily due to Bermuda holding company expenses and interest expense.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Reserves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indicator of reserve strength that we monitor closely is the percentage of our gross and net loss reserves that are comprised of incurred but not reported (“IBNR”) reserves.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gross reserve for losses and loss adjustment expenses at March 31, 2024 was $2,661.9 million. Of this amount, 67.9% relates to amounts that are IBNR. This amount was 66.9% at December 31, 2023. The Company’s gross reserves for losses and loss adjustment expenses by segment are summarized as follows:</w:t>
      </w:r>
    </w:p>
    <w:tbl>
      <w:tblPr>
        <w:tblW w:w="6957" w:type="dxa"/>
        <w:jc w:val="left"/>
        <w:tblInd w:w="0" w:type="dxa"/>
        <w:tblLayout w:type="fixed"/>
        <w:tblCellMar>
          <w:top w:w="28" w:type="dxa"/>
          <w:left w:w="28" w:type="dxa"/>
          <w:bottom w:w="28" w:type="dxa"/>
          <w:right w:w="28" w:type="dxa"/>
        </w:tblCellMar>
      </w:tblPr>
      <w:tblGrid>
        <w:gridCol w:w="911"/>
        <w:gridCol w:w="801"/>
        <w:gridCol w:w="808"/>
        <w:gridCol w:w="211"/>
        <w:gridCol w:w="826"/>
        <w:gridCol w:w="109"/>
        <w:gridCol w:w="109"/>
        <w:gridCol w:w="109"/>
        <w:gridCol w:w="109"/>
        <w:gridCol w:w="211"/>
        <w:gridCol w:w="976"/>
        <w:gridCol w:w="109"/>
        <w:gridCol w:w="109"/>
        <w:gridCol w:w="109"/>
        <w:gridCol w:w="109"/>
        <w:gridCol w:w="211"/>
        <w:gridCol w:w="976"/>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Gross Reserves at March 31, 2024</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2,661,909 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amount of net reserves (prior to the $660,000 allowance for uncollectible reinsurance recoverables) of $1,283.4 million that related to IBNR was 71.0%. This amount was 72.0% at December 31, 2023. The Company’s net reserves for losses and loss adjustment expenses by segment are summarized as follows:</w:t>
      </w:r>
    </w:p>
    <w:tbl>
      <w:tblPr>
        <w:tblW w:w="6807" w:type="dxa"/>
        <w:jc w:val="left"/>
        <w:tblInd w:w="0" w:type="dxa"/>
        <w:tblLayout w:type="fixed"/>
        <w:tblCellMar>
          <w:top w:w="28" w:type="dxa"/>
          <w:left w:w="28" w:type="dxa"/>
          <w:bottom w:w="28" w:type="dxa"/>
          <w:right w:w="28" w:type="dxa"/>
        </w:tblCellMar>
      </w:tblPr>
      <w:tblGrid>
        <w:gridCol w:w="911"/>
        <w:gridCol w:w="801"/>
        <w:gridCol w:w="808"/>
        <w:gridCol w:w="211"/>
        <w:gridCol w:w="826"/>
        <w:gridCol w:w="109"/>
        <w:gridCol w:w="109"/>
        <w:gridCol w:w="109"/>
        <w:gridCol w:w="109"/>
        <w:gridCol w:w="211"/>
        <w:gridCol w:w="826"/>
        <w:gridCol w:w="109"/>
        <w:gridCol w:w="109"/>
        <w:gridCol w:w="109"/>
        <w:gridCol w:w="109"/>
        <w:gridCol w:w="211"/>
        <w:gridCol w:w="976"/>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Reserves at March 31, 2024</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1,283,386 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Sources and Uses of Funds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sources of funds consist primarily of premiums written, investment income, reinsurance recoveries, proceeds from sales and redemptions of investments, borrowings on our credit facilities, and the issuance of common and 7% Series A Perpetual Cumulative Convertible Preferred Shares, par value $0.00125 per share (the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or reinsurance contract means that substantial and unpredictable payments may need to be made within relatively short periods of time.</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w:t>
      </w:r>
    </w:p>
    <w:tbl>
      <w:tblPr>
        <w:tblW w:w="7838" w:type="dxa"/>
        <w:jc w:val="left"/>
        <w:tblInd w:w="0" w:type="dxa"/>
        <w:tblLayout w:type="fixed"/>
        <w:tblCellMar>
          <w:top w:w="28" w:type="dxa"/>
          <w:left w:w="28" w:type="dxa"/>
          <w:bottom w:w="28" w:type="dxa"/>
          <w:right w:w="28" w:type="dxa"/>
        </w:tblCellMar>
      </w:tblPr>
      <w:tblGrid>
        <w:gridCol w:w="1950"/>
        <w:gridCol w:w="1712"/>
        <w:gridCol w:w="1722"/>
        <w:gridCol w:w="211"/>
        <w:gridCol w:w="721"/>
        <w:gridCol w:w="109"/>
        <w:gridCol w:w="109"/>
        <w:gridCol w:w="109"/>
        <w:gridCol w:w="109"/>
        <w:gridCol w:w="211"/>
        <w:gridCol w:w="721"/>
        <w:gridCol w:w="154"/>
      </w:tblGrid>
      <w:tr>
        <w:trPr/>
        <w:tc>
          <w:tcPr>
            <w:tcW w:w="1950"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provided by (used in):</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 (excluding restricted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restricted cash equivalents (operating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excluding restricted cash equivalents of $23.1 million and $18.4 million for the three months ended March 31, 2024 and 2023, respectively, was driven by the growth in our U.S. segments and the collection of premiums receivable at a quicker rate than payments of loss and loss adjustment expenses. Cash provided by operating activities from continuing operations excluding restricted cash equivalents was $47.5 million and $47.4 million for the three months ended March 31, 2024 and 2023, respectively, compared to cash used in operating activities of discontinued operations of $24.4 million and $29.0 million in the respective periods. Because JRG Re was in run off at March 31, 2024, we believe that its sale, which closed on April 16, 2024, will increase our future cash flows from operations relative to 2023. Proceeds from the sale of JRG Re will support additional growth in our U.S. continuing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of $47.5 million and $17.1 million for the three months ended March 31, 2024 and 2023, respectively, mostly reflects the run-off of JRG Re and the withdrawal of invested assets to fund claims and operating expenses. Cash and cash equivalents (excluding restricted cash equivalents) comprised 13.9% and 8.3% of total cash and invested assets at March 31, 2024 and 2023, respectively. Cash used in investing activities from continuing operations was $10.9 million and $8.0 million for the three months ended March 31, 2024 and 2023, respectively, compared to cash provided by investing activities of discontinued operations of $58.4 million and $25.1 million in the respective periods. Because JRG Re was in run off at March 31, 2024, we believe that its sale, which closed on April 16, 2024, will increase our future cash flows from operations relative to 2023 which will lead to higher amounts invested and more cash used in investing activities. Proceeds from the sale of JRG Re supporting additional growth in our U.S. continuing operations are expected to be invested and will increase the invested assets of our continuing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of $5.5 million for the three months ended March 31, 2024 includes $2.0 million of dividends paid to common shareholders, $2.6 million of dividends paid on the Series A Preferred Shares, and $824,000 of payroll taxes withheld and remitted on net settlement of RSUs. Cash used in financing activities of $8.8 million for the three months ended March 31, 2023 includes $2.0 million of dividends paid to common shareholders, $5.3 million of dividends paid on the Series A Preferred Shares, and $1.5 million of payroll taxes withheld and remitted on net settlement of RSUs.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activity in restricted cash equivalents for the three months ended March 31, 2024 and 2023 relates to a former insured, per the terms of a collateral trust. See </w:t>
      </w:r>
      <w:r>
        <w:rPr>
          <w:rFonts w:ascii="Times New Roman;sans-serif" w:hAnsi="Times New Roman;sans-serif"/>
          <w:b w:val="false"/>
          <w:i/>
          <w:color w:val="000000"/>
          <w:sz w:val="20"/>
        </w:rPr>
        <w:t xml:space="preserve">Amounts Recoverable from an Indemnifying Party and Reinsurer on Legacy Commercial Auto Book </w:t>
      </w:r>
      <w:r>
        <w:rPr>
          <w:rFonts w:ascii="Times New Roman;sans-serif" w:hAnsi="Times New Roman;sans-serif"/>
          <w:b w:val="false"/>
          <w:color w:val="000000"/>
          <w:sz w:val="20"/>
        </w:rPr>
        <w:t>below.</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receive cash in a similar manner and also through payments from our subsidiaries pursuant to our U.S. consolidated tax allocation agreement.</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Business – U.S. Insurance Regulation – State Regulation” in our Annual Report on Form 10-K for the year ended December 31, 2023 filed with the SEC on February 29, 2024 for additional information. The maximum amount of dividends available to the U.S. holding company from our U.S. insurance subsidiaries during 2024 without regulatory approval is $107.1 million.</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Series A Preferred Shares are entitled to a dividend at the initial rate of 7% of the Liquidation Preference per annum, paid in cash, in-kind in common shares or in Series A Preferred Shares, at our election. On the five-year anniversary of the issuance of the Series A Preferred Shares, and each five-year anniversary thereafter, the dividend rate will reset to a rate equal to the five-year U.S. treasury rate plus 5.2%. Dividends accrue and are payable quarterly. Cash dividends of $2.6 million for the fourth quarter of 2023 were paid on January 2, 2024. Cash dividends of $2.6 million for the first quarter of 2024 were paid on April 1, 2024. In the first quarter of 2023, aggregate cash dividends of $5.3 million were paid for the three month periods ended December 31, 2022 and March 31,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Bermuda holding company had $6.9 million of cash and cash equivalents. The U.S. holding company had $18.4 million of cash and invested assets, comprised of cash and cash equivalents of $14.7 million, equities of $3.1 million and other invested assets of $664,000, which are not subject to regulatory restrictions. Additionally, our U.K. intermediate holding company had no invested assets and cash of less than ten thousand dollars at March 31, 2024.</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Company had a $315.0 million senior revolving credit facility (as amended or amended and restated, the “2013 Facility”). The 2013 Facility was comprised of the following at March 31, 2024:</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$102.5 million secured revolving facility used by JRG Re to issue letters of credit for the benefit of third-party reinsureds. This portion of our credit facility is secured by our investment securities. At March 31, 2024, the Company had $42.8 million of letters of credit issued under the secured facility.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$212.5 million unsecured revolving facility to meet the working capital needs of the Company. All unpaid principal on the revolver is due at maturity. Interest accrues quarterly and is payable in arrears, currently at 1-month SOFR (the Company, per the terms of the credit agreement, can elect between one, three, or six month interest periods) plus a 0.1% SOFR index adjustment and a SOFR margin which is currently 1.75% and is subject to change according to terms in the credit agreement. At March 31, 2024, the Company had a drawn balance of $185.8 million outstanding on the unsecured revolver.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2013 Facility has been amended from time to time since its inception in 2013.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7, 2023, the Company entered into a Third Amended and Restated Credit Agreement for its $315.0 million senior revolving credit facility which, among other things, extended the maturity date of such facility until July 7, 2026 and increased the applicable interest rate and letter of credit fees. On April 16, 2024, the 2013 Facility was amended in connection with the closing of the sale of JRG Re by the Company to (i) release JRG Re as a borrower and release all collateral pledged by JRG Re thereunder, and (ii) decrease the secured revolving facility commitment to $45 million.</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2013 Facility contains certain financial and other covenants (including minimum net worth, maximum ratio of total adjusted debt outstanding to total capitalization, and financial strength ratings) with which the Company was in compliance at March 31, 2024, with the exception of a default of the financial strength rating covenant due to the downgrade of JRG Re by A.M. Best on December 20, 2023 from “A-” (Excellent) to “B++” (good). The financial strength rating covenant requires that each of our regulated insurance subsidiaries maintain an A.M. Best rating not lower than “A-</w:t>
      </w:r>
      <w:r>
        <w:rPr>
          <w:color w:val="000000"/>
        </w:rPr>
        <w:t xml:space="preserve">” </w:t>
      </w:r>
      <w:r>
        <w:rPr>
          <w:rFonts w:ascii="Times New Roman;sans-serif" w:hAnsi="Times New Roman;sans-serif"/>
          <w:b w:val="false"/>
          <w:color w:val="000000"/>
          <w:sz w:val="20"/>
        </w:rPr>
        <w:t>(Excellent). Our lenders waived this default through March 1, 2025, and it was cured upon the April 16, 2024 closing of the sale of JRG Re, at which time JRG Re was removed as a borrower under the 2013 Facility.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 2017, the Company, and its former wholly-owned subsidiary, JRG Re, together as borrowers, entered into a credit agreement (the "2017 Facility") that provided the Company with a revolving line of credit of up to $100.0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loans and letters of credit made or issued under the revolving line of credit of the 2017 Facility may be used to finance the borrowers' general corporate purposes. Interest accrues and is payable in arrears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variable rates which are subject to change according to terms in the credit agreement. At March 31, 2024, unsecured loans of $21.5 million and secured letters of credit totaling $24.7 million were outstanding on the 2017 Facility.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2017 Facility has been amended from time to time since its inception in 2017, including on April 16, 2024 in connection with the closing of the sale of JRG Re by the Company to (i) release JRG Re as a borrower and release all collateral pledged by JRG Re thereunder, (ii) increase the applicable interest rates, (iii) eliminate the letter of credit portion of the facility, and (iv) to build in an automatic decrease of the facility amount by the amount of each letter of credit outstanding under the 2017 Facility as of the date of the amendment with effect from the date each such letter of credit is cancelled.</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2017 Facility contains certain financial and other covenants with which we are in compliance at March 31, 2024, with the exception of a default of the financial strength rating covenant due to the downgrade of JRG Re by A.M. Best on December 20, 2023 from “A-” (Excellent) to “B++” (good).</w:t>
      </w:r>
      <w:r>
        <w:rPr>
          <w:color w:val="000000"/>
        </w:rPr>
        <w:t xml:space="preserve"> </w:t>
      </w:r>
      <w:r>
        <w:rPr>
          <w:rFonts w:ascii="Times New Roman;sans-serif" w:hAnsi="Times New Roman;sans-serif"/>
          <w:b w:val="false"/>
          <w:color w:val="000000"/>
          <w:sz w:val="20"/>
        </w:rPr>
        <w:t>The financial strength rating covenant requires that each of our regulated insurance subsidiaries maintain an A.M. Best rating not lower than “A-</w:t>
      </w:r>
      <w:r>
        <w:rPr>
          <w:color w:val="000000"/>
        </w:rPr>
        <w:t xml:space="preserve">” </w:t>
      </w:r>
      <w:r>
        <w:rPr>
          <w:rFonts w:ascii="Times New Roman;sans-serif" w:hAnsi="Times New Roman;sans-serif"/>
          <w:b w:val="false"/>
          <w:color w:val="000000"/>
          <w:sz w:val="20"/>
        </w:rPr>
        <w:t>(Excellent).</w:t>
      </w:r>
      <w:r>
        <w:rPr>
          <w:color w:val="000000"/>
        </w:rPr>
        <w:t xml:space="preserve"> </w:t>
      </w:r>
      <w:r>
        <w:rPr>
          <w:rFonts w:ascii="Times New Roman;sans-serif" w:hAnsi="Times New Roman;sans-serif"/>
          <w:b w:val="false"/>
          <w:color w:val="000000"/>
          <w:sz w:val="20"/>
        </w:rPr>
        <w:t>Our lender waived this default through March 1, 2025, and it was cured upon the April 16, 2024 closing of the sale of JRG Re, at which time JRG Re was removed as a borrower under the 2017 Facility.</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Debt and Trust Preferred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26, 2004, we issued $15.0 million of senior debt due April 29, 2034. The senior debt is not redeemable by the holder or subject to sinking fund requirements. Interest accrues quarterly and is payable in arrears at a floating rate per annum equal to the 3-month SOFR plus 4.11%. This senior debt is redeemable at par prior to its stated maturity at our option in whole or in part. The terms of the senior debt contain certain covenants, with which we are in compliance at March 31, 2024, and which, among other things, restrict our ability to assume senior indebtedness secured by our U.S. holding company’s common stock or its subsidiaries’ capital stock or to issue shares of its subsidiaries’ capital stock.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nature and terms of the junior subordinated debt and trust preferred securities outstanding at March 31, 2024 (including the Company’s repurchases of a portion of these trust preferred securities):</w:t>
      </w:r>
    </w:p>
    <w:tbl>
      <w:tblPr>
        <w:tblW w:w="10205" w:type="dxa"/>
        <w:jc w:val="left"/>
        <w:tblInd w:w="0" w:type="dxa"/>
        <w:tblLayout w:type="fixed"/>
        <w:tblCellMar>
          <w:top w:w="28" w:type="dxa"/>
          <w:left w:w="28" w:type="dxa"/>
          <w:bottom w:w="28" w:type="dxa"/>
          <w:right w:w="28" w:type="dxa"/>
        </w:tblCellMar>
      </w:tblPr>
      <w:tblGrid>
        <w:gridCol w:w="1180"/>
        <w:gridCol w:w="889"/>
        <w:gridCol w:w="902"/>
        <w:gridCol w:w="364"/>
        <w:gridCol w:w="364"/>
        <w:gridCol w:w="339"/>
        <w:gridCol w:w="109"/>
        <w:gridCol w:w="109"/>
        <w:gridCol w:w="109"/>
        <w:gridCol w:w="494"/>
        <w:gridCol w:w="416"/>
        <w:gridCol w:w="367"/>
        <w:gridCol w:w="109"/>
        <w:gridCol w:w="109"/>
        <w:gridCol w:w="109"/>
        <w:gridCol w:w="364"/>
        <w:gridCol w:w="364"/>
        <w:gridCol w:w="339"/>
        <w:gridCol w:w="109"/>
        <w:gridCol w:w="109"/>
        <w:gridCol w:w="109"/>
        <w:gridCol w:w="494"/>
        <w:gridCol w:w="416"/>
        <w:gridCol w:w="367"/>
        <w:gridCol w:w="109"/>
        <w:gridCol w:w="109"/>
        <w:gridCol w:w="109"/>
        <w:gridCol w:w="398"/>
        <w:gridCol w:w="350"/>
        <w:gridCol w:w="490"/>
      </w:tblGrid>
      <w:tr>
        <w:trPr/>
        <w:tc>
          <w:tcPr>
            <w:tcW w:w="118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Franklin</w:t>
              <w:br/>
              <w:t>Holdings II</w:t>
              <w:br/>
              <w:t>(Bermuda)</w:t>
              <w:br/>
              <w:t>Capital</w:t>
              <w:br/>
              <w:t>Trust I</w:t>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Issue date</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26,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15,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11,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10, 2008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Principal amount of trust preferred securities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$30,000</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Principal amount of junior subordinated debt</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$30,928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Carrying amount of junior subordinated debt net of repurchases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Maturity date of junior subordinated debt, unless accelerated earlier</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24,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15,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15, 2038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common stock</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per annum</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4.3%</w:t>
            </w:r>
          </w:p>
        </w:tc>
      </w:tr>
    </w:tbl>
    <w:p>
      <w:pPr>
        <w:pStyle w:val="TextBody"/>
        <w:bidi w:val="0"/>
        <w:spacing w:lineRule="auto" w:line="288" w:before="10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junior subordinated debt is currently redeemable at 100.0% of the unpaid principal amount at our option.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junior subordinated debt contains certain covenants with which we are in compliance as of March 31,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and December 31, 2023, the Company's leverage ratio was 25.6% and 26.0%, respectively. The leverage ratio is defined in our senior credit agreements as the ratio of adjusted consolidated debt to total capital. Adjusted consolidated debt treats trust preferred securities as equity capital up to 15% of total capital. The Series A Preferred Shares represent equity capital for purposes of the leverage ratio calculation under the credit agreements. Total capital is defined as total debt plus tangible equity excluding accumulated other comprehensive income. The maximum leverage ratio permitted by the agreements is 35.0%.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Ceded Reinsurance</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proportional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proportional quota share reinsurance, the reinsurer agrees to assume a specified percentage of the ceding company’s losses arising out of a defined class of business in exchange for a corresponding percentage of premiums. The Company also utilizes facultative reinsurance to reduce the amount of exposure it retains on individual accounts according to its guidelines for accepting risk across various industry segments, locations and types of exposure. For the three months ended March 31, 2024 and 2023, our net premium retention was 41.8% and 49.3%,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Excess and Surplus Lines segment’s ceded reinsurance in place as of March 31, 2024:</w:t>
      </w:r>
    </w:p>
    <w:tbl>
      <w:tblPr>
        <w:tblW w:w="5170" w:type="dxa"/>
        <w:jc w:val="left"/>
        <w:tblInd w:w="0" w:type="dxa"/>
        <w:tblLayout w:type="fixed"/>
        <w:tblCellMar>
          <w:top w:w="28" w:type="dxa"/>
          <w:left w:w="28" w:type="dxa"/>
          <w:bottom w:w="28" w:type="dxa"/>
          <w:right w:w="28" w:type="dxa"/>
        </w:tblCellMar>
      </w:tblPr>
      <w:tblGrid>
        <w:gridCol w:w="596"/>
        <w:gridCol w:w="525"/>
        <w:gridCol w:w="528"/>
        <w:gridCol w:w="109"/>
        <w:gridCol w:w="109"/>
        <w:gridCol w:w="109"/>
        <w:gridCol w:w="933"/>
        <w:gridCol w:w="933"/>
        <w:gridCol w:w="1328"/>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Company Retention</w:t>
            </w:r>
          </w:p>
        </w:tc>
      </w:tr>
      <w:tr>
        <w:trPr/>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$3.2 million per occurrence.</w:t>
            </w:r>
            <w:r>
              <w:rPr>
                <w:rFonts w:ascii="Times New Roman;sans-serif" w:hAnsi="Times New Roman;sans-serif"/>
                <w:b w:val="false"/>
                <w:color w:val="000000"/>
                <w:sz w:val="13"/>
              </w:rPr>
              <w:t>(1)</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Primary Casualty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$1.38 million per occurrence.</w:t>
            </w:r>
            <w:r>
              <w:rPr>
                <w:rFonts w:ascii="Times New Roman;sans-serif" w:hAnsi="Times New Roman;sans-serif"/>
                <w:b w:val="false"/>
                <w:color w:val="000000"/>
                <w:sz w:val="13"/>
              </w:rPr>
              <w:t>(2)</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$1.98 million per occurrence.</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$5.0 million per risk.</w:t>
            </w:r>
            <w:r>
              <w:rPr>
                <w:rFonts w:ascii="Times New Roman;sans-serif" w:hAnsi="Times New Roman;sans-serif"/>
                <w:b w:val="false"/>
                <w:color w:val="000000"/>
                <w:sz w:val="13"/>
              </w:rPr>
              <w:t>(3)</w:t>
            </w:r>
          </w:p>
        </w:tc>
      </w:tr>
    </w:tbl>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    Excluding Excess Casualty.</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    Total exposure to any one claim is generally $690,000.</w:t>
      </w:r>
    </w:p>
    <w:p>
      <w:pPr>
        <w:pStyle w:val="TextBody"/>
        <w:bidi w:val="0"/>
        <w:spacing w:lineRule="auto" w:line="288" w:before="0" w:after="18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(3)    The property catastrophe reinsurance treaty has a limit of $20.0 million per event with one reinstatement.</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 our Excess and Surplus Lines segment, we write a small book of excess property insurance, but we do not write primary property insurance. The Excess and Surplus Lines segment has a specific proportional quota share treaty in effect to cover property risks. The proportional quota share treaty along with facultative reinsurance helps ensure that our net retained limit per risk will be $5.0 million or less.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Also in our Excess and Surplus Lines segment, a specialty casualty treaty providing $9.0 million in excess of $2.0 million coverage is subject to reinstatement premiums for treaty years spanning July 1, 2017 through July 1, 2022.</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 modeling of our Excess and Surplus Lines and Specialty Admitted segments, it would take an event greater than the 1 in 1,000 year PML to exhaust our $20.0 million property catastrophe reinsurance. In the event of a catastrophe loss exhausting our $20.0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pStyle w:val="TextBody"/>
        <w:bidi w:val="0"/>
        <w:spacing w:lineRule="auto" w:line="288" w:before="0" w:after="120"/>
        <w:ind w:left="0" w:right="0" w:firstLine="405"/>
        <w:jc w:val="both"/>
        <w:rPr/>
      </w:pPr>
      <w:r>
        <w:rPr>
          <w:rFonts w:ascii="Times New Roman;sans-serif" w:hAnsi="Times New Roman;sans-serif"/>
          <w:b w:val="false"/>
          <w:color w:val="000000"/>
          <w:sz w:val="20"/>
        </w:rPr>
        <w:t>The Commercial Auto LPT with Aleka reinsures substantially all of the Excess and Surplus Lines segment’s legacy portfolio of commercial auto policies previously issued to Rasier. See “</w:t>
      </w:r>
      <w:r>
        <w:rPr>
          <w:rFonts w:ascii="Times New Roman;sans-serif" w:hAnsi="Times New Roman;sans-serif"/>
          <w:b w:val="false"/>
          <w:i/>
          <w:color w:val="000000"/>
          <w:sz w:val="20"/>
        </w:rPr>
        <w:t>Amounts Recoverable from an Indemnifying Party and Reinsurer on the Legacy Commercial Auto Book</w:t>
      </w:r>
      <w:r>
        <w:rPr>
          <w:color w:val="000000"/>
        </w:rPr>
        <w:t xml:space="preserve">” </w:t>
      </w:r>
      <w:r>
        <w:rPr>
          <w:rFonts w:ascii="Times New Roman;sans-serif" w:hAnsi="Times New Roman;sans-serif"/>
          <w:b w:val="false"/>
          <w:color w:val="000000"/>
          <w:sz w:val="20"/>
        </w:rPr>
        <w:t>below for further information on this reinsurance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Specialty Admitted Insurance segment’s ceded reinsurance in place as of March 31, 2024:</w:t>
      </w:r>
    </w:p>
    <w:tbl>
      <w:tblPr>
        <w:tblW w:w="10205" w:type="dxa"/>
        <w:jc w:val="left"/>
        <w:tblInd w:w="0" w:type="dxa"/>
        <w:tblLayout w:type="fixed"/>
        <w:tblCellMar>
          <w:top w:w="28" w:type="dxa"/>
          <w:left w:w="28" w:type="dxa"/>
          <w:bottom w:w="28" w:type="dxa"/>
          <w:right w:w="28" w:type="dxa"/>
        </w:tblCellMar>
      </w:tblPr>
      <w:tblGrid>
        <w:gridCol w:w="1039"/>
        <w:gridCol w:w="666"/>
        <w:gridCol w:w="611"/>
        <w:gridCol w:w="109"/>
        <w:gridCol w:w="109"/>
        <w:gridCol w:w="109"/>
        <w:gridCol w:w="2272"/>
        <w:gridCol w:w="2170"/>
        <w:gridCol w:w="3120"/>
      </w:tblGrid>
      <w:tr>
        <w:trPr/>
        <w:tc>
          <w:tcPr>
            <w:tcW w:w="103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r>
      <w:tr>
        <w:trPr/>
        <w:tc>
          <w:tcPr>
            <w:tcW w:w="2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Coverage</w:t>
            </w:r>
          </w:p>
        </w:tc>
      </w:tr>
      <w:tr>
        <w:trPr/>
        <w:tc>
          <w:tcPr>
            <w:tcW w:w="2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Workers’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of loss coverage for $29.5 million in excess of $500,000.</w:t>
            </w:r>
          </w:p>
        </w:tc>
      </w:tr>
      <w:tr>
        <w:trPr/>
        <w:tc>
          <w:tcPr>
            <w:tcW w:w="2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50%-90% of limits up to $1.5 million liability and $7.5 million physical damage per occurrence.</w:t>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Liability &amp; Professional Liability –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61.3%-100% of limits up to $2.0 million per occurrence.</w:t>
            </w:r>
          </w:p>
        </w:tc>
      </w:tr>
      <w:tr>
        <w:trPr/>
        <w:tc>
          <w:tcPr>
            <w:tcW w:w="2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Umbrella and Excess Casualty -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at least 85% of limits up to $10.0 million per occurrence, and 82% of excess of loss coverage for $5.0 million in excess of $10.0 million.</w:t>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within Package - Programs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100% of limits up to $40.0 million per risk.</w:t>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100% of limits up to $58.9 million per occurrence.</w:t>
            </w:r>
          </w:p>
        </w:tc>
      </w:tr>
      <w:tr>
        <w:trPr/>
        <w:tc>
          <w:tcPr>
            <w:tcW w:w="2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Aviation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80% of limits up to $25 million liability, $5.0 million hull, and $5.0 million spares per occurrence, each aircraft; and excess of loss coverage for up to $8.7 million excess of $300,000 of our 20% share of the quota share each occurrence.</w:t>
            </w:r>
          </w:p>
        </w:tc>
      </w:tr>
    </w:tbl>
    <w:p>
      <w:pPr>
        <w:pStyle w:val="TextBody"/>
        <w:bidi w:val="0"/>
        <w:spacing w:lineRule="auto" w:line="288" w:before="12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Specialty Admitted Insurance segment purchases reinsurance for at least 50% of the exposed limits on specialty admitted property-casualty business. The segment enters into reinsurance contracts for the fronting and program business. While the segment focuses on casualty business, incidental property risk is incurred in the fronting and program business. The segment is covered for $20.0 million in excess of $5.0 million per occurrence to manage its property exposure to an approximate 1 in 1,000 year PML.</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 the aggregate, we believe our pre-tax group-wide PML from a 1 in 1,000 year property catastrophe event would not exceed 2.5% of shareholders’ equity, inclusive of reinstatement premiums payable.</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JRG Re entered into the Casualty Re LPT with FRL to reinsure the majority of the segment risk, which closed on March 31, 2022. Under the terms of the transaction,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We also had a contingency clash reinsurance treaty to cover both the Excess and Surplus Lines and Specialty Admitted Insurance segments in the event of a claim incident involving more than one of our insureds in addition to Extra Contractual and Excess Policy Limits protection. The treaty covered $10.0 million in excess of a $2.0 million retention for loss occurrences within the treaty term. This coverage was put into runoff effective July 1, 2022.</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2020, we purchased an additional $10.0 million in claims made coverage for excess policy limits and extra contractual obligations exposures above the clash and contingency treaty for the period 2014 to its expiration on December 31, 2022. This treaty had one reinstatement.</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March 31, 2024, the allowance for credit losses on reinsurance recoverables was $660,000.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require collateral, in the form of a trust arrangement or letter of credit, to secure the obligations of the insurance entity for whom we are fronting.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we had reinsurance recoverables on unpaid losses of $1,377.9 million (net of a $660,000 allowance for credit losses) and reinsurance recoverables on paid losses of $142.3 million, and all material recoverable amounts were from companies with A.M. Best ratings of “A-" (Excellent) or better, or are collateralized by the reinsurer for our benefit through letters of credit or funds on deposit in trust accounts.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is required to post collateral under the Indemnity Agreements and the Commercial Auto LPT, respectively:</w:t>
      </w:r>
    </w:p>
    <w:p>
      <w:pPr>
        <w:pStyle w:val="TextBody"/>
        <w:bidi w:val="0"/>
        <w:spacing w:lineRule="auto" w:line="288" w:before="0" w:after="120"/>
        <w:ind w:left="0" w:right="0" w:firstLine="405"/>
        <w:jc w:val="both"/>
        <w:rPr/>
      </w:pPr>
      <w:r>
        <w:rPr>
          <w:color w:val="000000"/>
        </w:rPr>
        <w:t>•</w:t>
      </w:r>
      <w:r>
        <w:rPr>
          <w:rFonts w:ascii="Times New Roman;sans-serif" w:hAnsi="Times New Roman;sans-serif"/>
          <w:b w:val="false"/>
          <w:color w:val="000000"/>
          <w:sz w:val="20"/>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March 31, 2024, the balance in the Indemnity Trust was $109.3 million, and, together with the balance of the Loss Fund Trust (as defined below) attributable to the Indemnity Agreements as described below, the total balance of collateral securing Rasier’s obligations under the Indemnity Agreements was $154.5 million.</w:t>
      </w:r>
    </w:p>
    <w:p>
      <w:pPr>
        <w:pStyle w:val="TextBody"/>
        <w:bidi w:val="0"/>
        <w:spacing w:lineRule="auto" w:line="288" w:before="0" w:after="120"/>
        <w:ind w:left="0" w:right="0" w:firstLine="405"/>
        <w:jc w:val="both"/>
        <w:rPr/>
      </w:pPr>
      <w:r>
        <w:rPr>
          <w:color w:val="000000"/>
        </w:rPr>
        <w:t>•</w:t>
      </w:r>
      <w:r>
        <w:rPr>
          <w:rFonts w:ascii="Times New Roman;sans-serif" w:hAnsi="Times New Roman;sans-serif"/>
          <w:b w:val="false"/>
          <w:color w:val="000000"/>
          <w:sz w:val="20"/>
        </w:rPr>
        <w:t>Pursuant to the Commercial Auto LPT, Aleka is required to post collateral equal to 102% of James River's estimate of Aleka's obligations under the Commercial Auto LPT, calculated in accordance with statutory actuarial principles and based on reserves recorded in the Company's statutory financial statements. The collateral is provided through a collateral trust arrangement (the “LPT Trust”) established in favor of James River by Aleka. At March 31, 2024, the balance in the LPT Trust was $49.9 million, and, together with the balance of the Loss Fund Trust (as defined below) attributable to the Commercial Auto LPT as described below, the total balance of collateral securing Aleka’s obligations under the Commercial Auto LPT was $70.0 million. At March 31, 2024, the total reinsurance recoverables under the Commercial Auto LPT was $67.4 million (including $63.7 million of unpaid recoverables and $3.7 million of paid recoverables).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March 31, 2024, the balance in the Loss Fund Trust was $73.4 million, including $45.2 million representing collateral supporting Rasier’s obligations under the Indemnity Agreements and $20.0 million representing collateral supporting Aleka’s obligations under the Commercial Auto LPT. Funds posted to the Loss Fund Trust are classified as restricted cash equivalents on the Company's balance sheet.</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request additional collateral in accordance with the terms of the Commercial Auto LPT and Indemnity Agreements when our analysis indicates that we have uncollateralized exposure.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Ratings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A.M. Best financial strength rating for our group’s regulated U.S. insurance subsidiaries is “A-” (Excellent) with a negative outlook. This rating reflects A.M. Best’s opinion of our insurance subsidiaries’ financial strength, operating performance and ability to meet obligations to policyholders and is not an evaluation directed towards the protection of investors. The rating for our U.S. operating insurance companies of “A-” (Excellent) is the fourth highest rating of the thirteen ratings issued by A.M. Best and is assigned to insurers that have, in A.M. Best’s opinion, an excellent ability to meet their ongoing obligations to policyholders.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U.S. insurance subsidiaries allow our subsidiaries to actively pursue relationships with the agents and brokers identified in their marketing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Series A Preferred Shares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closed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Liquidation Preference per annum, which may be paid in cash, in-kind in common shares or in Series A Preferred Shares, at the Company’s election.</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EQUITY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common shares outstanding increased from 37,641,563 at December 31, 2023 to 37,822,340 at March 31, 2024, reflecting 180,777 common shares issued in the three months ended March 31, 2024 related to vesting of RSUs.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Share Based Compensation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$2.7 million of share based compensation expense in each of the three months ended March 31, 2024 and 2023. As of March 31, 2024, the Company had $12.4 million of unrecognized share based compensation expense expected to be charged to earnings over a weighted-average period of 2.0 years.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Options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 activity:</w:t>
      </w:r>
    </w:p>
    <w:tbl>
      <w:tblPr>
        <w:tblW w:w="7220" w:type="dxa"/>
        <w:jc w:val="left"/>
        <w:tblInd w:w="0" w:type="dxa"/>
        <w:tblLayout w:type="fixed"/>
        <w:tblCellMar>
          <w:top w:w="28" w:type="dxa"/>
          <w:left w:w="28" w:type="dxa"/>
          <w:bottom w:w="28" w:type="dxa"/>
          <w:right w:w="28" w:type="dxa"/>
        </w:tblCellMar>
      </w:tblPr>
      <w:tblGrid>
        <w:gridCol w:w="809"/>
        <w:gridCol w:w="711"/>
        <w:gridCol w:w="715"/>
        <w:gridCol w:w="396"/>
        <w:gridCol w:w="399"/>
        <w:gridCol w:w="196"/>
        <w:gridCol w:w="109"/>
        <w:gridCol w:w="109"/>
        <w:gridCol w:w="109"/>
        <w:gridCol w:w="211"/>
        <w:gridCol w:w="616"/>
        <w:gridCol w:w="109"/>
        <w:gridCol w:w="109"/>
        <w:gridCol w:w="109"/>
        <w:gridCol w:w="109"/>
        <w:gridCol w:w="449"/>
        <w:gridCol w:w="451"/>
        <w:gridCol w:w="196"/>
        <w:gridCol w:w="109"/>
        <w:gridCol w:w="109"/>
        <w:gridCol w:w="109"/>
        <w:gridCol w:w="211"/>
        <w:gridCol w:w="61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end of period</w:t>
            </w:r>
          </w:p>
        </w:tc>
        <w:tc>
          <w:tcPr>
            <w:tcW w:w="79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78,320 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options outstanding at December 31, 2023 lapsed in the three months ended March 31, 2024. At March 31, 2024, no options remain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RSUs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w:t>
      </w:r>
    </w:p>
    <w:tbl>
      <w:tblPr>
        <w:tblW w:w="7702" w:type="dxa"/>
        <w:jc w:val="left"/>
        <w:tblInd w:w="0" w:type="dxa"/>
        <w:tblLayout w:type="fixed"/>
        <w:tblCellMar>
          <w:top w:w="28" w:type="dxa"/>
          <w:left w:w="28" w:type="dxa"/>
          <w:bottom w:w="28" w:type="dxa"/>
          <w:right w:w="28" w:type="dxa"/>
        </w:tblCellMar>
      </w:tblPr>
      <w:tblGrid>
        <w:gridCol w:w="939"/>
        <w:gridCol w:w="825"/>
        <w:gridCol w:w="830"/>
        <w:gridCol w:w="449"/>
        <w:gridCol w:w="451"/>
        <w:gridCol w:w="196"/>
        <w:gridCol w:w="109"/>
        <w:gridCol w:w="109"/>
        <w:gridCol w:w="109"/>
        <w:gridCol w:w="213"/>
        <w:gridCol w:w="622"/>
        <w:gridCol w:w="110"/>
        <w:gridCol w:w="109"/>
        <w:gridCol w:w="109"/>
        <w:gridCol w:w="109"/>
        <w:gridCol w:w="449"/>
        <w:gridCol w:w="451"/>
        <w:gridCol w:w="196"/>
        <w:gridCol w:w="109"/>
        <w:gridCol w:w="109"/>
        <w:gridCol w:w="109"/>
        <w:gridCol w:w="213"/>
        <w:gridCol w:w="622"/>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period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(212,128)</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period</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985,864 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812,521 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RSUs granted to employees generally vest ratably over a three-year vesting period in the case of time-vest RSUs and cliff vest at the end of a three-year performance period in the case of PRSUs. RSUs granted to non-employee directors generally have a one year vesting period. The RSUs granted in 2024 and 2023 include 231,492 and 91,818 PRSU awards, respectively. The number of PRSUs is based upon the probable outcome of performance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Underwriting Performance Ratios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underwriting performance ratios of the Company's continuing operations inclusive of the business subject to retroactive reinsurance accounting for a loss portfolio transfer. There is no economic impact to the Company over the life of a loss portfolio transfer contract so long as any additional losses subject to the contract are within the limit of the loss portfolio transfer and the counterparty performs under the contract. Retroactive reinsurance accounting is not indicative of our current and ongoing operations. Management believes that providing loss ratios and combined ratios on business not subject to retroactive reinsurance accounting for loss portfolio transfers gives the users of our financial statements useful information in evaluating our current and ongoing operations.</w:t>
      </w:r>
    </w:p>
    <w:tbl>
      <w:tblPr>
        <w:tblW w:w="8107" w:type="dxa"/>
        <w:jc w:val="left"/>
        <w:tblInd w:w="0" w:type="dxa"/>
        <w:tblLayout w:type="fixed"/>
        <w:tblCellMar>
          <w:top w:w="28" w:type="dxa"/>
          <w:left w:w="28" w:type="dxa"/>
          <w:bottom w:w="28" w:type="dxa"/>
          <w:right w:w="28" w:type="dxa"/>
        </w:tblCellMar>
      </w:tblPr>
      <w:tblGrid>
        <w:gridCol w:w="1811"/>
        <w:gridCol w:w="1596"/>
        <w:gridCol w:w="1603"/>
        <w:gridCol w:w="109"/>
        <w:gridCol w:w="109"/>
        <w:gridCol w:w="247"/>
        <w:gridCol w:w="247"/>
        <w:gridCol w:w="255"/>
        <w:gridCol w:w="256"/>
        <w:gridCol w:w="615"/>
        <w:gridCol w:w="109"/>
        <w:gridCol w:w="109"/>
        <w:gridCol w:w="109"/>
        <w:gridCol w:w="307"/>
        <w:gridCol w:w="309"/>
        <w:gridCol w:w="316"/>
      </w:tblGrid>
      <w:tr>
        <w:trPr/>
        <w:tc>
          <w:tcPr>
            <w:tcW w:w="181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59" w:type="dxa"/>
            <w:gridSpan w:val="6"/>
            <w:tcBorders/>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including 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 including 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including 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 including 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RECONCILIATION OF NON-GAAP MEASURES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See “Key Metrics” above for descriptions of why management believes the following Non-GAAP measures provide useful information about our financial condition and results of operation.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Reconciliation of Underwriting Profit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underwriting profit as net earned premiums and gross fee income (in specific instances when the Company is not retaining insurance risk) less losses and loss adjustment expenses on business from continuing operations not subject to retroactive reinsurance accounting for loss portfolio transfers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underwriting profit (loss) of the operating segments by individual segment to consolidated income from continuing operations before income taxes:</w:t>
      </w:r>
    </w:p>
    <w:tbl>
      <w:tblPr>
        <w:tblW w:w="8336" w:type="dxa"/>
        <w:jc w:val="left"/>
        <w:tblInd w:w="0" w:type="dxa"/>
        <w:tblLayout w:type="fixed"/>
        <w:tblCellMar>
          <w:top w:w="28" w:type="dxa"/>
          <w:left w:w="28" w:type="dxa"/>
          <w:bottom w:w="28" w:type="dxa"/>
          <w:right w:w="28" w:type="dxa"/>
        </w:tblCellMar>
      </w:tblPr>
      <w:tblGrid>
        <w:gridCol w:w="1848"/>
        <w:gridCol w:w="1622"/>
        <w:gridCol w:w="1630"/>
        <w:gridCol w:w="109"/>
        <w:gridCol w:w="109"/>
        <w:gridCol w:w="139"/>
        <w:gridCol w:w="139"/>
        <w:gridCol w:w="269"/>
        <w:gridCol w:w="919"/>
        <w:gridCol w:w="139"/>
        <w:gridCol w:w="109"/>
        <w:gridCol w:w="109"/>
        <w:gridCol w:w="109"/>
        <w:gridCol w:w="211"/>
        <w:gridCol w:w="721"/>
        <w:gridCol w:w="154"/>
      </w:tblGrid>
      <w:tr>
        <w:trPr/>
        <w:tc>
          <w:tcPr>
            <w:tcW w:w="1848"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the operating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underwriting profit of operating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Underwriting profit </w:t>
            </w:r>
            <w:r>
              <w:rPr>
                <w:rFonts w:ascii="Times New Roman;sans-serif" w:hAnsi="Times New Roman;sans-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(1)Included in underwriting results for the three months ended March 31, 2024 and 2023 is gross fee income of $5.3 million and $5.7 million, respectively.</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Reconciliation of Adjusted Net Operating Income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 is defined as income available to common shareholders excluding a) income (loss) from discontinued operations, b) the impact of retroactive reinsurance accounting for a loss portfolio transfer, c) net realized and unrealized gains (losses) on investments, d) certain non-operating expenses such as professional service fees related to a class action lawsuit, various strategic initiatives, and the filing of registration statements for the offering of securities, and e) severance costs associated with terminated employees. Adjusted net operating income should not be viewed as a substitute for net income calculated in accordance with GAAP, and our definition of adjusted net operating income may not be comparable to that of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available to common shareholders reconciles to our adjusted net operating income as follows:</w:t>
      </w:r>
    </w:p>
    <w:tbl>
      <w:tblPr>
        <w:tblW w:w="10205" w:type="dxa"/>
        <w:jc w:val="left"/>
        <w:tblInd w:w="0" w:type="dxa"/>
        <w:tblLayout w:type="fixed"/>
        <w:tblCellMar>
          <w:top w:w="28" w:type="dxa"/>
          <w:left w:w="28" w:type="dxa"/>
          <w:bottom w:w="28" w:type="dxa"/>
          <w:right w:w="28" w:type="dxa"/>
        </w:tblCellMar>
      </w:tblPr>
      <w:tblGrid>
        <w:gridCol w:w="1816"/>
        <w:gridCol w:w="1595"/>
        <w:gridCol w:w="16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16"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available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investment gains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Tangible Equity and Tangible Equity per Share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Tangible equity is defined as shareholders' equity plus mezzanine Series A Preferred Shares and the unrecognized deferred retroactive reinsurance gain on loss portfolio transfers less goodwill and intangible assets, net of amortization. Tangible equity per share represents tangible equity divided by the sum of total common shares outstanding plus the common shares resulting from an assumed conversion of the outstanding Series A Preferred Shares into common shares (at the current conversion price). Our definitions of tangible equity and tangible equity per share may not be comparable to that of other companies, and they should not be viewed as a substitute for shareholders’ equity and shareholders’ equity per share calculated in accordance with GAAP.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shareholders’ equity to tangible equity as of March 31, 2024, December 31, 2023, and March 31, 2023:</w:t>
      </w:r>
    </w:p>
    <w:tbl>
      <w:tblPr>
        <w:tblW w:w="10205" w:type="dxa"/>
        <w:jc w:val="left"/>
        <w:tblInd w:w="0" w:type="dxa"/>
        <w:tblLayout w:type="fixed"/>
        <w:tblCellMar>
          <w:top w:w="28" w:type="dxa"/>
          <w:left w:w="28" w:type="dxa"/>
          <w:bottom w:w="28" w:type="dxa"/>
          <w:right w:w="28" w:type="dxa"/>
        </w:tblCellMar>
      </w:tblPr>
      <w:tblGrid>
        <w:gridCol w:w="778"/>
        <w:gridCol w:w="683"/>
        <w:gridCol w:w="685"/>
        <w:gridCol w:w="219"/>
        <w:gridCol w:w="862"/>
        <w:gridCol w:w="109"/>
        <w:gridCol w:w="109"/>
        <w:gridCol w:w="109"/>
        <w:gridCol w:w="109"/>
        <w:gridCol w:w="211"/>
        <w:gridCol w:w="616"/>
        <w:gridCol w:w="109"/>
        <w:gridCol w:w="109"/>
        <w:gridCol w:w="109"/>
        <w:gridCol w:w="109"/>
        <w:gridCol w:w="219"/>
        <w:gridCol w:w="862"/>
        <w:gridCol w:w="109"/>
        <w:gridCol w:w="109"/>
        <w:gridCol w:w="109"/>
        <w:gridCol w:w="109"/>
        <w:gridCol w:w="211"/>
        <w:gridCol w:w="616"/>
        <w:gridCol w:w="109"/>
        <w:gridCol w:w="109"/>
        <w:gridCol w:w="109"/>
        <w:gridCol w:w="109"/>
        <w:gridCol w:w="219"/>
        <w:gridCol w:w="862"/>
        <w:gridCol w:w="109"/>
        <w:gridCol w:w="109"/>
        <w:gridCol w:w="109"/>
        <w:gridCol w:w="109"/>
        <w:gridCol w:w="211"/>
        <w:gridCol w:w="616"/>
        <w:gridCol w:w="155"/>
      </w:tblGrid>
      <w:tr>
        <w:trPr/>
        <w:tc>
          <w:tcPr>
            <w:tcW w:w="7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per</w:t>
              <w:br/>
              <w:t>Share</w:t>
            </w:r>
          </w:p>
        </w:tc>
      </w:tr>
      <w:tr>
        <w:trPr/>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reinsurance gain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equity</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from assumed conversion of Series A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after assumed conversion of Series A Preferred Shares</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44,572,907 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43,612,747 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43,259,384 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market risk from the information provided in Item 7A of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quarterly report on Form 10-Q, our management carried out an evaluation, under the supervision and with the participation of our CEO and CFO, as of March 31, 2024,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March 31, 2024.</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that occurred during our quarter ended March 31, 2024 that have materially affected, or are reasonably likely to materially affect, our internal control over financial reporting.</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including commercial matters and litigation regarding insurance claims which arise in the ordinary course of business, as well as the matters specifically discussed below. In addition, the Company is involved from time to time in legal actions which seek extra-contractual damages, punitive damages or penalties, including claims alleging bad faith in the handling of insurance claims. We believe that the outcome of such matters, individually and in the aggregate, is not reasonably likely to have a material adverse effect on our consolidated financial position, results of operations or cash flows.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 2022. On August 25, 2022, Plaintiffs filed a motion for leave to file a second amended class action complaint (the “Second Amended Complaint”). On September </w:t>
      </w:r>
      <w:r>
        <w:rPr>
          <w:rFonts w:ascii="Times New Roman;sans-serif" w:hAnsi="Times New Roman;sans-serif"/>
          <w:b w:val="false"/>
          <w:color w:val="000000"/>
          <w:sz w:val="20"/>
          <w:shd w:fill="FFFFFF" w:val="clear"/>
        </w:rPr>
        <w:t>8</w:t>
      </w:r>
      <w:r>
        <w:rPr>
          <w:rFonts w:ascii="Times New Roman;sans-serif" w:hAnsi="Times New Roman;sans-serif"/>
          <w:b w:val="false"/>
          <w:color w:val="000000"/>
          <w:sz w:val="20"/>
        </w:rPr>
        <w:t xml:space="preserve">, 2022, the Defendants consented to the Plaintiffs’ motion to file the Second Amended Complaint, and filed a motion to dismiss the Second Amended Complaint on October 24, 2022 (the “Second MTD”). The Plaintiffs’ opposition to the Second MTD was filed on November 7, 2022, and the Defendant’s reply to the Plaintiffs’ opposition was filed on November 14, 2022. On August 28, 2023, the Court denied the Second MTD. The Second Amended Complaint asserts claims under Sections 10(b) and 20(a) of the Securities Exchange Act of 1934 on behalf of a putative class of persons and entities that purchased the Company’s stock between February 22, 2019 and October 25, 2021, alleges that Defendants failed to make appropriate disclosures concerning the adequacy of reserves for policies that covered Rasier LLC, a subsidiary of Uber Technologies, Inc., and seeks unspecified damages, costs, attorneys’ fees and such other relief as the court may deem proper. We engaged in mediation in the fourth quarter of 2023 and on December 7, 2023,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connection with the mediation, we reached an agreement in principle to settle the action. On December 22, 2023, the parties submitted the stipulation of settlement to the Court for approval. The settlement provides for a full release of all defendants in connection with the allegations made and a settlement payment to the class of $30 million, inclusive of all Plaintiffs’ attorneys fees and expenses and settlement costs, all of which will be paid by the Company’s insurance carriers. On January 26, 2024 the Court issued an order granting preliminary approval of the settlement and scheduled a final settlement hearing for May 24,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2023, a purported class action lawsuit was filed in the U.S. District Court, Southern District of New York, on behalf of Paul Glantz against James River Group Holdings, Ltd. and certain of its officers, asserting claims under Sections 10(b) and 20(a) of the Securities Exchange Act of 1934. Mr. Glantz alleges that he purchased James River common stock between August 7, 2023 and November 7, 2023, inclusive, that the Company failed to disclose that it lacked effective internal controls regarding the recognition of reinstatement premiums for reinsurance and as a result the Company overstated its net income, and that, as a result, Mr. Glantz suffered unspecified damages. On January 12, 2024, both Mr. Glantz and Madhav Ghimire, another individual shareholder, filed an application with the court for appointment as Lead Plaintiff, and on January 26, 2024 Mr. Glantz filed a notice of non-opposition to Mr. Ghimire's competing motion for appointment as Lead Plaintiff. On March 25, 2024 the court entered an order appointing Mr. Ghimire as lead plaintiff. Plaintiff's consolidated amended complaint is due no later than May 24, 2024. We believe that the claims are without merit and intend to vigorously defend this lawsuit.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11, 2024, the Company filed a complaint (the “Complaint”) in the Supreme Court of the State of New York, New York County, Commercial Division against Fleming Intermediate Holdings LLC (“Fleming”), a Cayman Islands limited liability company, relating to the previously announced Stock Purchase Agreement, dated as of November 8, 2023 (the “Stock Purchase Agreement”), pursuant to which Fleming agreed to purchase all of the outstanding common shares of JRG Re (the “Transaction”). The complaint alleges that Fleming breached the Stock Purchase Agreement by its refusal to close the Transaction on March 1, 2024 as required under the terms of the Stock Purchase Agreement, and seeks specific performance of Fleming’s obligation to complete the Transaction and an award of damages. The Company subsequently filed a motion for preliminary injunction to require Fleming to fulfill its contractual obligation to close the Transaction, and on April 6, 2024 the Court granted the Company’s motion and ordered Fleming to complete the Transaction on or prior to April 16, 2024. On April 8, 2024, Fleming filed a notice of appeal of the preliminary injunction, which is pending in the Supreme Court of the State of New York Appellate Division, First Department. The Transaction closed on April 16, 2024. On April 19, 2024, Fleming filed a Motion to Dismiss the Complaint. The Company’s response to the Motion to Dismiss is due May 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risk factors in the quarter ended March 31, 2024 from those disclosed in our Annual Report on Form 10-K for the year ended December 31, 2023, except as follows:</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The purchase price received for the sale of JRG Re on April 16, 2024 is subject to a post-closing adjustment process that could result in a significant reduction to the sale proceeds.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 accordance </w:t>
      </w:r>
      <w:r>
        <w:rPr>
          <w:rFonts w:ascii="Times New Roman;sans-serif" w:hAnsi="Times New Roman;sans-serif"/>
          <w:b w:val="false"/>
          <w:color w:val="000000"/>
          <w:sz w:val="20"/>
          <w:shd w:fill="FFFFFF" w:val="clear"/>
        </w:rPr>
        <w:t xml:space="preserve">with the Stock Purchase Agreement, the cash portion of the purchase price </w:t>
      </w:r>
      <w:r>
        <w:rPr>
          <w:rFonts w:ascii="Times New Roman;sans-serif" w:hAnsi="Times New Roman;sans-serif"/>
          <w:b w:val="false"/>
          <w:color w:val="000000"/>
          <w:sz w:val="20"/>
        </w:rPr>
        <w:t>received by the Company for the sale of JRG Re on April 16, 2024 (the “Closing Date”) was calculated based on an estimated closing statement, which in turn was based on an estimated balance sheet of JRG Re. Under the Stock Purchase Agreement, the estimated closing statement is subject to a post-closing adjustment process between the Company and the buyer to produce a final closing statement based on a final balance sheet of JRG Re as of the Closing Date; this adjustment process could result in a change to the purchase price paid by the buyer on the Closing Date. It is possible that there will be material disputes between the Company and the buyer in connection with the post-closing adjustment process. The Stock Purchase Agreement provides procedures for resolving disputes between the parties regarding the final closing statement and final balance sheet and it is possible that these resolution procedures could result in a significant reduction to the amount of the final sales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hold the 2024 annual general meeting of shareholders (the "2024 Annual Meeting") on October 24, 2024. The record date, time and location of the 2024 Annual Meeting will be set forth in the proxy statement for the 2024 Annual Meeting to be distributed to shareholders prior to the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 proposals intended for inclusion in the Company's definitive proxy statement for the 2024 Annual Meeting pursuant to Rule 14a-8 of the Exchange Act must be received by August 15, 2024. Any such shareholder proposal should be sent to our registered office c/o Conyers Corporate Services (Bermuda) Limited, Clarendon House, P.O. Box HM 1022, Hamilton HM DX, Bermuda. Any such proposal must comply with the requirements of Rule 14a-8.</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Company's Fourth Amended and Restated Bye-laws (the "Bye-laws"), shareholders who intend to nominate a person for election as a director or submit a proposal regarding any other matter of business at the 2024 Annual Meeting must deliver written notice of the shareholder's intention to do so, which notice must include the information required by the Bye-laws. To be timely, the shareholder's notice must be delivered to or mailed and received by the Company's Secretary at the registered office of the Company identified above no earlier than June 26, 2024 and no later than August 15, 2024, and must include the information required by the Bye-laws. In addition to satisfying the foregoing requirements under the Bye-laws, to comply with the universal proxy rules, shareholders who intend to solicit proxies in support of director nominees other than the board of directors' nominees must provide notice that sets forth the information required by Rule 14a-19 promulgated under the Exchange Act, which must also be received within the time period specified in the immediately preceding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4"/>
        <w:gridCol w:w="233"/>
        <w:gridCol w:w="234"/>
        <w:gridCol w:w="109"/>
        <w:gridCol w:w="109"/>
        <w:gridCol w:w="109"/>
        <w:gridCol w:w="2700"/>
        <w:gridCol w:w="2650"/>
        <w:gridCol w:w="3797"/>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797"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Waiver Agreement dated February 26, 2024 to the Third Amended and Restated Credit Agreement dated as of July 7, 2023 by and among James River Group Holdings, Ltd. and JRG Reinsurance Company Ltd., as borrowers, KeyBank National Association (“KeyBank”) as Administrative Agent and Letter of Credit Issuer, KeyBank and Truist Securities, Inc. as Joint Book Runners and Joint Lead Arrangers, Truist Bank as Syndication Agent, and the lender parties thereto (incorporated by reference to Exhibit 10.1 of the Current Report on Form 8-K filed on February 28, 2024, Commission File No. 001-36777)</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Limited Waiver Agreement dated February 26, 2024 to the Credit Agreement dated as of August 2, 2017, as amended, by and among James River Group Holdings, Ltd. and JRG Reinsurance Company Ltd., as borrowers, and BMO Harris Bank N.A., as the lender (incorporated by reference to Exhibit 10.2 of the Current Report on Form 8-K filed on February 28, 2024, Commission File No. 001-36777)</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First Amendment dated April 16, 2024 to the Third Amended and Restated Credit Agreement dated as of July 7, 2023 by and among James River Group Holdings, Ltd. and JRG Reinsurance Company Ltd., as borrowers, KeyBank National Association (“KeyBank”) as Administrative Agent and Letter of Credit Issuer, KeyBank and Truist Securities, Inc. as Joint Book Runners and Joint Lead Arrangers, Truist Bank as Syndication Agent, and the lender parties thereto (incorporated by reference to Exhibit 10.1 of the Current Report on Form 8-K filed on April 22, 2024, Commission File No. 001-36777)</w:t>
              </w:r>
            </w:hyperlink>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Fourth Amendment dated April 16, 2024 to the Credit Agreement dated as of August 2, 2017, as amended, by and among James River Group Holdings, Ltd. and JRG Reinsurance Company Ltd., as borrowers, and BMO Bank N.A., as the lender (incorporated by reference to Exhibit 10.2 of the Current Report on Form 8-K filed on April 22, 2024, Commission File No. 001-36777)</w:t>
              </w:r>
            </w:hyperlink>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4jrvrex311.htm">
              <w:r>
                <w:rPr>
                  <w:rStyle w:val="InternetLink"/>
                  <w:rFonts w:ascii="Times New Roman;sans-serif" w:hAnsi="Times New Roman;sans-serif"/>
                  <w:b w:val="false"/>
                  <w:color w:val="0000FF"/>
                  <w:sz w:val="20"/>
                  <w:u w:val="single"/>
                </w:rPr>
                <w:t>Chief Executive Officer Certification pursuant to Rule 13a-14(a)/15d-14(a)</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4jrvrex312.htm">
              <w:r>
                <w:rPr>
                  <w:rStyle w:val="InternetLink"/>
                  <w:rFonts w:ascii="Times New Roman;sans-serif" w:hAnsi="Times New Roman;sans-serif"/>
                  <w:b w:val="false"/>
                  <w:color w:val="0000FF"/>
                  <w:sz w:val="20"/>
                  <w:u w:val="single"/>
                </w:rPr>
                <w:t>Chief Financial Officer Certification pursuant to Rule 13a-14(a)/15d-14(a)</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q24jrvrex32.htm">
              <w:r>
                <w:rPr>
                  <w:rStyle w:val="InternetLink"/>
                  <w:rFonts w:ascii="Times New Roman;sans-serif" w:hAnsi="Times New Roman;sans-serif"/>
                  <w:b w:val="false"/>
                  <w:color w:val="0000FF"/>
                  <w:sz w:val="20"/>
                  <w:u w:val="single"/>
                </w:rPr>
                <w:t>Chief Executive Officer and Chief Financial Officer Certification pursuant to 18 U.S.C. Section 1350, as adopted pursuant to Section 906 of the Sarbanes-Oxley Act of 2002</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 in Exhibit 101.</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601(a)(5) of Regulation S-K, the Schedules to this Exhibit have been omitted. A copy of the omitted schedules will be furnished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52741abae374b32b806917ed955b1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16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450"/>
        <w:gridCol w:w="450"/>
        <w:gridCol w:w="450"/>
        <w:gridCol w:w="909"/>
        <w:gridCol w:w="909"/>
        <w:gridCol w:w="13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7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Frank N. D’Orazio, certify that: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James River Group Holdings, Ltd.;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2024 </w:t>
      </w:r>
    </w:p>
    <w:p>
      <w:pPr>
        <w:pStyle w:val="TextBody"/>
        <w:bidi w:val="0"/>
        <w:spacing w:lineRule="auto" w:line="288" w:before="0" w:after="0"/>
        <w:jc w:val="left"/>
        <w:rPr>
          <w:color w:val="000000"/>
        </w:rPr>
      </w:pPr>
      <w:r>
        <w:rPr>
          <w:color w:val="000000"/>
        </w:rPr>
        <w:t> </w:t>
      </w:r>
    </w:p>
    <w:tbl>
      <w:tblPr>
        <w:tblW w:w="2816" w:type="dxa"/>
        <w:jc w:val="center"/>
        <w:tblInd w:w="0" w:type="dxa"/>
        <w:tblLayout w:type="fixed"/>
        <w:tblCellMar>
          <w:top w:w="28" w:type="dxa"/>
          <w:left w:w="28" w:type="dxa"/>
          <w:bottom w:w="28" w:type="dxa"/>
          <w:right w:w="28" w:type="dxa"/>
        </w:tblCellMar>
      </w:tblPr>
      <w:tblGrid>
        <w:gridCol w:w="886"/>
        <w:gridCol w:w="776"/>
        <w:gridCol w:w="782"/>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Sarah C. Doran, certify that: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James River Group Holdings, Ltd.;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2024 </w:t>
      </w:r>
    </w:p>
    <w:p>
      <w:pPr>
        <w:pStyle w:val="TextBody"/>
        <w:bidi w:val="0"/>
        <w:spacing w:before="100" w:after="283"/>
        <w:jc w:val="left"/>
        <w:rPr/>
      </w:pPr>
      <w:r>
        <w:rPr/>
      </w:r>
    </w:p>
    <w:tbl>
      <w:tblPr>
        <w:tblW w:w="2757" w:type="dxa"/>
        <w:jc w:val="center"/>
        <w:tblInd w:w="0" w:type="dxa"/>
        <w:tblLayout w:type="fixed"/>
        <w:tblCellMar>
          <w:top w:w="28" w:type="dxa"/>
          <w:left w:w="28" w:type="dxa"/>
          <w:bottom w:w="28" w:type="dxa"/>
          <w:right w:w="28" w:type="dxa"/>
        </w:tblCellMar>
      </w:tblPr>
      <w:tblGrid>
        <w:gridCol w:w="863"/>
        <w:gridCol w:w="759"/>
        <w:gridCol w:w="763"/>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James River Group Holdings, Ltd. (the “Company”) on Form 10-Q for the period ended March 31, 2024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pStyle w:val="TextBody"/>
        <w:bidi w:val="0"/>
        <w:spacing w:lineRule="auto" w:line="288" w:before="120" w:after="12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and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817" w:type="dxa"/>
        <w:jc w:val="center"/>
        <w:tblInd w:w="0" w:type="dxa"/>
        <w:tblLayout w:type="fixed"/>
        <w:tblCellMar>
          <w:top w:w="28" w:type="dxa"/>
          <w:left w:w="28" w:type="dxa"/>
          <w:bottom w:w="28" w:type="dxa"/>
          <w:right w:w="28" w:type="dxa"/>
        </w:tblCellMar>
      </w:tblPr>
      <w:tblGrid>
        <w:gridCol w:w="124"/>
        <w:gridCol w:w="109"/>
        <w:gridCol w:w="109"/>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0459/000162045924000018/exhibit101-keybankwaiverag.htm" TargetMode="External"/><Relationship Id="rId3" Type="http://schemas.openxmlformats.org/officeDocument/2006/relationships/hyperlink" Target="https://www.sec.gov/Archives/edgar/data/1620459/000162045924000018/exhibit102-bmowaiveragreem.htm" TargetMode="External"/><Relationship Id="rId4" Type="http://schemas.openxmlformats.org/officeDocument/2006/relationships/hyperlink" Target="https://www.sec.gov/Archives/edgar/data/1620459/000110465924049970/tm2412304d1_ex10-1.htm" TargetMode="External"/><Relationship Id="rId5" Type="http://schemas.openxmlformats.org/officeDocument/2006/relationships/hyperlink" Target="https://www.sec.gov/Archives/edgar/data/1620459/000110465924049970/tm2412304d1_ex10-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33996</Words>
  <Characters>187333</Characters>
  <CharactersWithSpaces>219567</CharactersWithSpaces>
  <Paragraphs>4150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