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73" w:lineRule="exact"/>
        <w:rPr>
          <w:sz w:val="24"/>
          <w:szCs w:val="24"/>
          <w:color w:val="auto"/>
        </w:rPr>
      </w:pPr>
    </w:p>
    <w:tbl>
      <w:tblPr>
        <w:tblLayout w:type="fixed"/>
        <w:tblInd w:w="820" w:type="dxa"/>
        <w:tblCellMar>
          <w:top w:w="0" w:type="dxa"/>
          <w:left w:w="0" w:type="dxa"/>
          <w:bottom w:w="0" w:type="dxa"/>
          <w:right w:w="0" w:type="dxa"/>
        </w:tblCellMar>
      </w:tblPr>
      <w:tr>
        <w:trPr>
          <w:trHeight w:val="261"/>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w:t>
            </w:r>
          </w:p>
        </w:tc>
        <w:tc>
          <w:tcPr>
            <w:tcW w:w="24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May 4, 2026</w:t>
            </w:r>
          </w:p>
        </w:tc>
      </w:tr>
    </w:tbl>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JAMES RIVER GROUP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Delaware</w:t>
            </w:r>
          </w:p>
        </w:tc>
        <w:tc>
          <w:tcPr>
            <w:tcW w:w="332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001-36777</w:t>
            </w:r>
          </w:p>
        </w:tc>
        <w:tc>
          <w:tcPr>
            <w:tcW w:w="388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98-0585280</w:t>
            </w:r>
          </w:p>
        </w:tc>
      </w:tr>
      <w:tr>
        <w:trPr>
          <w:trHeight w:val="234"/>
        </w:trPr>
        <w:tc>
          <w:tcPr>
            <w:tcW w:w="4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 File Number)</w:t>
            </w:r>
          </w:p>
        </w:tc>
        <w:tc>
          <w:tcPr>
            <w:tcW w:w="3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1414 Raleigh Road, Suite 405, Chapel Hill, North Carolina, 27517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900-1200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23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40"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28"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37"/>
        </w:trPr>
        <w:tc>
          <w:tcPr>
            <w:tcW w:w="178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92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5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Common Stock, par value $0.0002 per share</w:t>
            </w:r>
          </w:p>
        </w:tc>
        <w:tc>
          <w:tcPr>
            <w:tcW w:w="22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9"/>
              </w:rPr>
              <w:t>JRVR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highlight w:val="black"/>
        </w:rPr>
        <w:t>☐</w:t>
      </w:r>
    </w:p>
    <w:p>
      <w:pPr>
        <w:spacing w:after="0" w:line="309"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4, 2026, James River Group Holdings, Inc. (the “Company”) issued a press release announcing its financial results for the quarter ended March 31, 2026. A copy of the press release is furnished as Exhibit 99.1 to this Current Report on Form 8-K (this “Form 8-K”).</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in Exhibit 99.1 furnished herewith shall not be deemed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unless specifically stated by the Company.</w:t>
      </w:r>
    </w:p>
    <w:p>
      <w:pPr>
        <w:spacing w:after="0" w:line="216"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4, 2026, the Company announced that its Board of Directors declared a cash dividend of $0.01 per share of common stock of the Company to be paid on June 30, 2026 to shareholders of record on June 8, 2026.</w:t>
      </w:r>
    </w:p>
    <w:p>
      <w:pPr>
        <w:spacing w:after="0" w:line="19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a part of this Form 8-K: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 w:type="dxa"/>
            <w:vAlign w:val="bottom"/>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760" w:type="dxa"/>
            <w:vAlign w:val="bottom"/>
          </w:tcPr>
          <w:p>
            <w:pPr>
              <w:spacing w:after="0"/>
              <w:rPr>
                <w:sz w:val="19"/>
                <w:szCs w:val="19"/>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251"/>
        </w:trPr>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1"/>
                <w:szCs w:val="21"/>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the Company dated May 4, 2026</w:t>
            </w:r>
          </w:p>
        </w:tc>
      </w:tr>
      <w:tr>
        <w:trPr>
          <w:trHeight w:val="20"/>
        </w:trPr>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r>
        <w:trPr>
          <w:trHeight w:val="358"/>
        </w:trPr>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5700" w:type="dxa"/>
            <w:vAlign w:val="bottom"/>
            <w:gridSpan w:val="3"/>
          </w:tcPr>
          <w:p>
            <w:pPr>
              <w:ind w:left="228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INC.</w:t>
            </w:r>
          </w:p>
        </w:tc>
      </w:tr>
      <w:tr>
        <w:trPr>
          <w:trHeight w:val="51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May 4, 2026</w:t>
            </w:r>
          </w:p>
        </w:tc>
        <w:tc>
          <w:tcPr>
            <w:tcW w:w="57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By: /s/ Sarah C. Doran</w:t>
            </w:r>
          </w:p>
        </w:tc>
      </w:tr>
      <w:tr>
        <w:trPr>
          <w:trHeight w:val="20"/>
        </w:trPr>
        <w:tc>
          <w:tcPr>
            <w:tcW w:w="37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45"/>
        </w:trPr>
        <w:tc>
          <w:tcPr>
            <w:tcW w:w="3740" w:type="dxa"/>
            <w:vAlign w:val="bottom"/>
          </w:tcPr>
          <w:p>
            <w:pPr>
              <w:spacing w:after="0"/>
              <w:rPr>
                <w:sz w:val="21"/>
                <w:szCs w:val="21"/>
                <w:color w:val="auto"/>
              </w:rPr>
            </w:pPr>
          </w:p>
        </w:tc>
        <w:tc>
          <w:tcPr>
            <w:tcW w:w="570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Sarah C. Doran</w:t>
            </w:r>
          </w:p>
        </w:tc>
      </w:tr>
      <w:tr>
        <w:trPr>
          <w:trHeight w:val="234"/>
        </w:trPr>
        <w:tc>
          <w:tcPr>
            <w:tcW w:w="3740" w:type="dxa"/>
            <w:vAlign w:val="bottom"/>
          </w:tcPr>
          <w:p>
            <w:pPr>
              <w:spacing w:after="0"/>
              <w:rPr>
                <w:sz w:val="20"/>
                <w:szCs w:val="20"/>
                <w:color w:val="auto"/>
              </w:rPr>
            </w:pPr>
          </w:p>
        </w:tc>
        <w:tc>
          <w:tcPr>
            <w:tcW w:w="570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00"/>
          </w:cols>
          <w:pgMar w:left="320" w:top="141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476250</wp:posOffset>
            </wp:positionV>
            <wp:extent cx="5349240"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JAMES RIVER ANNOUNCES FIRST QUARTER 2026 RESULTS</w:t>
      </w:r>
    </w:p>
    <w:p>
      <w:pPr>
        <w:spacing w:after="0" w:line="2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Chapel Hill, N.C., May 4, 2026 - James River Group Holdings, Inc. ("James River" or the "Company") (NASDAQ: JRVR) today reported the following results for the first quarter of 2026 as compared to the same period in 2025:</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17"/>
                <w:szCs w:val="17"/>
                <w:color w:val="auto"/>
              </w:rPr>
            </w:pPr>
          </w:p>
        </w:tc>
        <w:tc>
          <w:tcPr>
            <w:tcW w:w="28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4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Pr>
          <w:p>
            <w:pPr>
              <w:spacing w:after="0"/>
              <w:rPr>
                <w:sz w:val="20"/>
                <w:szCs w:val="20"/>
                <w:color w:val="auto"/>
              </w:rPr>
            </w:pPr>
          </w:p>
        </w:tc>
        <w:tc>
          <w:tcPr>
            <w:tcW w:w="28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for share data)</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per diluted share</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 diluted share</w:t>
            </w:r>
          </w:p>
        </w:tc>
      </w:tr>
      <w:tr>
        <w:trPr>
          <w:trHeight w:val="164"/>
        </w:trPr>
        <w:tc>
          <w:tcPr>
            <w:tcW w:w="46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Net (loss) income from continuing operations available to</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shareholders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9,019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5"/>
              </w:rPr>
              <w:t>0.18</w:t>
            </w:r>
          </w:p>
        </w:tc>
      </w:tr>
      <w:tr>
        <w:trPr>
          <w:trHeight w:val="261"/>
        </w:trPr>
        <w:tc>
          <w:tcPr>
            <w:tcW w:w="4620" w:type="dxa"/>
            <w:vAlign w:val="bottom"/>
          </w:tcPr>
          <w:p>
            <w:pPr>
              <w:spacing w:after="0" w:line="262" w:lineRule="exact"/>
              <w:rPr>
                <w:sz w:val="20"/>
                <w:szCs w:val="20"/>
                <w:color w:val="auto"/>
              </w:rPr>
            </w:pPr>
            <w:r>
              <w:rPr>
                <w:rFonts w:ascii="Times New Roman" w:cs="Times New Roman" w:eastAsia="Times New Roman" w:hAnsi="Times New Roman"/>
                <w:sz w:val="18"/>
                <w:szCs w:val="18"/>
                <w:color w:val="auto"/>
              </w:rPr>
              <w:t>Net loss from discontinued operations</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(1,414)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(0.02)</w:t>
            </w:r>
          </w:p>
        </w:tc>
      </w:tr>
      <w:tr>
        <w:trPr>
          <w:trHeight w:val="218"/>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8"/>
              </w:rPr>
              <w:t>7,605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5"/>
              </w:rPr>
              <w:t>0.16</w:t>
            </w:r>
          </w:p>
        </w:tc>
      </w:tr>
      <w:tr>
        <w:trPr>
          <w:trHeight w:val="31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operating income</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9,102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5"/>
              </w:rPr>
              <w:t>0.19</w:t>
            </w:r>
          </w:p>
        </w:tc>
      </w:tr>
    </w:tbl>
    <w:p>
      <w:pPr>
        <w:spacing w:after="0" w:line="1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Unless specified otherwise, all underwriting performance ratios presented herein are for our continuing operations and business not subject to retroactive reinsurance accounting.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 Quarter 2026 Highlights:</w:t>
      </w:r>
    </w:p>
    <w:p>
      <w:pPr>
        <w:spacing w:after="0" w:line="112" w:lineRule="exact"/>
        <w:rPr>
          <w:sz w:val="20"/>
          <w:szCs w:val="20"/>
          <w:color w:val="auto"/>
        </w:rPr>
      </w:pPr>
    </w:p>
    <w:p>
      <w:pPr>
        <w:ind w:left="660" w:hanging="328"/>
        <w:spacing w:after="0" w:line="284"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Excess and Surplus ("E&amp;S") segment gross written premium of $212.3 million as compared to $213.2 million in the prior year quarter. Active casualty lines grew modestly for the first time in three quarters.</w:t>
      </w:r>
    </w:p>
    <w:p>
      <w:pPr>
        <w:spacing w:after="0" w:line="3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and administrative expenses declined 10.5% compared to the prior year quarter.</w:t>
      </w:r>
    </w:p>
    <w:p>
      <w:pPr>
        <w:spacing w:after="0" w:line="111"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were negatively impacted by $6.7 million of reinsurance reinstatement premiums associated predominantly with one E&amp;S claim, which lowered net written premium, net earned premium and underwriting income.</w:t>
      </w:r>
    </w:p>
    <w:p>
      <w:pPr>
        <w:spacing w:after="0" w:line="49" w:lineRule="exact"/>
        <w:rPr>
          <w:rFonts w:ascii="Times New Roman" w:cs="Times New Roman" w:eastAsia="Times New Roman" w:hAnsi="Times New Roman"/>
          <w:sz w:val="22"/>
          <w:szCs w:val="22"/>
          <w:color w:val="auto"/>
        </w:rPr>
      </w:pPr>
    </w:p>
    <w:p>
      <w:pPr>
        <w:jc w:val="both"/>
        <w:ind w:left="660" w:hanging="328"/>
        <w:spacing w:after="0" w:line="263"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combined ratio was 104.6% as compared to 99.5% in the prior year quarter, absent the impact of the reinsurance reinstatement premiums, the consolidated loss ratio, expense ratio and combined ratio would have been 66.0%, 33.7%, and 99.7%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8" w:lineRule="exact"/>
        <w:rPr>
          <w:sz w:val="20"/>
          <w:szCs w:val="20"/>
          <w:color w:val="auto"/>
        </w:rPr>
      </w:pPr>
    </w:p>
    <w:p>
      <w:pPr>
        <w:ind w:right="20" w:firstLine="8"/>
        <w:spacing w:after="0" w:line="220" w:lineRule="auto"/>
        <w:tabs>
          <w:tab w:leader="none" w:pos="103"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closed the sale of JRG Reinsurance Company Ltd. on April 16, 2024. As a result, the full financials for our former Casualty Reinsurance segment have been classified to discontinued operations for all periods.</w:t>
      </w:r>
    </w:p>
    <w:p>
      <w:pPr>
        <w:spacing w:after="0" w:line="1" w:lineRule="exact"/>
        <w:rPr>
          <w:rFonts w:ascii="Times New Roman" w:cs="Times New Roman" w:eastAsia="Times New Roman" w:hAnsi="Times New Roman"/>
          <w:sz w:val="23"/>
          <w:szCs w:val="23"/>
          <w:color w:val="auto"/>
          <w:vertAlign w:val="superscript"/>
        </w:rPr>
      </w:pPr>
    </w:p>
    <w:p>
      <w:pPr>
        <w:ind w:right="240"/>
        <w:spacing w:after="0" w:line="223"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 xml:space="preserve"> Adjusted net operating income is a non-GAAP financial measure. See “Non-GAAP Financial Measures” and “Reconciliation of Non-GAAP Financial Measures” at the end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JRVR Announces First Quarter 2026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3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Frank D'Orazio, the Company’s Chief Executive Officer, commented, "During the first quarter, we continued to see strong submission flow and rate opportunities across many casualty and specialty lines and grew our E&amp;S casualty portfolio for the first time in several quarters. Although the reinsurance reinstatement premium impact was an unwelcome result, it was tied predominantly to a single claim prior to our 2023 treaty restructuring, which was specifically designed to mitigate volatility from this dynamic going forward. With a diligent focus on underwriting discipline and expense efficiency, we are excited about the market opportunity ahead of us in 2026."</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Operating Results</w:t>
      </w:r>
    </w:p>
    <w:p>
      <w:pPr>
        <w:spacing w:after="0" w:line="19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Gross written premium of $236.4 million, consisting of the following:</w:t>
      </w:r>
    </w:p>
    <w:p>
      <w:pPr>
        <w:spacing w:after="0" w:line="13"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1"/>
        </w:trPr>
        <w:tc>
          <w:tcPr>
            <w:tcW w:w="2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5"/>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 Change</w:t>
            </w:r>
          </w:p>
        </w:tc>
      </w:tr>
      <w:tr>
        <w:trPr>
          <w:trHeight w:val="21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212,285</w:t>
            </w:r>
          </w:p>
        </w:tc>
        <w:tc>
          <w:tcPr>
            <w:tcW w:w="1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213,243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0 %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24,088</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(70)%</w:t>
            </w:r>
          </w:p>
        </w:tc>
      </w:tr>
      <w:tr>
        <w:trPr>
          <w:trHeight w:val="223"/>
        </w:trPr>
        <w:tc>
          <w:tcPr>
            <w:tcW w:w="28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236,373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(20)%</w:t>
            </w:r>
          </w:p>
        </w:tc>
      </w:tr>
      <w:tr>
        <w:trPr>
          <w:trHeight w:val="21"/>
        </w:trPr>
        <w:tc>
          <w:tcPr>
            <w:tcW w:w="2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1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written premium</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xml:space="preserve"> of $120.1 million, consisting of the following:</w:t>
      </w:r>
    </w:p>
    <w:tbl>
      <w:tblPr>
        <w:tblLayout w:type="fixed"/>
        <w:tblInd w:w="680" w:type="dxa"/>
        <w:tblCellMar>
          <w:top w:w="0" w:type="dxa"/>
          <w:left w:w="0" w:type="dxa"/>
          <w:bottom w:w="0" w:type="dxa"/>
          <w:right w:w="0" w:type="dxa"/>
        </w:tblCellMar>
      </w:tblPr>
      <w:tr>
        <w:trPr>
          <w:trHeight w:val="160"/>
        </w:trPr>
        <w:tc>
          <w:tcPr>
            <w:tcW w:w="2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80" w:type="dxa"/>
            <w:vAlign w:val="bottom"/>
            <w:gridSpan w:val="4"/>
          </w:tcPr>
          <w:p>
            <w:pPr>
              <w:jc w:val="right"/>
              <w:ind w:right="650"/>
              <w:spacing w:after="0" w:line="160"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1"/>
        </w:trPr>
        <w:tc>
          <w:tcPr>
            <w:tcW w:w="2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5"/>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 Change</w:t>
            </w:r>
          </w:p>
        </w:tc>
      </w:tr>
      <w:tr>
        <w:trPr>
          <w:trHeight w:val="21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118,685</w:t>
            </w:r>
          </w:p>
        </w:tc>
        <w:tc>
          <w:tcPr>
            <w:tcW w:w="1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115,079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(89)%</w:t>
            </w:r>
          </w:p>
        </w:tc>
      </w:tr>
      <w:tr>
        <w:trPr>
          <w:trHeight w:val="223"/>
        </w:trPr>
        <w:tc>
          <w:tcPr>
            <w:tcW w:w="28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120,098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127,956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(6)%</w:t>
            </w:r>
          </w:p>
        </w:tc>
      </w:tr>
      <w:tr>
        <w:trPr>
          <w:trHeight w:val="21"/>
        </w:trPr>
        <w:tc>
          <w:tcPr>
            <w:tcW w:w="2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1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Net earned premium</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22"/>
          <w:szCs w:val="22"/>
          <w:color w:val="auto"/>
        </w:rPr>
        <w:t xml:space="preserve"> of $135.7 million, consisting of the following:</w:t>
      </w:r>
    </w:p>
    <w:tbl>
      <w:tblPr>
        <w:tblLayout w:type="fixed"/>
        <w:tblInd w:w="680" w:type="dxa"/>
        <w:tblCellMar>
          <w:top w:w="0" w:type="dxa"/>
          <w:left w:w="0" w:type="dxa"/>
          <w:bottom w:w="0" w:type="dxa"/>
          <w:right w:w="0" w:type="dxa"/>
        </w:tblCellMar>
      </w:tblPr>
      <w:tr>
        <w:trPr>
          <w:trHeight w:val="160"/>
        </w:trPr>
        <w:tc>
          <w:tcPr>
            <w:tcW w:w="2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80" w:type="dxa"/>
            <w:vAlign w:val="bottom"/>
            <w:gridSpan w:val="4"/>
          </w:tcPr>
          <w:p>
            <w:pPr>
              <w:jc w:val="right"/>
              <w:ind w:right="650"/>
              <w:spacing w:after="0" w:line="160"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41"/>
        </w:trPr>
        <w:tc>
          <w:tcPr>
            <w:tcW w:w="2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5"/>
        </w:trPr>
        <w:tc>
          <w:tcPr>
            <w:tcW w:w="2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i w:val="1"/>
                <w:iCs w:val="1"/>
                <w:color w:val="auto"/>
              </w:rPr>
              <w:t>% Change</w:t>
            </w:r>
          </w:p>
        </w:tc>
      </w:tr>
      <w:tr>
        <w:trPr>
          <w:trHeight w:val="218"/>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131,826</w:t>
            </w:r>
          </w:p>
        </w:tc>
        <w:tc>
          <w:tcPr>
            <w:tcW w:w="1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(74)%</w:t>
            </w:r>
          </w:p>
        </w:tc>
      </w:tr>
      <w:tr>
        <w:trPr>
          <w:trHeight w:val="223"/>
        </w:trPr>
        <w:tc>
          <w:tcPr>
            <w:tcW w:w="28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135,712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(11)%</w:t>
            </w:r>
          </w:p>
        </w:tc>
      </w:tr>
      <w:tr>
        <w:trPr>
          <w:trHeight w:val="20"/>
        </w:trPr>
        <w:tc>
          <w:tcPr>
            <w:tcW w:w="2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328"/>
        <w:spacing w:after="0" w:line="251" w:lineRule="auto"/>
        <w:tabs>
          <w:tab w:leader="none" w:pos="65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cited earlier, results were negatively impacted by $6.7 million of reinsurance reinstatement premiums associated predominantly with one E&amp;S claim. The reinstatement premiums reduced net written and net earned premium, as well as underwriting income. Excluding these reinstatement premiums, the consolidated loss ratio, expense ratio, and combined ratio would have been 66.0%, 33.7%, and 99.7%, respectively. The Company changed the structure of its reinsurance program in 2023 with the goal of maintaining the balance sheet protection while reducing the potential for more volatile reinstatement premiums in the more recent underwriting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8" w:lineRule="exact"/>
        <w:rPr>
          <w:sz w:val="20"/>
          <w:szCs w:val="20"/>
          <w:color w:val="auto"/>
        </w:rPr>
      </w:pPr>
    </w:p>
    <w:p>
      <w:pPr>
        <w:ind w:right="340" w:firstLine="8"/>
        <w:spacing w:after="0" w:line="229" w:lineRule="auto"/>
        <w:tabs>
          <w:tab w:leader="none" w:pos="10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Net written premium and net earned premium were impacted by $6.7 million of reinsurance reinstatement premiums incurred during the three months ending March 31, 2026. These premiums were associated predominantly with a single claim within the Company's E&amp;S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JRVR Announces First Quarter 2026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304" w:lineRule="exact"/>
        <w:rPr>
          <w:sz w:val="20"/>
          <w:szCs w:val="20"/>
          <w:color w:val="auto"/>
        </w:rPr>
      </w:pPr>
    </w:p>
    <w:p>
      <w:pPr>
        <w:ind w:left="660" w:hanging="328"/>
        <w:spacing w:after="0" w:line="271"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Pre-tax net favorable reserve development by segment on business not subject to retroactive reinsurance accounting was as follows:</w:t>
      </w:r>
    </w:p>
    <w:p>
      <w:pPr>
        <w:spacing w:after="0" w:line="64"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223"/>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29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2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3" w:lineRule="auto"/>
        <w:tabs>
          <w:tab w:leader="none" w:pos="6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experienced de minimis net favorable reserve development in each of the two insurance segments comparable to the prior year quarter. There remains $7.5 million of aggregate limit on the adverse development reinsurance contract with Cavello Bay ("E&amp;S Top Up ADC"). The Company does not have a retention on the E&amp;S Top Up ADC which covers the majority of the E&amp;S segment's reserves for accident years 2023 and prior. The Company continues to observe lower frequency and incurred losses in recent accident years.</w:t>
      </w:r>
    </w:p>
    <w:p>
      <w:pPr>
        <w:spacing w:after="0" w:line="97" w:lineRule="exact"/>
        <w:rPr>
          <w:rFonts w:ascii="Times New Roman" w:cs="Times New Roman" w:eastAsia="Times New Roman" w:hAnsi="Times New Roman"/>
          <w:sz w:val="22"/>
          <w:szCs w:val="22"/>
          <w:color w:val="auto"/>
        </w:rPr>
      </w:pPr>
    </w:p>
    <w:p>
      <w:pPr>
        <w:jc w:val="both"/>
        <w:ind w:left="660" w:hanging="328"/>
        <w:spacing w:after="0" w:line="252" w:lineRule="auto"/>
        <w:tabs>
          <w:tab w:leader="none" w:pos="65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reduced general and administrative expenses by 10.5% as compared to the prior year quarter, notably in the Specialty Admitted (down 46%) and Corporate (down 15%) segments. The consolidated expense ratio was 35.4% for the first quarter of 2026, as compared to 32.7% in the prior year quarter. Absent the $6.7 million aforementioned reinsurance reinstatement premiums in E&amp;S, the expense ratio would have been 33.7% for the quarter.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 Results</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Net investment income for the first quarter of 2026 was $21.3 million, an increase of 6.6% compared to $20.0 million in the prior year quarter. Private investment income of $1.8 million exceeded that of the prior year period as the Company diversified its private holdings portfolio away from more concentrated equity investments and into a selection of high-quality rated note exposure managed by core institutional managers. Fixed income securities generated higher net investment income following the increase in higher-yielding "A" rated structured securities in the second half of 2025. Short-term investments, cash, and bank loans contributed comparably less income due to an overall decrease in yields for these asset classes compared to the same period in 2025 as well as lower average balances.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net investment income consisted of the following: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20" w:type="dxa"/>
            <w:vAlign w:val="bottom"/>
          </w:tcPr>
          <w:p>
            <w:pPr>
              <w:spacing w:after="0"/>
              <w:rPr>
                <w:sz w:val="18"/>
                <w:szCs w:val="18"/>
                <w:color w:val="auto"/>
              </w:rPr>
            </w:pPr>
          </w:p>
        </w:tc>
      </w:tr>
      <w:tr>
        <w:trPr>
          <w:trHeight w:val="241"/>
        </w:trPr>
        <w:tc>
          <w:tcPr>
            <w:tcW w:w="3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00" w:type="dxa"/>
            <w:vAlign w:val="bottom"/>
            <w:tcBorders>
              <w:bottom w:val="single" w:sz="8" w:color="auto"/>
            </w:tcBorders>
          </w:tcPr>
          <w:p>
            <w:pPr>
              <w:spacing w:after="0"/>
              <w:rPr>
                <w:sz w:val="20"/>
                <w:szCs w:val="20"/>
                <w:color w:val="auto"/>
              </w:rPr>
            </w:pPr>
          </w:p>
        </w:tc>
        <w:tc>
          <w:tcPr>
            <w:tcW w:w="1420" w:type="dxa"/>
            <w:vAlign w:val="bottom"/>
          </w:tcPr>
          <w:p>
            <w:pPr>
              <w:spacing w:after="0"/>
              <w:rPr>
                <w:sz w:val="20"/>
                <w:szCs w:val="20"/>
                <w:color w:val="auto"/>
              </w:rPr>
            </w:pPr>
          </w:p>
        </w:tc>
      </w:tr>
      <w:tr>
        <w:trPr>
          <w:trHeight w:val="225"/>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i w:val="1"/>
                <w:iCs w:val="1"/>
                <w:color w:val="auto"/>
              </w:rPr>
              <w:t>% Change</w:t>
            </w:r>
          </w:p>
        </w:tc>
      </w:tr>
      <w:tr>
        <w:trPr>
          <w:trHeight w:val="21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Private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n/m</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All Other Investments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19,512</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19,808</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w:t>
            </w: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Net Investment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r>
      <w:tr>
        <w:trPr>
          <w:trHeight w:val="20"/>
        </w:trPr>
        <w:tc>
          <w:tcPr>
            <w:tcW w:w="3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Company’s annualized gross investment yield on average fixed maturity, bank loan and equity securities for the three months ended March 31, 2026 was 4.5% (versus 4.6%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JRVR Announces First Quarter 2026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Net realized and unrealized losses on investments of $6.6 million for the three months ended March 31, 2026 were driven primarily by losses within the bank loan portfolio. This portfolio is predominantly senior secured and represents 7.8% of the Company's invested assets and cash. The Company has limited equity exposure in its investment portfolio and it has invested in the bank loan asset class for most of its history. This quarter, the asset class and the investment portfolio experienced volatility due to various market dynamics.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Capital Management</w:t>
      </w:r>
    </w:p>
    <w:p>
      <w:pPr>
        <w:spacing w:after="0" w:line="19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Company announced that its Board of Directors declared a cash dividend of $0.01 per share of common stock. This dividend is payable on Tuesday, June 30, 2026 to all shareholders of record as of Monday, June 8,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Tangible Common Equity</w:t>
      </w:r>
    </w:p>
    <w:p>
      <w:pPr>
        <w:spacing w:after="0" w:line="197"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Shareholders' equity of $518.4 million at March 31, 2026 decreased 3.7% compared to shareholders' equity of $538.2 million at December 31, 2025. Tangible common equity</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22"/>
          <w:szCs w:val="22"/>
          <w:color w:val="auto"/>
        </w:rPr>
        <w:t xml:space="preserve"> of $405.5 million on March 31, 2026 decreased 1.3% from $411.0 million on December 31, 2025. Other comprehensive loss was $9.2 million during the first quarter of 2026, increasing accumulated other comprehensive loss to $43.9 million due to the increase in yields during the quarter.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James River will hold a conference call to discuss its first quarter results tomorrow, May 5, 2026 at 8:00 a.m. Eastern Time. Investors may access the conference call by dialing (800) 715-9871, Conference ID 1541721, or via the investor website at https://investors.jrvrgroup.com and clicking on the “Investor Relations” link. A webcast replay of the call will be available by visiting the company website.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A3B3D"/>
        </w:rPr>
        <w:t>Forward-Looking Statements</w:t>
      </w:r>
    </w:p>
    <w:p>
      <w:pPr>
        <w:spacing w:after="0" w:line="11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21"/>
          <w:szCs w:val="21"/>
          <w:color w:val="auto"/>
        </w:rPr>
        <w:t>This press release contains forward-looking statements as that term is defined in the Private Securities Litigation Reform Act of 1995. In some cases, such forward-looking statements may be identified by terms such as believe, expect, seek, may, will, should, intend, project, anticipate, plan, estimate, guidance or similar words. Forward-looking statements involve risks and uncertainties that could cause actual results to differ materially from those in the forward-looking statements. Although it is not possible to identify all of these risks and uncertainties, they include, among others, the following: the inherent uncertainty of estimating loss and loss adjustment expense reserves and the possibility that incurred losses and loss adjustment expenses may be greater than our estimate used to compute loss and loss adjustment expense reserves included in the financial statements; inaccurate estimates and judgments in our risk management may expose us to greater risks than intended; downgrades in the financial strength rating or outlook of our regulated insurance subsidiaries impacting our competitive position and ability to attract and retain insurance business that our subsidiaries write and ultimately our financial condition and triggering a default on our credit facility; the potential loss of key members of our management team or key employees, and our ability to attract and retain personnel;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3" w:lineRule="exact"/>
        <w:rPr>
          <w:sz w:val="20"/>
          <w:szCs w:val="20"/>
          <w:color w:val="auto"/>
        </w:rPr>
      </w:pPr>
    </w:p>
    <w:p>
      <w:pPr>
        <w:ind w:right="160" w:firstLine="8"/>
        <w:spacing w:after="0" w:line="213" w:lineRule="auto"/>
        <w:tabs>
          <w:tab w:leader="none" w:pos="103"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Tangible common equity is a non-GAAP financial measure. See “Non-GAAP Financial Measures” and “Reconciliation of Non-GAAP Financial Measures” at the end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JRVR Announces First Quarter 2026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19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economic and competitive factors resulting in the sale of fewer policies than expected or an increase in the frequency or severity of claims, or both; the impact of a higher than expected inflationary environment on our reserves, loss adjustment expenses, the values of our investments and investment returns, and our compensation expenses; exposure to credit risk, interest rate risk and other market risk in our investment portfolio and our reinsurers; reliance on a select group of brokers and agents for a significant portion of our business and the impact of our potential failure to maintain such relationships; reliance on a select group of customers for a significant portion of our business and the impact of our potential failure to maintain, or decision to terminate, such relationships; our ability to obtain insurance and reinsurance coverage at prices and on terms that allow us to transfer risk, adequately protect our Company against financial loss and that supports our growth plans; 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 the inherent uncertainty of estimating reinsurance recoverable on unpaid losses and the possibility that reinsurance may be less than our estimate of reinsurance recoverable on unpaid losses; inadequacy of premiums we charge to compensate us for our losses incurred; changes in laws or government regulation, including tax or insurance laws and regulations; 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 a failure of any of the loss limitations or exclusions we utilize in our insurance products to shield us from unanticipated financial losses or legal exposures, or other liabilities; losses from catastrophic events, such as natural disasters and terrorist acts, which substantially exceed our expectations and/or exceed the amount of reinsurance we have purchased to protect us from such events; potential effects on our business of emerging claim and coverage issues; the potential impact of internal or external fraud, operational errors, systems malfunctions or cyber security incidents; our ability to manage our growth effectively; failure to maintain effective internal controls in accordance with the Sarbanes-Oxley Act of 2002, as amended; changes in our financial condition, regulations or other factors that may restrict our subsidiaries’ ability to pay us dividends; an adverse result in any litigation or legal proceedings we are or may become subject to; and inability to generate taxable income and execute tax planning strategies which could adversely impact our ability to recognize deferred tax assets at the level reflected on our balance sheet. Additional information about these risks and uncertainties, as well as others that may cause actual results to differ materially from those in the forward-looking statements, is contained in our filings with the U.S. Securities and Exchange Commission, including our most recently filed Annual Report on Form 10-K. These forward-looking statements speak only as of the date of this release and the Company does not undertake any obligation to update or revise any forward-looking information to reflect changes in assumptions, the occurrence of unanticipated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JRVR Announces First Quarter 2026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In presenting James River Group Holdings, Inc.’s results, management has included financial measures that are not calculated under standards or rules that comprise accounting principles generally accepted in the United States (“GAAP”). Such measures, including underwriting (loss) profit, adjusted net operating (loss) income, tangible equity, tangible common equity, and adjusted net operating return on tangible equity (which is calculated as annualized adjusted net operating income expressed as a percentage of the average quarterly tangible equity balances in the respective period), are referred to as non-GAAP measures. These non-GAAP measures may be defined or calculated differently by other companies. These measures should not be viewed as a substitute for those measures determined in accordance with GAAP. Reconciliations of such measures to the most comparable GAAP figures are included at the end of this press release.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A3B3D"/>
        </w:rPr>
        <w:t>About James River Group Holdings, Inc.</w:t>
      </w:r>
    </w:p>
    <w:p>
      <w:pPr>
        <w:spacing w:after="0" w:line="3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auto"/>
        </w:rPr>
        <w:t>James River Group Holdings, Inc. is a holding company that owns and operates a group of specialty insurance companies. The Company operates in two specialty property-casualty insurance segments: Excess and Surplus Lines and Specialty Admitted Insurance. Each of the Company’s regulated insurance subsidiaries are rated “A-” (Excellent) by A.M. Best Company. Visit James River Group Holdings, Inc. on the web at https://jrvrgroup.com.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3A3B3D"/>
        </w:rPr>
        <w:t>For more information contact: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Bob Zimardo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SVP, Investments and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InvestorRelations@james-river-group.com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JRVR Announces First Quarter 2026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7</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James River Group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 Data (Unaudited)</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75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for share data)</w:t>
            </w:r>
          </w:p>
        </w:tc>
        <w:tc>
          <w:tcPr>
            <w:tcW w:w="160" w:type="dxa"/>
            <w:vAlign w:val="bottom"/>
          </w:tcPr>
          <w:p>
            <w:pPr>
              <w:spacing w:after="0"/>
              <w:rPr>
                <w:sz w:val="22"/>
                <w:szCs w:val="22"/>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March 31, 2026</w:t>
            </w: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0" w:type="dxa"/>
            <w:vAlign w:val="bottom"/>
          </w:tcPr>
          <w:p>
            <w:pPr>
              <w:spacing w:after="0"/>
              <w:rPr>
                <w:sz w:val="1"/>
                <w:szCs w:val="1"/>
                <w:color w:val="auto"/>
              </w:rPr>
            </w:pPr>
          </w:p>
        </w:tc>
      </w:tr>
      <w:tr>
        <w:trPr>
          <w:trHeight w:val="211"/>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Invested assets: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available-for-sale,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1,434,375</w:t>
            </w:r>
          </w:p>
        </w:tc>
        <w:tc>
          <w:tcPr>
            <w:tcW w:w="120" w:type="dxa"/>
            <w:vAlign w:val="bottom"/>
          </w:tcPr>
          <w:p>
            <w:pPr>
              <w:spacing w:after="0"/>
              <w:rPr>
                <w:sz w:val="19"/>
                <w:szCs w:val="19"/>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1,404,774</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0" w:type="dxa"/>
            <w:vAlign w:val="bottom"/>
          </w:tcPr>
          <w:p>
            <w:pPr>
              <w:spacing w:after="0"/>
              <w:rPr>
                <w:sz w:val="1"/>
                <w:szCs w:val="1"/>
                <w:color w:val="auto"/>
              </w:rPr>
            </w:pPr>
          </w:p>
        </w:tc>
      </w:tr>
      <w:tr>
        <w:trPr>
          <w:trHeight w:val="25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Bank loan participations, at fair value</w:t>
            </w: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153,336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155,138</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invested assets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67,413</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64,152</w:t>
            </w:r>
          </w:p>
        </w:tc>
        <w:tc>
          <w:tcPr>
            <w:tcW w:w="0" w:type="dxa"/>
            <w:vAlign w:val="bottom"/>
          </w:tcPr>
          <w:p>
            <w:pPr>
              <w:spacing w:after="0"/>
              <w:rPr>
                <w:sz w:val="1"/>
                <w:szCs w:val="1"/>
                <w:color w:val="auto"/>
              </w:rPr>
            </w:pPr>
          </w:p>
        </w:tc>
      </w:tr>
      <w:tr>
        <w:trPr>
          <w:trHeight w:val="22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invested assets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1,728,038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1,697,156</w:t>
            </w:r>
          </w:p>
        </w:tc>
        <w:tc>
          <w:tcPr>
            <w:tcW w:w="0" w:type="dxa"/>
            <w:vAlign w:val="bottom"/>
          </w:tcPr>
          <w:p>
            <w:pPr>
              <w:spacing w:after="0"/>
              <w:rPr>
                <w:sz w:val="1"/>
                <w:szCs w:val="1"/>
                <w:color w:val="auto"/>
              </w:rPr>
            </w:pPr>
          </w:p>
        </w:tc>
      </w:tr>
      <w:tr>
        <w:trPr>
          <w:trHeight w:val="27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227,607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260,941</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 (a)</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127,702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153,638</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 on unpaid losses, net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2,014,564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2,026,110</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 on paid losses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118,243</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213,918</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315,764</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337,413</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4,761,809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4,859,930</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75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3,087,848</w:t>
            </w:r>
          </w:p>
        </w:tc>
        <w:tc>
          <w:tcPr>
            <w:tcW w:w="120" w:type="dxa"/>
            <w:vAlign w:val="bottom"/>
          </w:tcPr>
          <w:p>
            <w:pPr>
              <w:spacing w:after="0"/>
              <w:rPr>
                <w:sz w:val="19"/>
                <w:szCs w:val="19"/>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3,099,418</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447,644</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Funds held (a)</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reinsurance gain</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86,720</w:t>
            </w: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Senior debt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225,800</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Junior subordinated debt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31,006</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159,417</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186,534</w:t>
            </w:r>
          </w:p>
        </w:tc>
        <w:tc>
          <w:tcPr>
            <w:tcW w:w="0" w:type="dxa"/>
            <w:vAlign w:val="bottom"/>
          </w:tcPr>
          <w:p>
            <w:pPr>
              <w:spacing w:after="0"/>
              <w:rPr>
                <w:sz w:val="1"/>
                <w:szCs w:val="1"/>
                <w:color w:val="auto"/>
              </w:rPr>
            </w:pPr>
          </w:p>
        </w:tc>
      </w:tr>
      <w:tr>
        <w:trPr>
          <w:trHeight w:val="22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4,110,278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4,188,662</w:t>
            </w:r>
          </w:p>
        </w:tc>
        <w:tc>
          <w:tcPr>
            <w:tcW w:w="0" w:type="dxa"/>
            <w:vAlign w:val="bottom"/>
          </w:tcPr>
          <w:p>
            <w:pPr>
              <w:spacing w:after="0"/>
              <w:rPr>
                <w:sz w:val="1"/>
                <w:szCs w:val="1"/>
                <w:color w:val="auto"/>
              </w:rPr>
            </w:pPr>
          </w:p>
        </w:tc>
      </w:tr>
      <w:tr>
        <w:trPr>
          <w:trHeight w:val="27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Series A redeemable preferred shares</w:t>
            </w:r>
          </w:p>
        </w:tc>
        <w:tc>
          <w:tcPr>
            <w:tcW w:w="1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518,416</w:t>
            </w: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538,153</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Series A redeemable preferred shares,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4,761,809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4,859,930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Tangible equity (b)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538,613</w:t>
            </w:r>
          </w:p>
        </w:tc>
        <w:tc>
          <w:tcPr>
            <w:tcW w:w="120" w:type="dxa"/>
            <w:vAlign w:val="bottom"/>
          </w:tcPr>
          <w:p>
            <w:pPr>
              <w:spacing w:after="0"/>
              <w:rPr>
                <w:sz w:val="21"/>
                <w:szCs w:val="21"/>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544,070</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Tangible equity per share (b)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20"/>
                <w:szCs w:val="20"/>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Tangible common equity per share (b)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23"/>
                <w:szCs w:val="23"/>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65"/>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23"/>
                <w:szCs w:val="23"/>
                <w:color w:val="auto"/>
              </w:rPr>
            </w:pPr>
          </w:p>
        </w:tc>
        <w:tc>
          <w:tcPr>
            <w:tcW w:w="500" w:type="dxa"/>
            <w:vAlign w:val="bottom"/>
          </w:tcPr>
          <w:p>
            <w:pPr>
              <w:jc w:val="right"/>
              <w:ind w:right="30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46,236,856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45,968,584</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20" w:right="20" w:firstLine="6"/>
        <w:spacing w:after="0" w:line="261" w:lineRule="auto"/>
        <w:tabs>
          <w:tab w:leader="none" w:pos="21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equivalents and the funds held liability includes funds posted by the Company to a trust account for the benefit of a third party administrator handling the claims on the Rasier commercial auto policies in run-off. Such funds held in trust secure the Company's obligations to reimburse the administrator for claims payments, and are primarily sourced from the collateral posted to the Company by Rasier and its affiliates to support their obligations under the indemnity agreements and the loss portfolio transfer reinsurance agreement with the Company.</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“Reconciliation of Non-GAAP Measures”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JRVR Announces First Quarter 2026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8</w:t>
      </w:r>
    </w:p>
    <w:p>
      <w:pPr>
        <w:spacing w:after="0" w:line="200" w:lineRule="exact"/>
        <w:rPr>
          <w:sz w:val="20"/>
          <w:szCs w:val="20"/>
          <w:color w:val="auto"/>
        </w:rPr>
      </w:pPr>
    </w:p>
    <w:p>
      <w:pPr>
        <w:spacing w:after="0" w:line="370"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James River Group Holdings, Inc. and Subsidiaries</w:t>
      </w:r>
    </w:p>
    <w:p>
      <w:pPr>
        <w:spacing w:after="0" w:line="3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b w:val="1"/>
          <w:bCs w:val="1"/>
          <w:color w:val="auto"/>
        </w:rPr>
        <w:t>Condensed Consolidated Income Statement Data (Unaudited)</w:t>
      </w:r>
    </w:p>
    <w:p>
      <w:pPr>
        <w:spacing w:after="0" w:line="83"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4"/>
          </w:tcPr>
          <w:p>
            <w:pPr>
              <w:jc w:val="right"/>
              <w:ind w:right="827"/>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6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 except for share data)</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70"/>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vMerge w:val="restart"/>
          </w:tcPr>
          <w:p>
            <w:pPr>
              <w:jc w:val="right"/>
              <w:ind w:right="106"/>
              <w:spacing w:after="0"/>
              <w:rPr>
                <w:sz w:val="20"/>
                <w:szCs w:val="20"/>
                <w:color w:val="auto"/>
              </w:rPr>
            </w:pPr>
            <w:r>
              <w:rPr>
                <w:rFonts w:ascii="Times New Roman" w:cs="Times New Roman" w:eastAsia="Times New Roman" w:hAnsi="Times New Roman"/>
                <w:sz w:val="14"/>
                <w:szCs w:val="14"/>
                <w:color w:val="auto"/>
              </w:rPr>
              <w:t>236,373</w:t>
            </w:r>
          </w:p>
        </w:tc>
        <w:tc>
          <w:tcPr>
            <w:tcW w:w="120" w:type="dxa"/>
            <w:vAlign w:val="bottom"/>
          </w:tcPr>
          <w:p>
            <w:pPr>
              <w:spacing w:after="0"/>
              <w:rPr>
                <w:sz w:val="14"/>
                <w:szCs w:val="14"/>
                <w:color w:val="auto"/>
              </w:rPr>
            </w:pPr>
          </w:p>
        </w:tc>
        <w:tc>
          <w:tcPr>
            <w:tcW w:w="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vMerge w:val="restart"/>
          </w:tcPr>
          <w:p>
            <w:pPr>
              <w:jc w:val="right"/>
              <w:ind w:right="127"/>
              <w:spacing w:after="0"/>
              <w:rPr>
                <w:sz w:val="20"/>
                <w:szCs w:val="20"/>
                <w:color w:val="auto"/>
              </w:rPr>
            </w:pPr>
            <w:r>
              <w:rPr>
                <w:rFonts w:ascii="Times New Roman" w:cs="Times New Roman" w:eastAsia="Times New Roman" w:hAnsi="Times New Roman"/>
                <w:sz w:val="14"/>
                <w:szCs w:val="14"/>
                <w:color w:val="auto"/>
              </w:rPr>
              <w:t>294,361</w:t>
            </w:r>
          </w:p>
        </w:tc>
        <w:tc>
          <w:tcPr>
            <w:tcW w:w="0" w:type="dxa"/>
            <w:vAlign w:val="bottom"/>
          </w:tcPr>
          <w:p>
            <w:pPr>
              <w:spacing w:after="0"/>
              <w:rPr>
                <w:sz w:val="1"/>
                <w:szCs w:val="1"/>
                <w:color w:val="auto"/>
              </w:rPr>
            </w:pPr>
          </w:p>
        </w:tc>
      </w:tr>
      <w:tr>
        <w:trPr>
          <w:trHeight w:val="220"/>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Gross written premiums</w:t>
            </w:r>
          </w:p>
        </w:tc>
        <w:tc>
          <w:tcPr>
            <w:tcW w:w="36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Net written premiums (a)</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120,098</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127,956</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Net earned premiums (a)</w:t>
            </w:r>
          </w:p>
        </w:tc>
        <w:tc>
          <w:tcPr>
            <w:tcW w:w="360" w:type="dxa"/>
            <w:vAlign w:val="bottom"/>
          </w:tcPr>
          <w:p>
            <w:pPr>
              <w:spacing w:after="0"/>
              <w:rPr>
                <w:sz w:val="17"/>
                <w:szCs w:val="17"/>
                <w:color w:val="auto"/>
              </w:rPr>
            </w:pP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135,712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151,902</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Net investment income</w:t>
            </w:r>
          </w:p>
        </w:tc>
        <w:tc>
          <w:tcPr>
            <w:tcW w:w="360" w:type="dxa"/>
            <w:vAlign w:val="bottom"/>
          </w:tcPr>
          <w:p>
            <w:pPr>
              <w:spacing w:after="0"/>
              <w:rPr>
                <w:sz w:val="17"/>
                <w:szCs w:val="17"/>
                <w:color w:val="auto"/>
              </w:rPr>
            </w:pP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21,327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20,008</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Net realized and unrealized (losses) on investments</w:t>
            </w:r>
          </w:p>
        </w:tc>
        <w:tc>
          <w:tcPr>
            <w:tcW w:w="360" w:type="dxa"/>
            <w:vAlign w:val="bottom"/>
          </w:tcPr>
          <w:p>
            <w:pPr>
              <w:spacing w:after="0"/>
              <w:rPr>
                <w:sz w:val="17"/>
                <w:szCs w:val="17"/>
                <w:color w:val="auto"/>
              </w:rPr>
            </w:pP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(6,632)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360" w:type="dxa"/>
            <w:vAlign w:val="bottom"/>
          </w:tcPr>
          <w:p>
            <w:pPr>
              <w:spacing w:after="0"/>
              <w:rPr>
                <w:sz w:val="17"/>
                <w:szCs w:val="17"/>
                <w:color w:val="auto"/>
              </w:rPr>
            </w:pP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977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1,750</w:t>
            </w:r>
          </w:p>
        </w:tc>
        <w:tc>
          <w:tcPr>
            <w:tcW w:w="0" w:type="dxa"/>
            <w:vAlign w:val="bottom"/>
          </w:tcPr>
          <w:p>
            <w:pPr>
              <w:spacing w:after="0"/>
              <w:rPr>
                <w:sz w:val="1"/>
                <w:szCs w:val="1"/>
                <w:color w:val="auto"/>
              </w:rPr>
            </w:pPr>
          </w:p>
        </w:tc>
      </w:tr>
      <w:tr>
        <w:trPr>
          <w:trHeight w:val="23"/>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151,384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172,289</w:t>
            </w:r>
          </w:p>
        </w:tc>
        <w:tc>
          <w:tcPr>
            <w:tcW w:w="0" w:type="dxa"/>
            <w:vAlign w:val="bottom"/>
          </w:tcPr>
          <w:p>
            <w:pPr>
              <w:spacing w:after="0"/>
              <w:rPr>
                <w:sz w:val="1"/>
                <w:szCs w:val="1"/>
                <w:color w:val="auto"/>
              </w:rPr>
            </w:pPr>
          </w:p>
        </w:tc>
      </w:tr>
      <w:tr>
        <w:trPr>
          <w:trHeight w:val="247"/>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Losses and loss adjustment expenses (b)</w:t>
            </w:r>
          </w:p>
        </w:tc>
        <w:tc>
          <w:tcPr>
            <w:tcW w:w="360" w:type="dxa"/>
            <w:vAlign w:val="bottom"/>
          </w:tcPr>
          <w:p>
            <w:pPr>
              <w:spacing w:after="0"/>
              <w:rPr>
                <w:sz w:val="17"/>
                <w:szCs w:val="17"/>
                <w:color w:val="auto"/>
              </w:rPr>
            </w:pP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108,160</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99,525</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360" w:type="dxa"/>
            <w:vAlign w:val="bottom"/>
          </w:tcPr>
          <w:p>
            <w:pPr>
              <w:spacing w:after="0"/>
              <w:rPr>
                <w:sz w:val="17"/>
                <w:szCs w:val="17"/>
                <w:color w:val="auto"/>
              </w:rPr>
            </w:pP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48,051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50,560</w:t>
            </w:r>
          </w:p>
        </w:tc>
        <w:tc>
          <w:tcPr>
            <w:tcW w:w="0" w:type="dxa"/>
            <w:vAlign w:val="bottom"/>
          </w:tcPr>
          <w:p>
            <w:pPr>
              <w:spacing w:after="0"/>
              <w:rPr>
                <w:sz w:val="1"/>
                <w:szCs w:val="1"/>
                <w:color w:val="auto"/>
              </w:rPr>
            </w:pPr>
          </w:p>
        </w:tc>
      </w:tr>
      <w:tr>
        <w:trPr>
          <w:trHeight w:val="202"/>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360" w:type="dxa"/>
            <w:vAlign w:val="bottom"/>
          </w:tcPr>
          <w:p>
            <w:pPr>
              <w:spacing w:after="0"/>
              <w:rPr>
                <w:sz w:val="17"/>
                <w:szCs w:val="17"/>
                <w:color w:val="auto"/>
              </w:rPr>
            </w:pP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7"/>
                <w:szCs w:val="17"/>
                <w:color w:val="auto"/>
              </w:rPr>
            </w:pP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5,589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5,541</w:t>
            </w:r>
          </w:p>
        </w:tc>
        <w:tc>
          <w:tcPr>
            <w:tcW w:w="0" w:type="dxa"/>
            <w:vAlign w:val="bottom"/>
          </w:tcPr>
          <w:p>
            <w:pPr>
              <w:spacing w:after="0"/>
              <w:rPr>
                <w:sz w:val="1"/>
                <w:szCs w:val="1"/>
                <w:color w:val="auto"/>
              </w:rPr>
            </w:pPr>
          </w:p>
        </w:tc>
      </w:tr>
      <w:tr>
        <w:trPr>
          <w:trHeight w:val="20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 amortization and impairment</w:t>
            </w:r>
          </w:p>
        </w:tc>
        <w:tc>
          <w:tcPr>
            <w:tcW w:w="360" w:type="dxa"/>
            <w:vAlign w:val="bottom"/>
          </w:tcPr>
          <w:p>
            <w:pPr>
              <w:spacing w:after="0"/>
              <w:rPr>
                <w:sz w:val="17"/>
                <w:szCs w:val="17"/>
                <w:color w:val="auto"/>
              </w:rPr>
            </w:pP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3"/>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162,019</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156,280</w:t>
            </w:r>
          </w:p>
        </w:tc>
        <w:tc>
          <w:tcPr>
            <w:tcW w:w="0" w:type="dxa"/>
            <w:vAlign w:val="bottom"/>
          </w:tcPr>
          <w:p>
            <w:pPr>
              <w:spacing w:after="0"/>
              <w:rPr>
                <w:sz w:val="1"/>
                <w:szCs w:val="1"/>
                <w:color w:val="auto"/>
              </w:rPr>
            </w:pPr>
          </w:p>
        </w:tc>
      </w:tr>
      <w:tr>
        <w:trPr>
          <w:trHeight w:val="18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(Loss) income from continuing operations before income taxes</w:t>
            </w:r>
          </w:p>
        </w:tc>
        <w:tc>
          <w:tcPr>
            <w:tcW w:w="360" w:type="dxa"/>
            <w:vAlign w:val="bottom"/>
          </w:tcPr>
          <w:p>
            <w:pPr>
              <w:spacing w:after="0"/>
              <w:rPr>
                <w:sz w:val="16"/>
                <w:szCs w:val="16"/>
                <w:color w:val="auto"/>
              </w:rPr>
            </w:pP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(10,635)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16,009</w:t>
            </w:r>
          </w:p>
        </w:tc>
        <w:tc>
          <w:tcPr>
            <w:tcW w:w="0" w:type="dxa"/>
            <w:vAlign w:val="bottom"/>
          </w:tcPr>
          <w:p>
            <w:pPr>
              <w:spacing w:after="0"/>
              <w:rPr>
                <w:sz w:val="1"/>
                <w:szCs w:val="1"/>
                <w:color w:val="auto"/>
              </w:rPr>
            </w:pPr>
          </w:p>
        </w:tc>
      </w:tr>
      <w:tr>
        <w:trPr>
          <w:trHeight w:val="19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 expense on continuing operations</w:t>
            </w:r>
          </w:p>
        </w:tc>
        <w:tc>
          <w:tcPr>
            <w:tcW w:w="360" w:type="dxa"/>
            <w:vAlign w:val="bottom"/>
          </w:tcPr>
          <w:p>
            <w:pPr>
              <w:spacing w:after="0"/>
              <w:rPr>
                <w:sz w:val="16"/>
                <w:szCs w:val="16"/>
                <w:color w:val="auto"/>
              </w:rPr>
            </w:pP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(1,861)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5,021</w:t>
            </w:r>
          </w:p>
        </w:tc>
        <w:tc>
          <w:tcPr>
            <w:tcW w:w="0" w:type="dxa"/>
            <w:vAlign w:val="bottom"/>
          </w:tcPr>
          <w:p>
            <w:pPr>
              <w:spacing w:after="0"/>
              <w:rPr>
                <w:sz w:val="1"/>
                <w:szCs w:val="1"/>
                <w:color w:val="auto"/>
              </w:rPr>
            </w:pPr>
          </w:p>
        </w:tc>
      </w:tr>
      <w:tr>
        <w:trPr>
          <w:trHeight w:val="23"/>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(loss) income from continuing operations</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(8,774)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10,988</w:t>
            </w:r>
          </w:p>
        </w:tc>
        <w:tc>
          <w:tcPr>
            <w:tcW w:w="0" w:type="dxa"/>
            <w:vAlign w:val="bottom"/>
          </w:tcPr>
          <w:p>
            <w:pPr>
              <w:spacing w:after="0"/>
              <w:rPr>
                <w:sz w:val="1"/>
                <w:szCs w:val="1"/>
                <w:color w:val="auto"/>
              </w:rPr>
            </w:pPr>
          </w:p>
        </w:tc>
      </w:tr>
      <w:tr>
        <w:trPr>
          <w:trHeight w:val="19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Net loss from discontinued operations</w:t>
            </w:r>
          </w:p>
        </w:tc>
        <w:tc>
          <w:tcPr>
            <w:tcW w:w="360" w:type="dxa"/>
            <w:vAlign w:val="bottom"/>
          </w:tcPr>
          <w:p>
            <w:pPr>
              <w:spacing w:after="0"/>
              <w:rPr>
                <w:sz w:val="16"/>
                <w:szCs w:val="16"/>
                <w:color w:val="auto"/>
              </w:rPr>
            </w:pP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(1,414)</w:t>
            </w:r>
          </w:p>
        </w:tc>
        <w:tc>
          <w:tcPr>
            <w:tcW w:w="0" w:type="dxa"/>
            <w:vAlign w:val="bottom"/>
          </w:tcPr>
          <w:p>
            <w:pPr>
              <w:spacing w:after="0"/>
              <w:rPr>
                <w:sz w:val="1"/>
                <w:szCs w:val="1"/>
                <w:color w:val="auto"/>
              </w:rPr>
            </w:pPr>
          </w:p>
        </w:tc>
      </w:tr>
      <w:tr>
        <w:trPr>
          <w:trHeight w:val="23"/>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(8,923)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9,574</w:t>
            </w:r>
          </w:p>
        </w:tc>
        <w:tc>
          <w:tcPr>
            <w:tcW w:w="0" w:type="dxa"/>
            <w:vAlign w:val="bottom"/>
          </w:tcPr>
          <w:p>
            <w:pPr>
              <w:spacing w:after="0"/>
              <w:rPr>
                <w:sz w:val="1"/>
                <w:szCs w:val="1"/>
                <w:color w:val="auto"/>
              </w:rPr>
            </w:pPr>
          </w:p>
        </w:tc>
      </w:tr>
      <w:tr>
        <w:trPr>
          <w:trHeight w:val="19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Dividends on Series A preferred shares</w:t>
            </w:r>
          </w:p>
        </w:tc>
        <w:tc>
          <w:tcPr>
            <w:tcW w:w="360" w:type="dxa"/>
            <w:vAlign w:val="bottom"/>
          </w:tcPr>
          <w:p>
            <w:pPr>
              <w:spacing w:after="0"/>
              <w:rPr>
                <w:sz w:val="16"/>
                <w:szCs w:val="16"/>
                <w:color w:val="auto"/>
              </w:rPr>
            </w:pP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(1,969)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(1,969)</w:t>
            </w: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 INCOME AVAILABLE TO COMMON SHAREHOLDERS</w:t>
            </w: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4"/>
                <w:szCs w:val="14"/>
                <w:color w:val="auto"/>
              </w:rPr>
              <w:t>(10,892)</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7,605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NET OPERATING INCOME (c)</w:t>
            </w: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5,806</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4"/>
                <w:szCs w:val="14"/>
                <w:color w:val="auto"/>
              </w:rPr>
              <w:t>9,102</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(LOSS) INCOME PER COMMON SHARE</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3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Continuing operations</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7"/>
                <w:szCs w:val="17"/>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03"/>
        </w:trPr>
        <w:tc>
          <w:tcPr>
            <w:tcW w:w="6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7"/>
                <w:szCs w:val="17"/>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3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93"/>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Continuing operations (d)</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7"/>
                <w:szCs w:val="17"/>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0.18</w:t>
            </w:r>
          </w:p>
        </w:tc>
        <w:tc>
          <w:tcPr>
            <w:tcW w:w="0" w:type="dxa"/>
            <w:vAlign w:val="bottom"/>
          </w:tcPr>
          <w:p>
            <w:pPr>
              <w:spacing w:after="0"/>
              <w:rPr>
                <w:sz w:val="1"/>
                <w:szCs w:val="1"/>
                <w:color w:val="auto"/>
              </w:rPr>
            </w:pPr>
          </w:p>
        </w:tc>
      </w:tr>
      <w:tr>
        <w:trPr>
          <w:trHeight w:val="203"/>
        </w:trPr>
        <w:tc>
          <w:tcPr>
            <w:tcW w:w="6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tcPr>
          <w:p>
            <w:pPr>
              <w:spacing w:after="0"/>
              <w:rPr>
                <w:sz w:val="17"/>
                <w:szCs w:val="17"/>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rPr>
              <w:t>(0.02)</w:t>
            </w: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63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86"/>
              <w:spacing w:after="0"/>
              <w:rPr>
                <w:sz w:val="20"/>
                <w:szCs w:val="20"/>
                <w:color w:val="auto"/>
              </w:rPr>
            </w:pPr>
            <w:r>
              <w:rPr>
                <w:rFonts w:ascii="Times New Roman" w:cs="Times New Roman" w:eastAsia="Times New Roman" w:hAnsi="Times New Roman"/>
                <w:sz w:val="14"/>
                <w:szCs w:val="14"/>
                <w:color w:val="auto"/>
              </w:rPr>
              <w:t>(0.23)</w:t>
            </w:r>
          </w:p>
        </w:tc>
        <w:tc>
          <w:tcPr>
            <w:tcW w:w="120" w:type="dxa"/>
            <w:vAlign w:val="bottom"/>
          </w:tcPr>
          <w:p>
            <w:pPr>
              <w:spacing w:after="0"/>
              <w:rPr>
                <w:sz w:val="15"/>
                <w:szCs w:val="15"/>
                <w:color w:val="auto"/>
              </w:rPr>
            </w:pP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27"/>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ADJUSTED NET OPERATING INCOME PER COMMON SHARE</w:t>
      </w:r>
    </w:p>
    <w:p>
      <w:pPr>
        <w:sectPr>
          <w:pgSz w:w="11900" w:h="16838" w:orient="portrait"/>
          <w:cols w:equalWidth="0" w:num="1">
            <w:col w:w="10500"/>
          </w:cols>
          <w:pgMar w:left="320" w:top="126" w:right="1079" w:bottom="1440" w:gutter="0" w:footer="0" w:header="0"/>
        </w:sectPr>
      </w:pPr>
    </w:p>
    <w:p>
      <w:pPr>
        <w:spacing w:after="0" w:line="7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Basic</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Diluted (d)</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Weighted-average common shares outstanding:</w:t>
      </w:r>
    </w:p>
    <w:p>
      <w:pPr>
        <w:spacing w:after="0" w:line="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Basic</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Diluted</w:t>
      </w:r>
    </w:p>
    <w:p>
      <w:pPr>
        <w:spacing w:after="0" w:line="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Cash dividends declared per common share</w:t>
      </w:r>
    </w:p>
    <w:p>
      <w:pPr>
        <w:spacing w:after="0" w:line="9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Ratios:</w:t>
      </w:r>
    </w:p>
    <w:p>
      <w:pPr>
        <w:spacing w:after="0" w:line="4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Loss ratio</w:t>
      </w:r>
    </w:p>
    <w:p>
      <w:pPr>
        <w:spacing w:after="0" w:line="4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Expense ratio (e)</w:t>
      </w:r>
    </w:p>
    <w:p>
      <w:pPr>
        <w:spacing w:after="0" w:line="4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Combined ratio</w:t>
      </w:r>
    </w:p>
    <w:p>
      <w:pPr>
        <w:spacing w:after="0" w:line="4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color w:val="auto"/>
        </w:rPr>
        <w:t>Accident year loss ratio (f)</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0.13</w:t>
            </w:r>
          </w:p>
        </w:tc>
        <w:tc>
          <w:tcPr>
            <w:tcW w:w="12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0.20</w:t>
            </w:r>
          </w:p>
        </w:tc>
      </w:tr>
      <w:tr>
        <w:trPr>
          <w:trHeight w:val="23"/>
        </w:trPr>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9"/>
        </w:trPr>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0.19</w:t>
            </w:r>
          </w:p>
        </w:tc>
      </w:tr>
      <w:tr>
        <w:trPr>
          <w:trHeight w:val="27"/>
        </w:trPr>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02"/>
        </w:trPr>
        <w:tc>
          <w:tcPr>
            <w:tcW w:w="440" w:type="dxa"/>
            <w:vAlign w:val="bottom"/>
          </w:tcPr>
          <w:p>
            <w:pPr>
              <w:spacing w:after="0"/>
              <w:rPr>
                <w:sz w:val="24"/>
                <w:szCs w:val="2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46,099,930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45,803,501</w:t>
            </w:r>
          </w:p>
        </w:tc>
      </w:tr>
      <w:tr>
        <w:trPr>
          <w:trHeight w:val="23"/>
        </w:trPr>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9"/>
        </w:trPr>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46,099,930</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59,659,075</w:t>
            </w:r>
          </w:p>
        </w:tc>
      </w:tr>
      <w:tr>
        <w:trPr>
          <w:trHeight w:val="27"/>
        </w:trPr>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0.01</w:t>
            </w:r>
          </w:p>
        </w:tc>
      </w:tr>
      <w:tr>
        <w:trPr>
          <w:trHeight w:val="27"/>
        </w:trPr>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02"/>
        </w:trPr>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69.2 %</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66.8 %</w:t>
            </w:r>
          </w:p>
        </w:tc>
      </w:tr>
      <w:tr>
        <w:trPr>
          <w:trHeight w:val="202"/>
        </w:trPr>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35.4 %</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32.7 %</w:t>
            </w:r>
          </w:p>
        </w:tc>
      </w:tr>
      <w:tr>
        <w:trPr>
          <w:trHeight w:val="202"/>
        </w:trPr>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104.6 %</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99.5 %</w:t>
            </w:r>
          </w:p>
        </w:tc>
      </w:tr>
      <w:tr>
        <w:trPr>
          <w:trHeight w:val="203"/>
        </w:trPr>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66.1 %</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65.5 %</w:t>
            </w:r>
          </w:p>
        </w:tc>
      </w:tr>
    </w:tbl>
    <w:p>
      <w:pPr>
        <w:spacing w:after="0" w:line="200" w:lineRule="exact"/>
        <w:rPr>
          <w:sz w:val="20"/>
          <w:szCs w:val="20"/>
          <w:color w:val="auto"/>
        </w:rPr>
      </w:pPr>
    </w:p>
    <w:p>
      <w:pPr>
        <w:sectPr>
          <w:pgSz w:w="11900" w:h="16838" w:orient="portrait"/>
          <w:cols w:equalWidth="0" w:num="2">
            <w:col w:w="6380" w:space="720"/>
            <w:col w:w="3400"/>
          </w:cols>
          <w:pgMar w:left="320" w:top="126"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-MORE-</w:t>
      </w:r>
    </w:p>
    <w:p>
      <w:pPr>
        <w:sectPr>
          <w:pgSz w:w="11900" w:h="16838" w:orient="portrait"/>
          <w:cols w:equalWidth="0" w:num="1">
            <w:col w:w="10500"/>
          </w:cols>
          <w:pgMar w:left="320" w:top="126" w:right="10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JRVR Announces First Quarter 2026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780" w:right="20" w:hanging="5"/>
        <w:spacing w:after="0" w:line="275" w:lineRule="auto"/>
        <w:tabs>
          <w:tab w:leader="none" w:pos="99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written premium and net earned premium were impacted by $6.7 million and $3.1 million of reinsurance reinstatement premiums incurred during the three months ending March 31, 2026 and March 31, 2025 respectively. In the current year, these premiums were associated predominantly with a single claim within the Company's E&amp;S segment.</w:t>
      </w:r>
    </w:p>
    <w:p>
      <w:pPr>
        <w:ind w:left="780" w:right="20" w:hanging="5"/>
        <w:spacing w:after="0" w:line="251" w:lineRule="auto"/>
        <w:tabs>
          <w:tab w:leader="none" w:pos="98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and loss adjustment expenses include expenses of $14.2 million and benefits of $1.9 million for deferred retroactive reinsurance gains (losses) for the three months ended March 31, 2026 and 2025, respectively.</w:t>
      </w:r>
    </w:p>
    <w:p>
      <w:pPr>
        <w:ind w:left="980" w:hanging="205"/>
        <w:spacing w:after="0"/>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"Reconciliation of Non-GAAP Measures".</w:t>
      </w:r>
    </w:p>
    <w:p>
      <w:pPr>
        <w:spacing w:after="0" w:line="41" w:lineRule="exact"/>
        <w:rPr>
          <w:rFonts w:ascii="Times New Roman" w:cs="Times New Roman" w:eastAsia="Times New Roman" w:hAnsi="Times New Roman"/>
          <w:sz w:val="14"/>
          <w:szCs w:val="14"/>
          <w:color w:val="auto"/>
        </w:rPr>
      </w:pPr>
    </w:p>
    <w:p>
      <w:pPr>
        <w:jc w:val="both"/>
        <w:ind w:left="780" w:hanging="5"/>
        <w:spacing w:after="0"/>
        <w:tabs>
          <w:tab w:leader="none" w:pos="98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RSUs were dilutive in both periods and potential common shares related to RSUs were included in the denominator in the calculation. The outstanding Series A preferred shares were anti-dilutive in the current period and dilutive in the prior year period. Dividends on the Series A preferred shares in the prior year period were added back to the numerator of the calculation and common shares from an assumed conversion of the Series A preferred shares were included in the denominator.</w:t>
      </w:r>
    </w:p>
    <w:p>
      <w:pPr>
        <w:spacing w:after="0" w:line="165" w:lineRule="exact"/>
        <w:rPr>
          <w:rFonts w:ascii="Times New Roman" w:cs="Times New Roman" w:eastAsia="Times New Roman" w:hAnsi="Times New Roman"/>
          <w:sz w:val="14"/>
          <w:szCs w:val="14"/>
          <w:color w:val="auto"/>
        </w:rPr>
      </w:pPr>
    </w:p>
    <w:p>
      <w:pPr>
        <w:jc w:val="both"/>
        <w:ind w:left="780" w:right="20" w:hanging="5"/>
        <w:spacing w:after="0" w:line="271" w:lineRule="auto"/>
        <w:tabs>
          <w:tab w:leader="none" w:pos="98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with a numerator comprising other operating expenses less gross fee income (in specific instances when the Company is not retaining insurance risk) included in “Other income” in our Condensed Consolidated Income Statements of $90,000 and $832,000 for the three months ended March 31, 2026 and 2025, respectively.</w:t>
      </w:r>
    </w:p>
    <w:p>
      <w:pPr>
        <w:spacing w:after="0" w:line="8" w:lineRule="exact"/>
        <w:rPr>
          <w:rFonts w:ascii="Times New Roman" w:cs="Times New Roman" w:eastAsia="Times New Roman" w:hAnsi="Times New Roman"/>
          <w:sz w:val="14"/>
          <w:szCs w:val="14"/>
          <w:color w:val="auto"/>
        </w:rPr>
      </w:pPr>
    </w:p>
    <w:p>
      <w:pPr>
        <w:ind w:left="780" w:hanging="5"/>
        <w:spacing w:after="0" w:line="302" w:lineRule="auto"/>
        <w:tabs>
          <w:tab w:leader="none" w:pos="96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Ratio of losses and loss adjustment expenses for the current accident year, excluding development on prior accident year reserves, to net earned premiums for the current year (excluding net earned premium adjustments on certain reinsurance treaties with reinstatement premiums associated with prior years).</w:t>
      </w:r>
    </w:p>
    <w:p>
      <w:pPr>
        <w:spacing w:after="0" w:line="200" w:lineRule="exact"/>
        <w:rPr>
          <w:sz w:val="20"/>
          <w:szCs w:val="20"/>
          <w:color w:val="auto"/>
        </w:rPr>
      </w:pPr>
    </w:p>
    <w:p>
      <w:pPr>
        <w:spacing w:after="0" w:line="26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0480"/>
          </w:cols>
          <w:pgMar w:left="320" w:top="126" w:right="10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JRVR Announces First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James River Group Holdings, Inc. and Subsidiaries</w:t>
      </w:r>
    </w:p>
    <w:p>
      <w:pPr>
        <w:spacing w:after="0" w:line="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Segment Results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EXCESS AND SURPLUS LINES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97"/>
        </w:trPr>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80" w:type="dxa"/>
            <w:vAlign w:val="bottom"/>
          </w:tcPr>
          <w:p>
            <w:pPr>
              <w:spacing w:after="0"/>
              <w:rPr>
                <w:sz w:val="24"/>
                <w:szCs w:val="24"/>
                <w:color w:val="auto"/>
              </w:rPr>
            </w:pPr>
          </w:p>
        </w:tc>
      </w:tr>
      <w:tr>
        <w:trPr>
          <w:trHeight w:val="238"/>
        </w:trPr>
        <w:tc>
          <w:tcPr>
            <w:tcW w:w="6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212,285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213,243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written premiums (a)</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118,685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115,079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8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 (a)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131,826</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137,028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excluding retroactive reinsurance</w:t>
            </w:r>
          </w:p>
        </w:tc>
        <w:tc>
          <w:tcPr>
            <w:tcW w:w="3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(89,585)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(88,804)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(37,585)</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(36,566)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(b)</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11,658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Ratios:</w:t>
            </w:r>
          </w:p>
        </w:tc>
        <w:tc>
          <w:tcPr>
            <w:tcW w:w="38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3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68.0 %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3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28.5 %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3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96.5 %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91.5 %</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Accident year loss ratio (c)</w:t>
            </w:r>
          </w:p>
        </w:tc>
        <w:tc>
          <w:tcPr>
            <w:tcW w:w="38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64.8 %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r>
    </w:tbl>
    <w:p>
      <w:pPr>
        <w:spacing w:after="0" w:line="85" w:lineRule="exact"/>
        <w:rPr>
          <w:sz w:val="20"/>
          <w:szCs w:val="20"/>
          <w:color w:val="auto"/>
        </w:rPr>
      </w:pPr>
    </w:p>
    <w:p>
      <w:pPr>
        <w:ind w:left="20" w:right="20" w:firstLine="6"/>
        <w:spacing w:after="0" w:line="251" w:lineRule="auto"/>
        <w:tabs>
          <w:tab w:leader="none" w:pos="2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written premium and net earned premium were impacted by $6.7 million and $3.1 million of reinsurance reinstatement premiums incurred during the three months ending March 31, 2026 and March 31, 2025 respectively.In the current year, these premiums were associated predominantly with a single claim within the Company's E&amp;S segment.</w:t>
      </w:r>
    </w:p>
    <w:p>
      <w:pPr>
        <w:ind w:left="220" w:hanging="194"/>
        <w:spacing w:after="0"/>
        <w:tabs>
          <w:tab w:leader="none" w:pos="2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"Reconciliation of Non-GAAP Measures".</w:t>
      </w:r>
    </w:p>
    <w:p>
      <w:pPr>
        <w:spacing w:after="0" w:line="41" w:lineRule="exact"/>
        <w:rPr>
          <w:rFonts w:ascii="Times New Roman" w:cs="Times New Roman" w:eastAsia="Times New Roman" w:hAnsi="Times New Roman"/>
          <w:sz w:val="14"/>
          <w:szCs w:val="14"/>
          <w:color w:val="auto"/>
        </w:rPr>
      </w:pPr>
    </w:p>
    <w:p>
      <w:pPr>
        <w:ind w:left="20" w:right="40" w:firstLine="6"/>
        <w:spacing w:after="0" w:line="261" w:lineRule="auto"/>
        <w:tabs>
          <w:tab w:leader="none" w:pos="2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Ratio of losses and loss adjustment expenses for the current accident year, excluding development on prior accident year reserves, to net earned premiums for the current year (excluding net earned premium adjustments on certain reinsurance treaties with reinstatement premiums associated with prior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SPECIALTY ADMITTED INSURANCE</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97"/>
        </w:trPr>
        <w:tc>
          <w:tcPr>
            <w:tcW w:w="6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8"/>
        </w:trPr>
        <w:tc>
          <w:tcPr>
            <w:tcW w:w="6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8"/>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61"/>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loss (a), (b)</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n/m</w:t>
            </w:r>
          </w:p>
        </w:tc>
      </w:tr>
      <w:tr>
        <w:trPr>
          <w:trHeight w:val="21"/>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220" w:hanging="194"/>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"Reconciliation of Non-GAAP Measures".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Underwriting results for the three months ended March 31, 2026 and 2025 include gross fee income of $1.5 million and $4.3 million, respectively.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0920"/>
          </w:cols>
          <w:pgMar w:left="320" w:top="126"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JRVR Announces First Quarter 2025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11</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Underwriting Performance Ratios</w:t>
      </w:r>
    </w:p>
    <w:p>
      <w:pPr>
        <w:spacing w:after="0" w:line="26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following table provides the underwriting performance ratios of the Company's continuing operations inclusive of the business subject to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not subject to retroactive reinsurance accounting gives the users of our financial statements useful information in evaluating our current and ongoing operations.</w:t>
      </w:r>
    </w:p>
    <w:p>
      <w:pPr>
        <w:spacing w:after="0" w:line="10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20"/>
          <w:szCs w:val="20"/>
          <w:b w:val="1"/>
          <w:bCs w:val="1"/>
          <w:color w:val="auto"/>
        </w:rPr>
        <w:t>Three Months Ended</w:t>
      </w:r>
    </w:p>
    <w:p>
      <w:pPr>
        <w:jc w:val="center"/>
        <w:ind w:left="6180"/>
        <w:spacing w:after="0"/>
        <w:rPr>
          <w:sz w:val="20"/>
          <w:szCs w:val="20"/>
          <w:color w:val="auto"/>
        </w:rPr>
      </w:pPr>
      <w:r>
        <w:rPr>
          <w:rFonts w:ascii="Times New Roman" w:cs="Times New Roman" w:eastAsia="Times New Roman" w:hAnsi="Times New Roman"/>
          <w:sz w:val="20"/>
          <w:szCs w:val="20"/>
          <w:b w:val="1"/>
          <w:bCs w:val="1"/>
          <w:color w:val="auto"/>
        </w:rPr>
        <w:t>March 31,</w:t>
      </w:r>
    </w:p>
    <w:tbl>
      <w:tblPr>
        <w:tblLayout w:type="fixed"/>
        <w:tblInd w:w="20" w:type="dxa"/>
        <w:tblCellMar>
          <w:top w:w="0" w:type="dxa"/>
          <w:left w:w="0" w:type="dxa"/>
          <w:bottom w:w="0" w:type="dxa"/>
          <w:right w:w="0" w:type="dxa"/>
        </w:tblCellMar>
      </w:tblPr>
      <w:tr>
        <w:trPr>
          <w:trHeight w:val="223"/>
        </w:trPr>
        <w:tc>
          <w:tcPr>
            <w:tcW w:w="7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Excess and Surplus Lines:</w:t>
            </w: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5"/>
        </w:trPr>
        <w:tc>
          <w:tcPr>
            <w:tcW w:w="708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8"/>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0" w:type="dxa"/>
            <w:vAlign w:val="bottom"/>
          </w:tcPr>
          <w:p>
            <w:pPr>
              <w:spacing w:after="0"/>
              <w:rPr>
                <w:sz w:val="1"/>
                <w:szCs w:val="1"/>
                <w:color w:val="auto"/>
              </w:rPr>
            </w:pPr>
          </w:p>
        </w:tc>
      </w:tr>
      <w:tr>
        <w:trPr>
          <w:trHeight w:val="49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8"/>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0" w:type="dxa"/>
            <w:vAlign w:val="bottom"/>
          </w:tcPr>
          <w:p>
            <w:pPr>
              <w:spacing w:after="0"/>
              <w:rPr>
                <w:sz w:val="1"/>
                <w:szCs w:val="1"/>
                <w:color w:val="auto"/>
              </w:rPr>
            </w:pPr>
          </w:p>
        </w:tc>
      </w:tr>
      <w:tr>
        <w:trPr>
          <w:trHeight w:val="490"/>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8"/>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0" w:type="dxa"/>
            <w:vAlign w:val="bottom"/>
          </w:tcPr>
          <w:p>
            <w:pPr>
              <w:spacing w:after="0"/>
              <w:rPr>
                <w:sz w:val="1"/>
                <w:szCs w:val="1"/>
                <w:color w:val="auto"/>
              </w:rPr>
            </w:pPr>
          </w:p>
        </w:tc>
      </w:tr>
      <w:tr>
        <w:trPr>
          <w:trHeight w:val="49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104.6 %</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99.5 %</w:t>
            </w:r>
          </w:p>
        </w:tc>
        <w:tc>
          <w:tcPr>
            <w:tcW w:w="0" w:type="dxa"/>
            <w:vAlign w:val="bottom"/>
          </w:tcPr>
          <w:p>
            <w:pPr>
              <w:spacing w:after="0"/>
              <w:rPr>
                <w:sz w:val="1"/>
                <w:szCs w:val="1"/>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8"/>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JRVR Announces First Quarter 2026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12</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Underwriting Profit</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following table reconciles the underwriting profit by individual operating segment and for the entire Company to consolidated income from continuing operations before taxes. 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spacing w:after="0" w:line="93"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20"/>
          <w:szCs w:val="20"/>
          <w:b w:val="1"/>
          <w:bCs w:val="1"/>
          <w:color w:val="auto"/>
        </w:rPr>
        <w:t>Three Months Ended</w:t>
      </w:r>
    </w:p>
    <w:p>
      <w:pPr>
        <w:jc w:val="center"/>
        <w:ind w:left="6380"/>
        <w:spacing w:after="0"/>
        <w:rPr>
          <w:sz w:val="20"/>
          <w:szCs w:val="20"/>
          <w:color w:val="auto"/>
        </w:rPr>
      </w:pPr>
      <w:r>
        <w:rPr>
          <w:rFonts w:ascii="Times New Roman" w:cs="Times New Roman" w:eastAsia="Times New Roman" w:hAnsi="Times New Roman"/>
          <w:sz w:val="20"/>
          <w:szCs w:val="20"/>
          <w:b w:val="1"/>
          <w:bCs w:val="1"/>
          <w:color w:val="auto"/>
        </w:rPr>
        <w:t>March 31,</w:t>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5"/>
        </w:trPr>
        <w:tc>
          <w:tcPr>
            <w:tcW w:w="72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w:t>
            </w:r>
          </w:p>
        </w:tc>
      </w:tr>
      <w:tr>
        <w:trPr>
          <w:trHeight w:val="234"/>
        </w:trPr>
        <w:tc>
          <w:tcPr>
            <w:tcW w:w="7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18"/>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underwriting profit of operating segments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11,352</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w:t>
            </w:r>
          </w:p>
        </w:tc>
      </w:tr>
      <w:tr>
        <w:trPr>
          <w:trHeight w:val="218"/>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Underwriting (loss) profit </w:t>
            </w:r>
            <w:r>
              <w:rPr>
                <w:rFonts w:ascii="Times New Roman" w:cs="Times New Roman" w:eastAsia="Times New Roman" w:hAnsi="Times New Roman"/>
                <w:sz w:val="14"/>
                <w:szCs w:val="14"/>
                <w:color w:val="auto"/>
              </w:rPr>
              <w:t>(a)</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20,008</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loss on investments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continuing operations before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16,009</w:t>
            </w: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60" w:right="920" w:hanging="334"/>
        <w:spacing w:after="0" w:line="224" w:lineRule="auto"/>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underwriting results for the three months ended March 31, 2026 and 2025 is gross fee income of $1.5 million and $4.3 million, respectively, and the negative impact of $6.7 million and $3.1 million of reinsurance reinstatement premiums incurred during the respective periods. In the current year, these premiums were associated predominantly with a single claim within the Company's E&amp;S segment.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JRVR Announces First Quarter 2026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13</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Adjusted Net Operating Income</w:t>
      </w:r>
    </w:p>
    <w:p>
      <w:pPr>
        <w:spacing w:after="0" w:line="2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define adjusted net operating income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and f) deemed dividends recorded with the amendment of the Series A Preferred Shares. Adjusted net operating income should not be viewed as a substitute for net income calculated in accordance with GAAP, and our definition of adjusted net operating income may not be comparable to that of other companies.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income available to common shareholders reconciles to our adjusted net operating income as follows:</w:t>
      </w:r>
    </w:p>
    <w:p>
      <w:pPr>
        <w:spacing w:after="0" w:line="13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b w:val="1"/>
          <w:bCs w:val="1"/>
          <w:color w:val="auto"/>
        </w:rPr>
        <w:t>Three Months Ended March 31,</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49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(Loss) Income</w:t>
            </w:r>
          </w:p>
        </w:tc>
        <w:tc>
          <w:tcPr>
            <w:tcW w:w="160" w:type="dxa"/>
            <w:vAlign w:val="bottom"/>
          </w:tcPr>
          <w:p>
            <w:pPr>
              <w:spacing w:after="0"/>
              <w:rPr>
                <w:sz w:val="15"/>
                <w:szCs w:val="15"/>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300" w:type="dxa"/>
            <w:vAlign w:val="bottom"/>
          </w:tcPr>
          <w:p>
            <w:pPr>
              <w:spacing w:after="0"/>
              <w:rPr>
                <w:sz w:val="15"/>
                <w:szCs w:val="15"/>
                <w:color w:val="auto"/>
              </w:rPr>
            </w:pPr>
          </w:p>
        </w:tc>
        <w:tc>
          <w:tcPr>
            <w:tcW w:w="1300" w:type="dxa"/>
            <w:vAlign w:val="bottom"/>
            <w:gridSpan w:val="2"/>
          </w:tcPr>
          <w:p>
            <w:pPr>
              <w:jc w:val="center"/>
              <w:ind w:right="400"/>
              <w:spacing w:after="0" w:line="174" w:lineRule="exact"/>
              <w:rPr>
                <w:sz w:val="20"/>
                <w:szCs w:val="20"/>
                <w:color w:val="auto"/>
              </w:rPr>
            </w:pPr>
            <w:r>
              <w:rPr>
                <w:rFonts w:ascii="Times New Roman" w:cs="Times New Roman" w:eastAsia="Times New Roman" w:hAnsi="Times New Roman"/>
                <w:sz w:val="18"/>
                <w:szCs w:val="18"/>
                <w:b w:val="1"/>
                <w:bCs w:val="1"/>
                <w:color w:val="auto"/>
              </w:rPr>
              <w:t>Income</w:t>
            </w:r>
          </w:p>
        </w:tc>
        <w:tc>
          <w:tcPr>
            <w:tcW w:w="300" w:type="dxa"/>
            <w:vAlign w:val="bottom"/>
          </w:tcPr>
          <w:p>
            <w:pPr>
              <w:spacing w:after="0"/>
              <w:rPr>
                <w:sz w:val="15"/>
                <w:szCs w:val="15"/>
                <w:color w:val="auto"/>
              </w:rPr>
            </w:pPr>
          </w:p>
        </w:tc>
        <w:tc>
          <w:tcPr>
            <w:tcW w:w="120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7"/>
              </w:rPr>
              <w:t>Before</w:t>
            </w: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4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Before</w:t>
            </w:r>
          </w:p>
        </w:tc>
        <w:tc>
          <w:tcPr>
            <w:tcW w:w="3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6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 Income</w:t>
            </w:r>
          </w:p>
        </w:tc>
        <w:tc>
          <w:tcPr>
            <w:tcW w:w="300" w:type="dxa"/>
            <w:vAlign w:val="bottom"/>
          </w:tcPr>
          <w:p>
            <w:pPr>
              <w:spacing w:after="0"/>
              <w:rPr>
                <w:sz w:val="19"/>
                <w:szCs w:val="19"/>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300" w:type="dxa"/>
            <w:vAlign w:val="bottom"/>
          </w:tcPr>
          <w:p>
            <w:pPr>
              <w:spacing w:after="0"/>
              <w:rPr>
                <w:sz w:val="19"/>
                <w:szCs w:val="19"/>
                <w:color w:val="auto"/>
              </w:rPr>
            </w:pP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1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available to common shareholders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investment losses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operating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-MORE-</w:t>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JRVR Announces First Quarter 2026 Results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14</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Tangible Equity (per Share) and Tangible Common Equity (per Share)</w:t>
      </w:r>
    </w:p>
    <w:p>
      <w:pPr>
        <w:spacing w:after="0" w:line="26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We define tangible equity as shareholders' equity plus mezzanine Series A Preferred Shares and the deferred retroactive reinsurance gain less goodwill and intangible assets, net of amortization. Tangible equity per share represents tangible equity divided by the sum of total shares of common stock outstanding plus the shares of common stock resulting from an assumed conversion of the outstanding Series A Preferred Shares into common stock (at the conversion price effective as of the last day of the applicable period). We define tangible common equity as tangible equity less mezzanine Series A Preferred Shares and tangible common equity per share represents tangible common equity divided by the total shares of common stock outstanding. Our definitions of tangible equity, tangible equity per share, tangible common equity and tangible common equity per share may not be comparable to that of other companies, and they should not be viewed as a substitute for shareholders' equity and shareholders' equity per share calculated in accordance with GAAP. We use tangible equity and tangible common equity internally to evaluate the strength of our balance sheet and to compare returns relative to this measure. The following table reconciles shareholders’ equity to tangible equity and tangible common equity for March 31, 2026, December 31, 2025, March 31, 2025, and December 31, 2024.</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thousands, except for share data)</w:t>
            </w: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90"/>
        </w:trPr>
        <w:tc>
          <w:tcPr>
            <w:tcW w:w="468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518,416</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484,480</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460,915</w:t>
            </w: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Plus: Series A redeemable preferred shares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Plus: Deferred reinsurance gain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213,827</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213,918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214,190</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214,281</w:t>
            </w:r>
          </w:p>
        </w:tc>
        <w:tc>
          <w:tcPr>
            <w:tcW w:w="0" w:type="dxa"/>
            <w:vAlign w:val="bottom"/>
          </w:tcPr>
          <w:p>
            <w:pPr>
              <w:spacing w:after="0"/>
              <w:rPr>
                <w:sz w:val="1"/>
                <w:szCs w:val="1"/>
                <w:color w:val="auto"/>
              </w:rPr>
            </w:pPr>
          </w:p>
        </w:tc>
      </w:tr>
      <w:tr>
        <w:trPr>
          <w:trHeight w:val="218"/>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Tangible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538,613</w:t>
            </w: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459,447</w:t>
            </w:r>
          </w:p>
        </w:tc>
        <w:tc>
          <w:tcPr>
            <w:tcW w:w="12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437,719</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Series A redeemable preferred shares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0" w:type="dxa"/>
            <w:vAlign w:val="bottom"/>
          </w:tcPr>
          <w:p>
            <w:pPr>
              <w:spacing w:after="0"/>
              <w:rPr>
                <w:sz w:val="1"/>
                <w:szCs w:val="1"/>
                <w:color w:val="auto"/>
              </w:rPr>
            </w:pPr>
          </w:p>
        </w:tc>
      </w:tr>
      <w:tr>
        <w:trPr>
          <w:trHeight w:val="196"/>
        </w:trPr>
        <w:tc>
          <w:tcPr>
            <w:tcW w:w="4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Tangible common equity</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405,498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410,955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326,332</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304,604</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46,236,856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45,968,584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45,892,706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45,644,318</w:t>
            </w:r>
          </w:p>
        </w:tc>
        <w:tc>
          <w:tcPr>
            <w:tcW w:w="0" w:type="dxa"/>
            <w:vAlign w:val="bottom"/>
          </w:tcPr>
          <w:p>
            <w:pPr>
              <w:spacing w:after="0"/>
              <w:rPr>
                <w:sz w:val="1"/>
                <w:szCs w:val="1"/>
                <w:color w:val="auto"/>
              </w:rPr>
            </w:pPr>
          </w:p>
        </w:tc>
      </w:tr>
      <w:tr>
        <w:trPr>
          <w:trHeight w:val="189"/>
        </w:trPr>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Common shares from assumed conversion of Series A preferred</w:t>
            </w: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13,521,634</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13,521,634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13,521,634</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13,521,634</w:t>
            </w:r>
          </w:p>
        </w:tc>
        <w:tc>
          <w:tcPr>
            <w:tcW w:w="0" w:type="dxa"/>
            <w:vAlign w:val="bottom"/>
          </w:tcPr>
          <w:p>
            <w:pPr>
              <w:spacing w:after="0"/>
              <w:rPr>
                <w:sz w:val="1"/>
                <w:szCs w:val="1"/>
                <w:color w:val="auto"/>
              </w:rPr>
            </w:pPr>
          </w:p>
        </w:tc>
      </w:tr>
      <w:tr>
        <w:trPr>
          <w:trHeight w:val="164"/>
        </w:trPr>
        <w:tc>
          <w:tcPr>
            <w:tcW w:w="46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Common shares outstanding after assumed conversion of Series</w:t>
            </w: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59,758,490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59,490,218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59,414,340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59,165,952</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 preferred shares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per share:</w:t>
            </w: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4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Tangible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Tangible common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-END-</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3"/>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4"/>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2026-05-04T15:13:43Z</dcterms:created>
  <dcterms:modified xsi:type="dcterms:W3CDTF">2026-05-04T15:13:43Z</dcterms:modified>
</cp:coreProperties>
</file>