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12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 for the quarterly period ended September 30, 2024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 for the transition period from _______ to _______</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001-36777</w:t>
      </w:r>
    </w:p>
    <w:tbl>
      <w:tblPr>
        <w:tblW w:w="9329" w:type="dxa"/>
        <w:jc w:val="center"/>
        <w:tblInd w:w="0" w:type="dxa"/>
        <w:tblLayout w:type="fixed"/>
        <w:tblCellMar>
          <w:top w:w="28" w:type="dxa"/>
          <w:left w:w="28" w:type="dxa"/>
          <w:bottom w:w="28" w:type="dxa"/>
          <w:right w:w="28" w:type="dxa"/>
        </w:tblCellMar>
      </w:tblPr>
      <w:tblGrid>
        <w:gridCol w:w="2988"/>
        <w:gridCol w:w="2627"/>
        <w:gridCol w:w="3714"/>
      </w:tblGrid>
      <w:tr>
        <w:trPr/>
        <w:tc>
          <w:tcPr>
            <w:tcW w:w="2988"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3714" w:type="dxa"/>
            <w:tcBorders/>
            <w:vAlign w:val="center"/>
          </w:tcPr>
          <w:p>
            <w:pPr>
              <w:pStyle w:val="TableContents"/>
              <w:bidi w:val="0"/>
              <w:spacing w:before="0" w:after="283"/>
              <w:jc w:val="left"/>
              <w:rPr>
                <w:sz w:val="4"/>
                <w:szCs w:val="4"/>
              </w:rPr>
            </w:pPr>
            <w:r>
              <w:rPr>
                <w:sz w:val="4"/>
                <w:szCs w:val="4"/>
              </w:rPr>
            </w:r>
          </w:p>
        </w:tc>
      </w:tr>
      <w:tr>
        <w:trPr/>
        <w:tc>
          <w:tcPr>
            <w:tcW w:w="9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48"/>
              </w:rPr>
            </w:pPr>
            <w:r>
              <w:rPr>
                <w:rFonts w:ascii="Times New Roman;sans-serif" w:hAnsi="Times New Roman;sans-serif"/>
                <w:b/>
                <w:color w:val="000000"/>
                <w:sz w:val="48"/>
              </w:rPr>
              <w:t>JAMES RIVER GROUP HOLDINGS, LTD.</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271" w:type="dxa"/>
        <w:jc w:val="center"/>
        <w:tblInd w:w="0" w:type="dxa"/>
        <w:tblLayout w:type="fixed"/>
        <w:tblCellMar>
          <w:top w:w="28" w:type="dxa"/>
          <w:left w:w="28" w:type="dxa"/>
          <w:bottom w:w="28" w:type="dxa"/>
          <w:right w:w="28" w:type="dxa"/>
        </w:tblCellMar>
      </w:tblPr>
      <w:tblGrid>
        <w:gridCol w:w="874"/>
        <w:gridCol w:w="767"/>
        <w:gridCol w:w="773"/>
        <w:gridCol w:w="109"/>
        <w:gridCol w:w="109"/>
        <w:gridCol w:w="109"/>
        <w:gridCol w:w="447"/>
        <w:gridCol w:w="447"/>
        <w:gridCol w:w="636"/>
      </w:tblGrid>
      <w:tr>
        <w:trPr/>
        <w:tc>
          <w:tcPr>
            <w:tcW w:w="87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98-0585280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Clarendon House, 2 Church Street, Hamilton, Pembroke HM11, Bermuda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(441) 295-1422</w:t>
      </w:r>
    </w:p>
    <w:p>
      <w:pPr>
        <w:pStyle w:val="TextBody"/>
        <w:bidi w:val="0"/>
        <w:spacing w:lineRule="auto" w:line="288" w:before="0" w:after="120"/>
        <w:jc w:val="center"/>
        <w:rPr/>
      </w:pPr>
      <w:r>
        <w:rPr>
          <w:rFonts w:ascii="Times New Roman;sans-serif" w:hAnsi="Times New Roman;sans-serif"/>
          <w:b/>
          <w:color w:val="000000"/>
          <w:sz w:val="20"/>
        </w:rPr>
        <w:t>(Registrant</w:t>
      </w:r>
      <w:r>
        <w:rPr>
          <w:rFonts w:ascii="Times New Roman;sans-serif" w:hAnsi="Times New Roman;sans-serif"/>
          <w:b w:val="false"/>
          <w:color w:val="000000"/>
          <w:sz w:val="20"/>
        </w:rPr>
        <w:t>'</w:t>
      </w:r>
      <w:r>
        <w:rPr>
          <w:rFonts w:ascii="Times New Roman;sans-serif" w:hAnsi="Times New Roman;sans-serif"/>
          <w:b/>
          <w:color w:val="000000"/>
          <w:sz w:val="20"/>
        </w:rPr>
        <w:t>s telephone number, including area code)</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075" w:type="dxa"/>
        <w:jc w:val="center"/>
        <w:tblInd w:w="0" w:type="dxa"/>
        <w:tblLayout w:type="fixed"/>
        <w:tblCellMar>
          <w:top w:w="28" w:type="dxa"/>
          <w:left w:w="28" w:type="dxa"/>
          <w:bottom w:w="28" w:type="dxa"/>
          <w:right w:w="28" w:type="dxa"/>
        </w:tblCellMar>
      </w:tblPr>
      <w:tblGrid>
        <w:gridCol w:w="1363"/>
        <w:gridCol w:w="1193"/>
        <w:gridCol w:w="1208"/>
        <w:gridCol w:w="539"/>
        <w:gridCol w:w="539"/>
        <w:gridCol w:w="541"/>
        <w:gridCol w:w="304"/>
        <w:gridCol w:w="304"/>
        <w:gridCol w:w="304"/>
        <w:gridCol w:w="304"/>
        <w:gridCol w:w="304"/>
        <w:gridCol w:w="304"/>
        <w:gridCol w:w="610"/>
        <w:gridCol w:w="610"/>
        <w:gridCol w:w="610"/>
        <w:gridCol w:w="304"/>
        <w:gridCol w:w="304"/>
        <w:gridCol w:w="430"/>
      </w:tblGrid>
      <w:tr>
        <w:trPr/>
        <w:tc>
          <w:tcPr>
            <w:tcW w:w="136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46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Names of each exchange on which registered</w:t>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Shares,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JRVR</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Global Select Market</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120"/>
        <w:jc w:val="both"/>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0"/>
        <w:gridCol w:w="519"/>
        <w:gridCol w:w="521"/>
        <w:gridCol w:w="109"/>
        <w:gridCol w:w="109"/>
        <w:gridCol w:w="109"/>
        <w:gridCol w:w="420"/>
        <w:gridCol w:w="420"/>
        <w:gridCol w:w="421"/>
        <w:gridCol w:w="109"/>
        <w:gridCol w:w="109"/>
        <w:gridCol w:w="109"/>
        <w:gridCol w:w="540"/>
        <w:gridCol w:w="540"/>
        <w:gridCol w:w="541"/>
        <w:gridCol w:w="109"/>
        <w:gridCol w:w="109"/>
        <w:gridCol w:w="109"/>
        <w:gridCol w:w="675"/>
        <w:gridCol w:w="675"/>
        <w:gridCol w:w="676"/>
        <w:gridCol w:w="109"/>
        <w:gridCol w:w="109"/>
        <w:gridCol w:w="109"/>
        <w:gridCol w:w="660"/>
        <w:gridCol w:w="660"/>
        <w:gridCol w:w="663"/>
        <w:gridCol w:w="109"/>
        <w:gridCol w:w="109"/>
        <w:gridCol w:w="158"/>
      </w:tblGrid>
      <w:tr>
        <w:trPr/>
        <w:tc>
          <w:tcPr>
            <w:tcW w:w="59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both"/>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120"/>
        <w:jc w:val="both"/>
        <w:rPr/>
      </w:pP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Number of shares of the registrant's common shares outstanding at November 8, 2024: 37,829,475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493"/>
        <w:gridCol w:w="410"/>
        <w:gridCol w:w="410"/>
        <w:gridCol w:w="2827"/>
        <w:gridCol w:w="2677"/>
        <w:gridCol w:w="2648"/>
        <w:gridCol w:w="215"/>
        <w:gridCol w:w="215"/>
        <w:gridCol w:w="310"/>
      </w:tblGrid>
      <w:tr>
        <w:trPr/>
        <w:tc>
          <w:tcPr>
            <w:tcW w:w="49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946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br/>
              <w:t>Number</w:t>
            </w:r>
          </w:p>
        </w:tc>
      </w:tr>
      <w:tr>
        <w:trPr/>
        <w:tc>
          <w:tcPr>
            <w:tcW w:w="946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0">
              <w:r>
                <w:rPr>
                  <w:rStyle w:val="InternetLink"/>
                  <w:rFonts w:ascii="Times New Roman;sans-serif" w:hAnsi="Times New Roman;sans-serif"/>
                  <w:b w:val="false"/>
                  <w:color w:val="0000FF"/>
                  <w:sz w:val="20"/>
                  <w:u w:val="single"/>
                </w:rPr>
                <w:t>PART I. FINANCIAL INFORMATION</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3">
              <w:r>
                <w:rPr>
                  <w:rStyle w:val="InternetLink"/>
                  <w:rFonts w:ascii="Times New Roman;sans-serif" w:hAnsi="Times New Roman;sans-serif"/>
                  <w:b w:val="false"/>
                  <w:color w:val="0000FF"/>
                  <w:sz w:val="20"/>
                  <w:u w:val="single"/>
                </w:rPr>
                <w:t>Item 1.</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3">
              <w:r>
                <w:rPr>
                  <w:rStyle w:val="InternetLink"/>
                  <w:rFonts w:ascii="Times New Roman;sans-serif" w:hAnsi="Times New Roman;sans-serif"/>
                  <w:b w:val="false"/>
                  <w:color w:val="0000FF"/>
                  <w:sz w:val="20"/>
                  <w:u w:val="single"/>
                </w:rPr>
                <w:t>Financial Statements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6">
              <w:r>
                <w:rPr>
                  <w:rStyle w:val="InternetLink"/>
                  <w:rFonts w:ascii="Times New Roman;sans-serif" w:hAnsi="Times New Roman;sans-serif"/>
                  <w:b w:val="false"/>
                  <w:color w:val="000080"/>
                  <w:sz w:val="20"/>
                  <w:u w:val="single"/>
                </w:rPr>
                <w:t>Condensed Consolidated Balance Sheets</w:t>
              </w:r>
            </w:hyperlink>
            <w:hyperlink w:anchor="i4d3da4ccfa6e48beadf892ffc9ae7c6e_19">
              <w:r>
                <w:rPr>
                  <w:rStyle w:val="InternetLink"/>
                  <w:rFonts w:ascii="Times New Roman;sans-serif" w:hAnsi="Times New Roman;sans-serif"/>
                  <w:b w:val="false"/>
                  <w:color w:val="000080"/>
                  <w:sz w:val="20"/>
                  <w:u w:val="single"/>
                </w:rPr>
                <w:t>—</w:t>
              </w:r>
            </w:hyperlink>
            <w:hyperlink w:anchor="i4d3da4ccfa6e48beadf892ffc9ae7c6e_16">
              <w:r>
                <w:rPr>
                  <w:rStyle w:val="InternetLink"/>
                  <w:rFonts w:ascii="Times New Roman;sans-serif" w:hAnsi="Times New Roman;sans-serif"/>
                  <w:b w:val="false"/>
                  <w:color w:val="000080"/>
                  <w:sz w:val="20"/>
                  <w:u w:val="single"/>
                </w:rPr>
                <w:t>September 30, 2024 and December 31, 2023</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6">
              <w:r>
                <w:rPr>
                  <w:rStyle w:val="InternetLink"/>
                  <w:rFonts w:ascii="Times New Roman;sans-serif" w:hAnsi="Times New Roman;sans-serif"/>
                  <w:b w:val="false"/>
                  <w:color w:val="0000FF"/>
                  <w:sz w:val="20"/>
                  <w:u w:val="single"/>
                </w:rPr>
                <w:t>5</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9">
              <w:r>
                <w:rPr>
                  <w:rStyle w:val="InternetLink"/>
                  <w:rFonts w:ascii="Times New Roman;sans-serif" w:hAnsi="Times New Roman;sans-serif"/>
                  <w:b w:val="false"/>
                  <w:color w:val="000080"/>
                  <w:sz w:val="20"/>
                  <w:u w:val="single"/>
                </w:rPr>
                <w:t xml:space="preserve">Condensed Consolidated Statements of </w:t>
              </w:r>
            </w:hyperlink>
            <w:hyperlink w:anchor="i4d3da4ccfa6e48beadf892ffc9ae7c6e_19">
              <w:r>
                <w:rPr>
                  <w:rStyle w:val="InternetLink"/>
                  <w:rFonts w:ascii="Times New Roman;sans-serif" w:hAnsi="Times New Roman;sans-serif"/>
                  <w:b w:val="false"/>
                  <w:color w:val="000080"/>
                  <w:sz w:val="20"/>
                  <w:u w:val="single"/>
                </w:rPr>
                <w:t xml:space="preserve">(Loss) </w:t>
              </w:r>
            </w:hyperlink>
            <w:hyperlink w:anchor="i4d3da4ccfa6e48beadf892ffc9ae7c6e_19">
              <w:r>
                <w:rPr>
                  <w:rStyle w:val="InternetLink"/>
                  <w:rFonts w:ascii="Times New Roman;sans-serif" w:hAnsi="Times New Roman;sans-serif"/>
                  <w:b w:val="false"/>
                  <w:color w:val="000080"/>
                  <w:sz w:val="20"/>
                  <w:u w:val="single"/>
                </w:rPr>
                <w:t xml:space="preserve">Income and Comprehensive </w:t>
              </w:r>
            </w:hyperlink>
            <w:hyperlink w:anchor="i4d3da4ccfa6e48beadf892ffc9ae7c6e_19">
              <w:r>
                <w:rPr>
                  <w:rStyle w:val="InternetLink"/>
                  <w:rFonts w:ascii="Times New Roman;sans-serif" w:hAnsi="Times New Roman;sans-serif"/>
                  <w:b w:val="false"/>
                  <w:color w:val="000080"/>
                  <w:sz w:val="20"/>
                  <w:u w:val="single"/>
                </w:rPr>
                <w:t>(Loss)</w:t>
              </w:r>
            </w:hyperlink>
            <w:hyperlink w:anchor="i4d3da4ccfa6e48beadf892ffc9ae7c6e_19">
              <w:r>
                <w:rPr>
                  <w:rStyle w:val="InternetLink"/>
                  <w:rFonts w:ascii="Times New Roman;sans-serif" w:hAnsi="Times New Roman;sans-serif"/>
                  <w:b w:val="false"/>
                  <w:color w:val="000080"/>
                  <w:sz w:val="20"/>
                  <w:u w:val="single"/>
                </w:rPr>
                <w:t xml:space="preserve"> </w:t>
              </w:r>
            </w:hyperlink>
            <w:hyperlink w:anchor="i4d3da4ccfa6e48beadf892ffc9ae7c6e_19">
              <w:r>
                <w:rPr>
                  <w:rStyle w:val="InternetLink"/>
                  <w:rFonts w:ascii="Times New Roman;sans-serif" w:hAnsi="Times New Roman;sans-serif"/>
                  <w:b w:val="false"/>
                  <w:color w:val="000080"/>
                  <w:sz w:val="20"/>
                  <w:u w:val="single"/>
                </w:rPr>
                <w:t>Income</w:t>
              </w:r>
            </w:hyperlink>
            <w:hyperlink w:anchor="i4d3da4ccfa6e48beadf892ffc9ae7c6e_19">
              <w:r>
                <w:rPr>
                  <w:rStyle w:val="InternetLink"/>
                  <w:rFonts w:ascii="Times New Roman;sans-serif" w:hAnsi="Times New Roman;sans-serif"/>
                  <w:b w:val="false"/>
                  <w:color w:val="000080"/>
                  <w:sz w:val="20"/>
                  <w:u w:val="single"/>
                </w:rPr>
                <w:t>—Three and Nine Months Ended September 30, 2024 and 2023</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9">
              <w:r>
                <w:rPr>
                  <w:rStyle w:val="InternetLink"/>
                  <w:rFonts w:ascii="Times New Roman;sans-serif" w:hAnsi="Times New Roman;sans-serif"/>
                  <w:b w:val="false"/>
                  <w:color w:val="0000FF"/>
                  <w:sz w:val="20"/>
                  <w:u w:val="single"/>
                </w:rPr>
                <w:t>7</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22">
              <w:r>
                <w:rPr>
                  <w:rStyle w:val="InternetLink"/>
                  <w:rFonts w:ascii="Times New Roman;sans-serif" w:hAnsi="Times New Roman;sans-serif"/>
                  <w:b w:val="false"/>
                  <w:color w:val="0000FF"/>
                  <w:sz w:val="20"/>
                  <w:u w:val="single"/>
                </w:rPr>
                <w:t>Condensed Consolidated Statements of Changes in Shareholders’ Equity—Three and Nine Months Ended September 30, 2024 and 2023</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22">
              <w:r>
                <w:rPr>
                  <w:rStyle w:val="InternetLink"/>
                  <w:rFonts w:ascii="Times New Roman;sans-serif" w:hAnsi="Times New Roman;sans-serif"/>
                  <w:b w:val="false"/>
                  <w:color w:val="0000FF"/>
                  <w:sz w:val="20"/>
                  <w:u w:val="single"/>
                </w:rPr>
                <w:t>8</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25">
              <w:r>
                <w:rPr>
                  <w:rStyle w:val="InternetLink"/>
                  <w:rFonts w:ascii="Times New Roman;sans-serif" w:hAnsi="Times New Roman;sans-serif"/>
                  <w:b w:val="false"/>
                  <w:color w:val="0000FF"/>
                  <w:sz w:val="20"/>
                  <w:u w:val="single"/>
                </w:rPr>
                <w:t>Condensed Consolidated Statements of Cash Flows—Nine Months Ended September 30, 2024 and 2023</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25">
              <w:r>
                <w:rPr>
                  <w:rStyle w:val="InternetLink"/>
                  <w:rFonts w:ascii="Times New Roman;sans-serif" w:hAnsi="Times New Roman;sans-serif"/>
                  <w:b w:val="false"/>
                  <w:color w:val="0000FF"/>
                  <w:sz w:val="20"/>
                  <w:u w:val="single"/>
                </w:rPr>
                <w:t>10</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28">
              <w:r>
                <w:rPr>
                  <w:rStyle w:val="InternetLink"/>
                  <w:rFonts w:ascii="Times New Roman;sans-serif" w:hAnsi="Times New Roman;sans-serif"/>
                  <w:b w:val="false"/>
                  <w:color w:val="0000FF"/>
                  <w:sz w:val="20"/>
                  <w:u w:val="single"/>
                </w:rPr>
                <w:t>Notes to Condensed Consolidated Financial Statements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28">
              <w:r>
                <w:rPr>
                  <w:rStyle w:val="InternetLink"/>
                  <w:rFonts w:ascii="Times New Roman;sans-serif" w:hAnsi="Times New Roman;sans-serif"/>
                  <w:b w:val="false"/>
                  <w:color w:val="0000FF"/>
                  <w:sz w:val="20"/>
                  <w:u w:val="single"/>
                </w:rPr>
                <w:t>11</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76">
              <w:r>
                <w:rPr>
                  <w:rStyle w:val="InternetLink"/>
                  <w:rFonts w:ascii="Times New Roman;sans-serif" w:hAnsi="Times New Roman;sans-serif"/>
                  <w:b w:val="false"/>
                  <w:color w:val="0000FF"/>
                  <w:sz w:val="20"/>
                  <w:u w:val="single"/>
                </w:rPr>
                <w:t>Item 2.</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76">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76">
              <w:r>
                <w:rPr>
                  <w:rStyle w:val="InternetLink"/>
                  <w:rFonts w:ascii="Times New Roman;sans-serif" w:hAnsi="Times New Roman;sans-serif"/>
                  <w:b w:val="false"/>
                  <w:color w:val="0000FF"/>
                  <w:sz w:val="20"/>
                  <w:u w:val="single"/>
                </w:rPr>
                <w:t>39</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79">
              <w:r>
                <w:rPr>
                  <w:rStyle w:val="InternetLink"/>
                  <w:rFonts w:ascii="Times New Roman;sans-serif" w:hAnsi="Times New Roman;sans-serif"/>
                  <w:b w:val="false"/>
                  <w:color w:val="0000FF"/>
                  <w:sz w:val="20"/>
                  <w:u w:val="single"/>
                </w:rPr>
                <w:t>Critical Accounting Policies and Estimates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79">
              <w:r>
                <w:rPr>
                  <w:rStyle w:val="InternetLink"/>
                  <w:rFonts w:ascii="Times New Roman;sans-serif" w:hAnsi="Times New Roman;sans-serif"/>
                  <w:b w:val="false"/>
                  <w:color w:val="0000FF"/>
                  <w:sz w:val="20"/>
                  <w:u w:val="single"/>
                </w:rPr>
                <w:t>40</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94">
              <w:r>
                <w:rPr>
                  <w:rStyle w:val="InternetLink"/>
                  <w:rFonts w:ascii="Times New Roman;sans-serif" w:hAnsi="Times New Roman;sans-serif"/>
                  <w:b w:val="false"/>
                  <w:color w:val="0000FF"/>
                  <w:sz w:val="20"/>
                  <w:u w:val="single"/>
                </w:rPr>
                <w:t>Item 3.</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94">
              <w:r>
                <w:rPr>
                  <w:rStyle w:val="InternetLink"/>
                  <w:rFonts w:ascii="Times New Roman;sans-serif" w:hAnsi="Times New Roman;sans-serif"/>
                  <w:b w:val="false"/>
                  <w:color w:val="0000FF"/>
                  <w:sz w:val="20"/>
                  <w:u w:val="single"/>
                </w:rPr>
                <w:t>Quantitative and Qualitative Disclosures About Market Risk</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94">
              <w:r>
                <w:rPr>
                  <w:rStyle w:val="InternetLink"/>
                  <w:rFonts w:ascii="Times New Roman;sans-serif" w:hAnsi="Times New Roman;sans-serif"/>
                  <w:b w:val="false"/>
                  <w:color w:val="0000FF"/>
                  <w:sz w:val="20"/>
                  <w:u w:val="single"/>
                </w:rPr>
                <w:t>66</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97">
              <w:r>
                <w:rPr>
                  <w:rStyle w:val="InternetLink"/>
                  <w:rFonts w:ascii="Times New Roman;sans-serif" w:hAnsi="Times New Roman;sans-serif"/>
                  <w:b w:val="false"/>
                  <w:color w:val="0000FF"/>
                  <w:sz w:val="20"/>
                  <w:u w:val="single"/>
                </w:rPr>
                <w:t>Item 4.</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97">
              <w:r>
                <w:rPr>
                  <w:rStyle w:val="InternetLink"/>
                  <w:rFonts w:ascii="Times New Roman;sans-serif" w:hAnsi="Times New Roman;sans-serif"/>
                  <w:b w:val="false"/>
                  <w:color w:val="0000FF"/>
                  <w:sz w:val="20"/>
                  <w:u w:val="single"/>
                </w:rPr>
                <w:t>Controls and Procedures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97">
              <w:r>
                <w:rPr>
                  <w:rStyle w:val="InternetLink"/>
                  <w:rFonts w:ascii="Times New Roman;sans-serif" w:hAnsi="Times New Roman;sans-serif"/>
                  <w:b w:val="false"/>
                  <w:color w:val="0000FF"/>
                  <w:sz w:val="20"/>
                  <w:u w:val="single"/>
                </w:rPr>
                <w:t>66</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00">
              <w:r>
                <w:rPr>
                  <w:rStyle w:val="InternetLink"/>
                  <w:rFonts w:ascii="Times New Roman;sans-serif" w:hAnsi="Times New Roman;sans-serif"/>
                  <w:b w:val="false"/>
                  <w:color w:val="0000FF"/>
                  <w:sz w:val="20"/>
                  <w:u w:val="single"/>
                </w:rPr>
                <w:t>PART II. OTHER INFORMATION</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03">
              <w:r>
                <w:rPr>
                  <w:rStyle w:val="InternetLink"/>
                  <w:rFonts w:ascii="Times New Roman;sans-serif" w:hAnsi="Times New Roman;sans-serif"/>
                  <w:b w:val="false"/>
                  <w:color w:val="0000FF"/>
                  <w:sz w:val="20"/>
                  <w:u w:val="single"/>
                </w:rPr>
                <w:t>Item 1.</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03">
              <w:r>
                <w:rPr>
                  <w:rStyle w:val="InternetLink"/>
                  <w:rFonts w:ascii="Times New Roman;sans-serif" w:hAnsi="Times New Roman;sans-serif"/>
                  <w:b w:val="false"/>
                  <w:color w:val="0000FF"/>
                  <w:sz w:val="20"/>
                  <w:u w:val="single"/>
                </w:rPr>
                <w:t>Legal Proceedings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03">
              <w:r>
                <w:rPr>
                  <w:rStyle w:val="InternetLink"/>
                  <w:rFonts w:ascii="Times New Roman;sans-serif" w:hAnsi="Times New Roman;sans-serif"/>
                  <w:b w:val="false"/>
                  <w:color w:val="0000FF"/>
                  <w:sz w:val="20"/>
                  <w:u w:val="single"/>
                </w:rPr>
                <w:t>66</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06">
              <w:r>
                <w:rPr>
                  <w:rStyle w:val="InternetLink"/>
                  <w:rFonts w:ascii="Times New Roman;sans-serif" w:hAnsi="Times New Roman;sans-serif"/>
                  <w:b w:val="false"/>
                  <w:color w:val="0000FF"/>
                  <w:sz w:val="20"/>
                  <w:u w:val="single"/>
                </w:rPr>
                <w:t>Item 1A.</w:t>
              </w:r>
            </w:hyperlink>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06">
              <w:r>
                <w:rPr>
                  <w:rStyle w:val="InternetLink"/>
                  <w:rFonts w:ascii="Times New Roman;sans-serif" w:hAnsi="Times New Roman;sans-serif"/>
                  <w:b w:val="false"/>
                  <w:color w:val="0000FF"/>
                  <w:sz w:val="20"/>
                  <w:u w:val="single"/>
                </w:rPr>
                <w:t>Risk Factors</w:t>
              </w:r>
            </w:hyperlink>
          </w:p>
        </w:tc>
        <w:tc>
          <w:tcPr>
            <w:tcW w:w="7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06">
              <w:r>
                <w:rPr>
                  <w:rStyle w:val="InternetLink"/>
                  <w:rFonts w:ascii="Times New Roman;sans-serif" w:hAnsi="Times New Roman;sans-serif"/>
                  <w:b w:val="false"/>
                  <w:color w:val="0000FF"/>
                  <w:sz w:val="20"/>
                  <w:u w:val="single"/>
                </w:rPr>
                <w:t>67</w:t>
              </w:r>
            </w:hyperlink>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09">
              <w:r>
                <w:rPr>
                  <w:rStyle w:val="InternetLink"/>
                  <w:rFonts w:ascii="Times New Roman;sans-serif" w:hAnsi="Times New Roman;sans-serif"/>
                  <w:b w:val="false"/>
                  <w:color w:val="0000FF"/>
                  <w:sz w:val="20"/>
                  <w:u w:val="single"/>
                </w:rPr>
                <w:t>Item 2.</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09">
              <w:r>
                <w:rPr>
                  <w:rStyle w:val="InternetLink"/>
                  <w:rFonts w:ascii="Times New Roman;sans-serif" w:hAnsi="Times New Roman;sans-serif"/>
                  <w:b w:val="false"/>
                  <w:color w:val="0000FF"/>
                  <w:sz w:val="20"/>
                  <w:u w:val="single"/>
                </w:rPr>
                <w:t>Unregistered Sales of Equity Securities and Use of Proceeds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09">
              <w:r>
                <w:rPr>
                  <w:rStyle w:val="InternetLink"/>
                  <w:rFonts w:ascii="Times New Roman;sans-serif" w:hAnsi="Times New Roman;sans-serif"/>
                  <w:b w:val="false"/>
                  <w:color w:val="0000FF"/>
                  <w:sz w:val="20"/>
                  <w:u w:val="single"/>
                </w:rPr>
                <w:t>68</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12">
              <w:r>
                <w:rPr>
                  <w:rStyle w:val="InternetLink"/>
                  <w:rFonts w:ascii="Times New Roman;sans-serif" w:hAnsi="Times New Roman;sans-serif"/>
                  <w:b w:val="false"/>
                  <w:color w:val="0000FF"/>
                  <w:sz w:val="20"/>
                  <w:u w:val="single"/>
                </w:rPr>
                <w:t>Item 3.</w:t>
              </w:r>
            </w:hyperlink>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12">
              <w:r>
                <w:rPr>
                  <w:rStyle w:val="InternetLink"/>
                  <w:rFonts w:ascii="Times New Roman;sans-serif" w:hAnsi="Times New Roman;sans-serif"/>
                  <w:b w:val="false"/>
                  <w:color w:val="0000FF"/>
                  <w:sz w:val="20"/>
                  <w:u w:val="single"/>
                </w:rPr>
                <w:t>Defaults Upon Senior Securities</w:t>
              </w:r>
            </w:hyperlink>
          </w:p>
        </w:tc>
        <w:tc>
          <w:tcPr>
            <w:tcW w:w="7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12">
              <w:r>
                <w:rPr>
                  <w:rStyle w:val="InternetLink"/>
                  <w:rFonts w:ascii="Times New Roman;sans-serif" w:hAnsi="Times New Roman;sans-serif"/>
                  <w:b w:val="false"/>
                  <w:color w:val="0000FF"/>
                  <w:sz w:val="20"/>
                  <w:u w:val="single"/>
                </w:rPr>
                <w:t>68</w:t>
              </w:r>
            </w:hyperlink>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15">
              <w:r>
                <w:rPr>
                  <w:rStyle w:val="InternetLink"/>
                  <w:rFonts w:ascii="Times New Roman;sans-serif" w:hAnsi="Times New Roman;sans-serif"/>
                  <w:b w:val="false"/>
                  <w:color w:val="0000FF"/>
                  <w:sz w:val="20"/>
                  <w:u w:val="single"/>
                </w:rPr>
                <w:t>Item 4.</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15">
              <w:r>
                <w:rPr>
                  <w:rStyle w:val="InternetLink"/>
                  <w:rFonts w:ascii="Times New Roman;sans-serif" w:hAnsi="Times New Roman;sans-serif"/>
                  <w:b w:val="false"/>
                  <w:color w:val="0000FF"/>
                  <w:sz w:val="20"/>
                  <w:u w:val="single"/>
                </w:rPr>
                <w:t>Mine Safety Disclosures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15">
              <w:r>
                <w:rPr>
                  <w:rStyle w:val="InternetLink"/>
                  <w:rFonts w:ascii="Times New Roman;sans-serif" w:hAnsi="Times New Roman;sans-serif"/>
                  <w:b w:val="false"/>
                  <w:color w:val="0000FF"/>
                  <w:sz w:val="20"/>
                  <w:u w:val="single"/>
                </w:rPr>
                <w:t>68</w:t>
              </w:r>
            </w:hyperlink>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18">
              <w:r>
                <w:rPr>
                  <w:rStyle w:val="InternetLink"/>
                  <w:rFonts w:ascii="Times New Roman;sans-serif" w:hAnsi="Times New Roman;sans-serif"/>
                  <w:b w:val="false"/>
                  <w:color w:val="0000FF"/>
                  <w:sz w:val="20"/>
                  <w:u w:val="single"/>
                </w:rPr>
                <w:t>Item 5.</w:t>
              </w:r>
            </w:hyperlink>
          </w:p>
        </w:tc>
        <w:tc>
          <w:tcPr>
            <w:tcW w:w="815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18">
              <w:r>
                <w:rPr>
                  <w:rStyle w:val="InternetLink"/>
                  <w:rFonts w:ascii="Times New Roman;sans-serif" w:hAnsi="Times New Roman;sans-serif"/>
                  <w:b w:val="false"/>
                  <w:color w:val="0000FF"/>
                  <w:sz w:val="20"/>
                  <w:u w:val="single"/>
                </w:rPr>
                <w:t>Other Information</w:t>
              </w:r>
            </w:hyperlink>
          </w:p>
        </w:tc>
        <w:tc>
          <w:tcPr>
            <w:tcW w:w="74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18">
              <w:r>
                <w:rPr>
                  <w:rStyle w:val="InternetLink"/>
                  <w:rFonts w:ascii="Times New Roman;sans-serif" w:hAnsi="Times New Roman;sans-serif"/>
                  <w:b w:val="false"/>
                  <w:color w:val="0000FF"/>
                  <w:sz w:val="20"/>
                  <w:u w:val="single"/>
                </w:rPr>
                <w:t>68</w:t>
              </w:r>
            </w:hyperlink>
          </w:p>
        </w:tc>
      </w:tr>
      <w:tr>
        <w:trPr/>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21">
              <w:r>
                <w:rPr>
                  <w:rStyle w:val="InternetLink"/>
                  <w:rFonts w:ascii="Times New Roman;sans-serif" w:hAnsi="Times New Roman;sans-serif"/>
                  <w:b w:val="false"/>
                  <w:color w:val="0000FF"/>
                  <w:sz w:val="20"/>
                  <w:u w:val="single"/>
                </w:rPr>
                <w:t>Item 6.</w:t>
              </w:r>
            </w:hyperlink>
          </w:p>
        </w:tc>
        <w:tc>
          <w:tcPr>
            <w:tcW w:w="8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21">
              <w:r>
                <w:rPr>
                  <w:rStyle w:val="InternetLink"/>
                  <w:rFonts w:ascii="Times New Roman;sans-serif" w:hAnsi="Times New Roman;sans-serif"/>
                  <w:b w:val="false"/>
                  <w:color w:val="0000FF"/>
                  <w:sz w:val="20"/>
                  <w:u w:val="single"/>
                </w:rPr>
                <w:t>Exhibits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21">
              <w:r>
                <w:rPr>
                  <w:rStyle w:val="InternetLink"/>
                  <w:rFonts w:ascii="Times New Roman;sans-serif" w:hAnsi="Times New Roman;sans-serif"/>
                  <w:b w:val="false"/>
                  <w:color w:val="0000FF"/>
                  <w:sz w:val="20"/>
                  <w:u w:val="single"/>
                </w:rPr>
                <w:t>69</w:t>
              </w:r>
            </w:hyperlink>
          </w:p>
        </w:tc>
      </w:tr>
      <w:tr>
        <w:trPr/>
        <w:tc>
          <w:tcPr>
            <w:tcW w:w="946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d3da4ccfa6e48beadf892ffc9ae7c6e_124">
              <w:r>
                <w:rPr>
                  <w:rStyle w:val="InternetLink"/>
                  <w:rFonts w:ascii="Times New Roman;sans-serif" w:hAnsi="Times New Roman;sans-serif"/>
                  <w:b w:val="false"/>
                  <w:color w:val="0000FF"/>
                  <w:sz w:val="20"/>
                  <w:u w:val="single"/>
                </w:rPr>
                <w:t>Signatures</w:t>
              </w:r>
            </w:hyperlink>
          </w:p>
        </w:tc>
        <w:tc>
          <w:tcPr>
            <w:tcW w:w="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d3da4ccfa6e48beadf892ffc9ae7c6e_124">
              <w:r>
                <w:rPr>
                  <w:rStyle w:val="InternetLink"/>
                  <w:rFonts w:ascii="Times New Roman;sans-serif" w:hAnsi="Times New Roman;sans-serif"/>
                  <w:b w:val="false"/>
                  <w:color w:val="0000FF"/>
                  <w:sz w:val="20"/>
                  <w:u w:val="single"/>
                </w:rPr>
                <w:t>70</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24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actual results may differ materially from those expressed in, or implied by, the forward-looking statements included in this Quarterly Report as a result of various factors, many of which are beyond our control, including, among others: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inherent uncertainty of estimating reserves and the possibility that incurred losses may be greater than our loss and loss adjustment expense reserves;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inaccurate estimates and judgments in our risk management may expose us to greater risks than intended;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downgrades in the financial strength rating or outlook of our regulated insurance subsidiaries impacting our ability to attract and retain insurance business that our subsidiaries write, our competitive position, and our financial condition;</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outcome of our exploration of strategic alternatives, and market reaction thereto;</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8080"/>
          <w:sz w:val="24"/>
        </w:rPr>
        <w:t>t</w:t>
      </w:r>
      <w:r>
        <w:rPr>
          <w:rFonts w:ascii="Times New Roman;sans-serif" w:hAnsi="Times New Roman;sans-serif"/>
          <w:b w:val="false"/>
          <w:color w:val="000000"/>
          <w:sz w:val="20"/>
        </w:rPr>
        <w:t>he failure to close the common equity investment and adverse development cover reinsurance transactions with Enstar Group Limited announced on November 11, 2024;</w:t>
      </w:r>
    </w:p>
    <w:p>
      <w:pPr>
        <w:pStyle w:val="TextBody"/>
        <w:bidi w:val="0"/>
        <w:spacing w:lineRule="auto" w:line="288" w:before="0" w:after="120"/>
        <w:ind w:left="0" w:right="0" w:hanging="540"/>
        <w:jc w:val="both"/>
        <w:rPr/>
      </w:pPr>
      <w:r>
        <w:rPr>
          <w:color w:val="000000"/>
          <w:shd w:fill="FFFFFF" w:val="clear"/>
        </w:rPr>
        <w:t>•</w:t>
      </w:r>
      <w:r>
        <w:rPr>
          <w:rFonts w:ascii="Times New Roman;sans-serif" w:hAnsi="Times New Roman;sans-serif"/>
          <w:b w:val="false"/>
          <w:color w:val="000000"/>
          <w:sz w:val="20"/>
          <w:shd w:fill="FFFFFF" w:val="clear"/>
        </w:rPr>
        <w:t>the amount of the final post-closing adjustment to the purchase price received in connection with the sale of our casualty reinsurance business and the outcome of litigation relating to such transaction;</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potential loss of key members of our management team or key employees, and our ability to attract and retain personnel;</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adverse economic factors resulting in the sale of fewer policies than expected or an increase in the frequency or severity of claims, or both;</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impact of a higher than expected inflationary environment on our reserves, the values of our investments and investment returns, and our compensation expenses;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exposure to credit risk, interest rate risk and other market risk in our investment portfolio;</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reliance on a select group of brokers and agents for a significant portion of our business and the impact of our potential failure to maintain such relationships;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reliance on a select group of customers for a significant portion of our business and the impact of our potential failure to maintain, or decision to terminate, such relationships;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our ability to obtain insurance and reinsurance coverage at prices and on terms that allow us to transfer risk, adequately protect our Company against financial loss and that supports our growth plans;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inadequacy of premiums we charge to compensate us for our losses incurred;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changes in laws or government regulation, including tax or insurance law and regulations;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in the event we do not qualify for the insurance company exception to the passive foreign investment company (“PFIC”) rules and are therefore considered a PFIC, there could be material adverse tax consequences to an investor that is subject to U.S. federal income taxation;</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Company or its foreign subsidiary becoming subject to U.S. federal income taxation;</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a failure of any of the loss limitations or exclusions we utilize to shield us from unanticipated financial losses or legal exposures, or other liabilities;</w:t>
      </w:r>
    </w:p>
    <w:p>
      <w:pPr>
        <w:pStyle w:val="TextBody"/>
        <w:bidi w:val="0"/>
        <w:spacing w:lineRule="auto" w:line="288" w:before="0" w:after="120"/>
        <w:ind w:left="0" w:right="0" w:hanging="540"/>
        <w:jc w:val="both"/>
        <w:rPr/>
      </w:pPr>
      <w:r>
        <w:rPr>
          <w:color w:val="000000"/>
          <w:shd w:fill="FFFFFF" w:val="clear"/>
        </w:rPr>
        <w:t>•</w:t>
      </w:r>
      <w:r>
        <w:rPr>
          <w:rFonts w:ascii="Times New Roman;sans-serif" w:hAnsi="Times New Roman;sans-serif"/>
          <w:b w:val="false"/>
          <w:color w:val="000000"/>
          <w:sz w:val="20"/>
          <w:shd w:fill="FFFFFF" w:val="clear"/>
        </w:rPr>
        <w:t>losses from catastrophic events, such as natural disasters and terrorist acts, which substantially exceed our expectations and/or exceed the amount of reinsurance we have purchased to protect us from such events;</w:t>
      </w:r>
    </w:p>
    <w:p>
      <w:pPr>
        <w:pStyle w:val="TextBody"/>
        <w:bidi w:val="0"/>
        <w:spacing w:lineRule="auto" w:line="288" w:before="0" w:after="120"/>
        <w:ind w:left="0" w:right="0" w:hanging="540"/>
        <w:jc w:val="both"/>
        <w:rPr/>
      </w:pPr>
      <w:r>
        <w:rPr>
          <w:color w:val="000000"/>
          <w:shd w:fill="FFFFFF" w:val="clear"/>
        </w:rPr>
        <w:t>•</w:t>
      </w:r>
      <w:r>
        <w:rPr>
          <w:rFonts w:ascii="Times New Roman;sans-serif" w:hAnsi="Times New Roman;sans-serif"/>
          <w:b w:val="false"/>
          <w:color w:val="000000"/>
          <w:sz w:val="20"/>
        </w:rPr>
        <w:t>potential effects on our business of emerging claim and coverage issues;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the potential impact of internal or external fraud, operational errors, systems malfunctions or cyber security incidents;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our ability to manage our growth effectively;</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failure to maintain effective internal controls in accordance with the Sarbanes-Oxley Act of 2002, as amended;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changes in our financial condition, regulations or other factors that may restrict our subsidiaries’ ability to pay us dividends;</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an adverse result in any litigation or legal proceedings we are or may become subject to; and</w:t>
      </w:r>
    </w:p>
    <w:p>
      <w:pPr>
        <w:pStyle w:val="TextBody"/>
        <w:bidi w:val="0"/>
        <w:spacing w:lineRule="auto" w:line="288" w:before="0" w:after="120"/>
        <w:ind w:left="0" w:right="0" w:hanging="540"/>
        <w:jc w:val="both"/>
        <w:rPr/>
      </w:pPr>
      <w:r>
        <w:rPr>
          <w:color w:val="000000"/>
        </w:rPr>
        <w:t>•</w:t>
      </w:r>
      <w:r>
        <w:rPr>
          <w:rFonts w:ascii="Times New Roman;sans-serif" w:hAnsi="Times New Roman;sans-serif"/>
          <w:b w:val="false"/>
          <w:color w:val="000000"/>
          <w:sz w:val="20"/>
        </w:rPr>
        <w:t>other risks and uncertainties discussed under “Risk Factors” and elsewhere in this Quarterly Report.</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you should read this Quarterly Report completely and with the understanding that our actual future results may be materially different from information contained in forward-looking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information about these risks and uncertainties, as well as others that may cause actual results to differ materially from those in the forward-looking statements, is contained in Part II, Item 1A "Risk Factors" in this Quarterly Report, and our filings with the U.S. Securities and Exchange Commission (“SEC”), including our Annual Report on Form 10-K for the year ended December 31, 2023 filed with the SEC on February 29, 2024.</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449"/>
        <w:gridCol w:w="2151"/>
        <w:gridCol w:w="2127"/>
        <w:gridCol w:w="294"/>
        <w:gridCol w:w="1362"/>
        <w:gridCol w:w="151"/>
        <w:gridCol w:w="109"/>
        <w:gridCol w:w="109"/>
        <w:gridCol w:w="109"/>
        <w:gridCol w:w="211"/>
        <w:gridCol w:w="976"/>
        <w:gridCol w:w="157"/>
      </w:tblGrid>
      <w:tr>
        <w:trPr/>
        <w:tc>
          <w:tcPr>
            <w:tcW w:w="2449"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7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7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8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 at fair value (amortized cost: 2024 – $1,269,418; 2023 – $1,405,136)</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 (cost: 2024 – $118,226; 2023 – $114,107)</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 at fair value</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1,575,064 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359,773 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losses, net</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1,939,388 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paid losses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reinsurance premiums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310,367 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158,044 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held-for-sale (Note 2 - discontinued operations)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4,958,731 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5,317,250 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(continued)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06"/>
        <w:gridCol w:w="2182"/>
        <w:gridCol w:w="2188"/>
        <w:gridCol w:w="269"/>
        <w:gridCol w:w="1249"/>
        <w:gridCol w:w="139"/>
        <w:gridCol w:w="109"/>
        <w:gridCol w:w="109"/>
        <w:gridCol w:w="109"/>
        <w:gridCol w:w="211"/>
        <w:gridCol w:w="976"/>
        <w:gridCol w:w="158"/>
      </w:tblGrid>
      <w:tr>
        <w:trPr/>
        <w:tc>
          <w:tcPr>
            <w:tcW w:w="250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Shareholders’ Equity</w:t>
            </w:r>
          </w:p>
        </w:tc>
        <w:tc>
          <w:tcPr>
            <w:tcW w:w="1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3,001,913 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2,606,107 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577,074 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587,899 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Payables to reinsurers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108,465 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158,670 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56,722 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held-for-sale (Note 2 - discontinued operations)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4,283,486 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4,637,731 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contingent liabilities (Note 8)</w:t>
            </w:r>
          </w:p>
        </w:tc>
        <w:tc>
          <w:tcPr>
            <w:tcW w:w="1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 – 2024 and 2023: $0.00125 par value; 20,000,000 shares authorized; 150,000 shares issued and outstanding</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 2024 and 2023: $0.0002 par value; 200,000,000 shares authorized; 37,829,475 and 37,641,563 shares issued and outstanding, respectively</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876,240 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deficit</w:t>
            </w:r>
          </w:p>
        </w:tc>
        <w:tc>
          <w:tcPr>
            <w:tcW w:w="1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(307,937)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530,347 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Series A redeemable preferred shares, and shareholders’ equity</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4,958,731 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5,317,250 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(Loss) Income and Comprehensive (Loss) Income (Unaudited)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64"/>
        <w:gridCol w:w="1400"/>
        <w:gridCol w:w="1421"/>
        <w:gridCol w:w="202"/>
        <w:gridCol w:w="759"/>
        <w:gridCol w:w="109"/>
        <w:gridCol w:w="109"/>
        <w:gridCol w:w="109"/>
        <w:gridCol w:w="109"/>
        <w:gridCol w:w="202"/>
        <w:gridCol w:w="759"/>
        <w:gridCol w:w="109"/>
        <w:gridCol w:w="109"/>
        <w:gridCol w:w="109"/>
        <w:gridCol w:w="109"/>
        <w:gridCol w:w="196"/>
        <w:gridCol w:w="871"/>
        <w:gridCol w:w="109"/>
        <w:gridCol w:w="109"/>
        <w:gridCol w:w="109"/>
        <w:gridCol w:w="109"/>
        <w:gridCol w:w="196"/>
        <w:gridCol w:w="871"/>
        <w:gridCol w:w="156"/>
      </w:tblGrid>
      <w:tr>
        <w:trPr/>
        <w:tc>
          <w:tcPr>
            <w:tcW w:w="186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Revenues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written premiums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1,119,355 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Ceded written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(597,655)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written premiums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466,863 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521,700 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net unearned premiums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earned premiums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159,726 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526,052 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investment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realized and unrealized gains on investments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580,913 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593,905 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Expenses</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Losses and loss adjustment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409,814 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operating expenses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147,922 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intangible assets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Impairment of intangible assets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243,488 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179,584 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537,222 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income from continuing operations before income taxes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(benefit) expense on continuing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 from continuing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 (Note 2):</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income from discontinued operations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discontinued operations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(loss) income from discontinued operations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on Series A preferred shares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Net (loss) income available to common shareholders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34,596 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unrealized gains (losses), net of taxes of $8,255 and $5,562 in 2024 and $(7,624) and $(6,255) in 2023</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comprehensive (loss) income</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 per common share:</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Continuing operations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Discontinued operations</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 declared per common share</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Weighted-average common shares outstanding:</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37,880,297 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37,642,632 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37,827,968 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37,605,986 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37,880,297 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43,463,064 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37,822,774 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jc w:val="center"/>
        <w:rPr/>
      </w:pPr>
      <w:r>
        <w:rPr>
          <w:rFonts w:ascii="Times New Roman;sans-serif" w:hAnsi="Times New Roman;sans-serif"/>
          <w:b w:val="false"/>
          <w:i/>
          <w:color w:val="000000"/>
          <w:sz w:val="20"/>
        </w:rPr>
        <w:t>See accompanying notes.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10"/>
        <w:gridCol w:w="316"/>
        <w:gridCol w:w="317"/>
        <w:gridCol w:w="540"/>
        <w:gridCol w:w="541"/>
        <w:gridCol w:w="336"/>
        <w:gridCol w:w="109"/>
        <w:gridCol w:w="109"/>
        <w:gridCol w:w="109"/>
        <w:gridCol w:w="282"/>
        <w:gridCol w:w="343"/>
        <w:gridCol w:w="147"/>
        <w:gridCol w:w="109"/>
        <w:gridCol w:w="109"/>
        <w:gridCol w:w="109"/>
        <w:gridCol w:w="109"/>
        <w:gridCol w:w="109"/>
        <w:gridCol w:w="211"/>
        <w:gridCol w:w="826"/>
        <w:gridCol w:w="109"/>
        <w:gridCol w:w="109"/>
        <w:gridCol w:w="109"/>
        <w:gridCol w:w="109"/>
        <w:gridCol w:w="211"/>
        <w:gridCol w:w="842"/>
        <w:gridCol w:w="109"/>
        <w:gridCol w:w="109"/>
        <w:gridCol w:w="109"/>
        <w:gridCol w:w="109"/>
        <w:gridCol w:w="242"/>
        <w:gridCol w:w="847"/>
        <w:gridCol w:w="127"/>
        <w:gridCol w:w="109"/>
        <w:gridCol w:w="109"/>
        <w:gridCol w:w="109"/>
        <w:gridCol w:w="211"/>
        <w:gridCol w:w="826"/>
        <w:gridCol w:w="159"/>
      </w:tblGrid>
      <w:tr>
        <w:trPr/>
        <w:tc>
          <w:tcPr>
            <w:tcW w:w="8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9"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c>
          <w:tcPr>
            <w:tcW w:w="1523" w:type="dxa"/>
            <w:gridSpan w:val="6"/>
            <w:tcBorders/>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2024</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37,825,767 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2024</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37,829,475 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(42,797)</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530,347 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37,641,563 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(63,721)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187,912 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37,829,475 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881,074 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(307,937)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(42,797)</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530,347 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HOLDINGS, LTD. AND SUBSIDIARIES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10"/>
        <w:gridCol w:w="316"/>
        <w:gridCol w:w="317"/>
        <w:gridCol w:w="540"/>
        <w:gridCol w:w="541"/>
        <w:gridCol w:w="336"/>
        <w:gridCol w:w="109"/>
        <w:gridCol w:w="109"/>
        <w:gridCol w:w="109"/>
        <w:gridCol w:w="282"/>
        <w:gridCol w:w="343"/>
        <w:gridCol w:w="147"/>
        <w:gridCol w:w="109"/>
        <w:gridCol w:w="109"/>
        <w:gridCol w:w="109"/>
        <w:gridCol w:w="109"/>
        <w:gridCol w:w="109"/>
        <w:gridCol w:w="211"/>
        <w:gridCol w:w="826"/>
        <w:gridCol w:w="109"/>
        <w:gridCol w:w="109"/>
        <w:gridCol w:w="109"/>
        <w:gridCol w:w="109"/>
        <w:gridCol w:w="211"/>
        <w:gridCol w:w="842"/>
        <w:gridCol w:w="109"/>
        <w:gridCol w:w="109"/>
        <w:gridCol w:w="109"/>
        <w:gridCol w:w="109"/>
        <w:gridCol w:w="211"/>
        <w:gridCol w:w="896"/>
        <w:gridCol w:w="109"/>
        <w:gridCol w:w="109"/>
        <w:gridCol w:w="109"/>
        <w:gridCol w:w="109"/>
        <w:gridCol w:w="211"/>
        <w:gridCol w:w="826"/>
        <w:gridCol w:w="159"/>
      </w:tblGrid>
      <w:tr>
        <w:trPr/>
        <w:tc>
          <w:tcPr>
            <w:tcW w:w="8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Shares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9"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amounts)</w:t>
            </w:r>
          </w:p>
        </w:tc>
        <w:tc>
          <w:tcPr>
            <w:tcW w:w="1523" w:type="dxa"/>
            <w:gridSpan w:val="6"/>
            <w:tcBorders/>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June 30, 2023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37,619,226 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585,542 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2023</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37,619,749 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562,544 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December 31, 2022</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37,470,237 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553,766 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149,512 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under share incentive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at September 30,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37,619,749 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562,544 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20"/>
        </w:rPr>
        <w:t>JAMES RIVER GROUP HOLDINGS, LTD.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before="0" w:after="0"/>
        <w:jc w:val="left"/>
        <w:rPr/>
      </w:pPr>
      <w:r>
        <w:rPr/>
      </w:r>
    </w:p>
    <w:tbl>
      <w:tblPr>
        <w:tblW w:w="9143" w:type="dxa"/>
        <w:jc w:val="center"/>
        <w:tblInd w:w="0" w:type="dxa"/>
        <w:tblLayout w:type="fixed"/>
        <w:tblCellMar>
          <w:top w:w="28" w:type="dxa"/>
          <w:left w:w="28" w:type="dxa"/>
          <w:bottom w:w="28" w:type="dxa"/>
          <w:right w:w="28" w:type="dxa"/>
        </w:tblCellMar>
      </w:tblPr>
      <w:tblGrid>
        <w:gridCol w:w="2320"/>
        <w:gridCol w:w="2035"/>
        <w:gridCol w:w="2049"/>
        <w:gridCol w:w="211"/>
        <w:gridCol w:w="901"/>
        <w:gridCol w:w="109"/>
        <w:gridCol w:w="109"/>
        <w:gridCol w:w="109"/>
        <w:gridCol w:w="109"/>
        <w:gridCol w:w="211"/>
        <w:gridCol w:w="826"/>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operating activities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JRG Re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available-for-sale:</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 fixed maturity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 fixed maturity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and calls – fixed maturity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 equity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 equity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Return of capital</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receivable or payable,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 repayments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withheld and remitted on net settlement of RSUs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common shares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debt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beginning of period</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information</w:t>
            </w:r>
          </w:p>
        </w:tc>
        <w:tc>
          <w:tcPr>
            <w:tcW w:w="122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 at end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pPr>
      <w:r>
        <w:rPr>
          <w:rFonts w:ascii="Times New Roman;sans-serif" w:hAnsi="Times New Roman;sans-serif"/>
          <w:b w:val="false"/>
          <w:color w:val="000000"/>
          <w:sz w:val="16"/>
        </w:rPr>
        <w:t xml:space="preserve">(a) Cash provided by operating activities for the nine months ended September 30, 2024 and 2023 includes the restricted cash activity above related to a former insured, per the terms of a collateral trust. See “Item 2. Management’s Discussion and Analysis of Financial Condition and Results of Operations – </w:t>
      </w:r>
      <w:r>
        <w:rPr>
          <w:rFonts w:ascii="Times New Roman;sans-serif" w:hAnsi="Times New Roman;sans-serif"/>
          <w:b w:val="false"/>
          <w:i/>
          <w:color w:val="000000"/>
          <w:sz w:val="16"/>
        </w:rPr>
        <w:t>Amounts Recoverable from an Indemnifying Party and Reinsurer on Legacy Commercial Auto Book</w:t>
      </w:r>
      <w:r>
        <w:rPr>
          <w:color w:val="000000"/>
        </w:rPr>
        <w:t>”</w:t>
      </w:r>
      <w:r>
        <w:rPr>
          <w:rFonts w:ascii="Times New Roman;sans-serif" w:hAnsi="Times New Roman;sans-serif"/>
          <w:b w:val="false"/>
          <w:color w:val="000000"/>
          <w:sz w:val="16"/>
        </w:rPr>
        <w:t>. Excluding the restricted cash activity, cash (used in) provided by operating activities was $(210.5) million and $94.1 million for the nine months ended September 30, 2024 and 2023, respectively.</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    Accounting Policies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(referred to as “JRG Holdings” or, with its subsidiaries, the “Company”) is an exempted holding company registered in Bermuda, organized for the purpose of acquiring and managing insurance entities.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five insurance companies based in the United States (“U.S.”) focused on specialty insurance niches as described below:</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Holdings UK Limited (“James River UK”) is an insurance holding company formed in 2015 in the United Kingdom (“U.K.”). JRG Holdings contributed James River Group, Inc. (“James River Group”), a U.S. insurance holding company, to James River UK in 2015.</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 and maintains all of the outstanding debt in the U.S.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James River Insurance Company is an Ohio domiciled excess and surplus lines insurance company that, with its wholly-owned insurance subsidiary, James River Casualty Company, an Ohio domiciled company, is authorized to write business in every state and the District of Columbia.</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Falls Lake National Insurance Company (“Falls Lake National”) is an Ohio domiciled insurance company which wholly owns Stonewood Insurance Company, an Ohio domiciled company, and Falls Lake Fire and Casualty Company, a California domiciled company. Falls Lake National and its subsidiaries primarily write specialty admitted fronting and program business.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See Held-for-Sale and Discontinued Operations below and Note 2 for additional disclosure.</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2023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2023 was derived from the Company’s audited annual consolidated financial statements.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Intercompany transactions and balances have been eliminated.</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Held-for-Sale and Discontinued Operations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of a component of the Company are reported in discontinued operations when certain criteria are met as of the date of disposal, or earlier if classified as held-for-sale. The Company determined that the definitive agreement to sell JRG Re met the criteria for JRG Re to be classified as held for sale at December 31, 2023 and that the sale represented a strategic shift that will have a major effect on the Company's operations. Accordingly, the results of JRG Re's operations have been presented as discontinued operations, and the assets and liabilities of JRG Re at December 31, 2023 have been classified as held-for-sale and segregated for all periods presented in this interim report on Form 10-Q. See Note 2 for additional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Estimates and Assumptions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$7.5 million at September 30, 2024 and $8.4 million at December 31, 2023, representing the Company’s maximum exposure to loss.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Income Tax Expense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from continuing operations reported by country and the respective tax rates imposed by each tax jurisdiction. Statutory tax rates are 0% and 21% for Bermuda and the U.S. For the three months ended September 30, 2024, our effective tax rate on income from continuing operations was 26.8% and our effective tax rate for the nine months ended September 30, 2024 was not meaningful due to minimal pre-tax income in the period (22.8% and 27.4% in the respective prior year periods).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Adopted Accounting Standards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new accounting standards adopted in 2024 that materially impacted the Company's financial statements.</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Prospective Accounting Standards</w:t>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The guidance in ASU 2023-07</w:t>
      </w:r>
      <w:r>
        <w:rPr>
          <w:color w:val="000000"/>
        </w:rPr>
        <w:t>—</w:t>
      </w:r>
      <w:r>
        <w:rPr>
          <w:rFonts w:ascii="Times New Roman;sans-serif" w:hAnsi="Times New Roman;sans-serif"/>
          <w:b w:val="false"/>
          <w:i/>
          <w:color w:val="000000"/>
          <w:sz w:val="20"/>
        </w:rPr>
        <w:t xml:space="preserve">Segment Reporting (Topic 280): Improvements to Reportable Segment Disclosures </w:t>
      </w:r>
      <w:r>
        <w:rPr>
          <w:rFonts w:ascii="Times New Roman;sans-serif" w:hAnsi="Times New Roman;sans-serif"/>
          <w:b w:val="false"/>
          <w:color w:val="000000"/>
          <w:sz w:val="20"/>
        </w:rPr>
        <w:t>was designed to improve reportable segment disclosure requirements, primarily through enhanced disclosures about significant segment expenses. This ASU is effective for fiscal years beginning after December 15, 2023, and interim periods within fiscal years beginning after December 15, 2024. Although the Company continues to evaluate the impact of adopting this new accounting standard, the amendments are disclosure-related and are not expected to have a material impact on the Company's financial statements.</w:t>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The guidance in ASU 2023-09</w:t>
      </w:r>
      <w:r>
        <w:rPr>
          <w:color w:val="000000"/>
        </w:rPr>
        <w:t>—</w:t>
      </w:r>
      <w:r>
        <w:rPr>
          <w:rFonts w:ascii="Times New Roman;sans-serif" w:hAnsi="Times New Roman;sans-serif"/>
          <w:b w:val="false"/>
          <w:i/>
          <w:color w:val="000000"/>
          <w:sz w:val="20"/>
        </w:rPr>
        <w:t xml:space="preserve">Income Taxes (Topic 740): Improvements to Income Tax Disclosures </w:t>
      </w:r>
      <w:r>
        <w:rPr>
          <w:rFonts w:ascii="Times New Roman;sans-serif" w:hAnsi="Times New Roman;sans-serif"/>
          <w:b w:val="false"/>
          <w:color w:val="000000"/>
          <w:sz w:val="20"/>
        </w:rPr>
        <w:t>was designed to increase transparency about income tax information through improvements to the rate reconciliation and disclosure of income taxes paid. This ASU is effective for fiscal years beginning after December 15, 2024. Although the Company continues to evaluate the impact of adopting this new accounting standard, the amendments are disclosure-related and are not expected to have a material impact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hanging="360"/>
        <w:jc w:val="left"/>
        <w:rPr>
          <w:rFonts w:ascii="Times New Roman;sans-serif" w:hAnsi="Times New Roman;sans-serif"/>
          <w:b/>
          <w:color w:val="000000"/>
          <w:sz w:val="20"/>
        </w:rPr>
      </w:pPr>
      <w:r>
        <w:rPr>
          <w:rFonts w:ascii="Times New Roman;sans-serif" w:hAnsi="Times New Roman;sans-serif"/>
          <w:b/>
          <w:color w:val="000000"/>
          <w:sz w:val="20"/>
        </w:rPr>
        <w:t>2.    Discontinued Operations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common shares of JRG Re. JRG Re comprised the remaining operations of the former Casualty Reinsurance segment, and the sale of JRG Re, which closed on April 16, 2024, resulted in the Company’s disposition of its casualty reinsurance business and related assets.</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Stock Purchase Agreement, the aggregate purchase price received by the Company, after giving effect to estimated adjustments based on changes in JRG Re’s adjusted net worth between March 31, 2023 and the closing, totaled approximately $291.4 million (the “Closing Date Purchase Price”). The aggregate Closing Date Purchase Price was comprised of (i) $152.4 million paid in cash by the Buyer and (ii) an aggregate $139.0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is subject to final post-closing adjustments, which resulted in the downward adjustment to the purchase price discussed below. Additionally, the Buyer may pay an additional $2.5 million to the Company in the event that certain conditions outlined in the Stock Purchase Agreement are met on the date that is nine months following the date of closing.</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Buyer delivered a closing statement to the Company, and pursuant to the procedures in the Stock Purchase Agreement, the Company has given its notice of disagreement with the Buyer’s closing statement. In its notice of disagreement, the Company (i) agreed with an $11.4 million downward adjustment to the Closing Date Purchase Price due to losses from JRG Re’s operations between the date of the balance sheet used to produce the estimated closing statement and the Closing Date, which downward adjustment is included in “Other Liabilities” on the Company’s Balance Sheet at September 30, 2024 (and was paid to the Buyer on October 18, 2024), and (ii) disputed $54.1 million in aggregate downward adjustments to the Closing Date Purchase Price claimed by the Buyer, which the Company believes are unsupported by the facts known to the Company and the terms of the Stock Purchase Agreement. The Stock Purchase Agreement provides procedures for resolving disputes between the parties regarding the closing statement and it is possible that the resolution of these disputes could result in a significant reduction to the amount of the purchase price.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sale of JRG Re met the criteria to be classified as held for sale at December 31, 2023 and that the sale represented a strategic shift that will have a major effect on its operations. Accordingly, the results of JRG Re's operations have been presented as discontinued operations, and the assets and liabilities of JRG Re at December 31, 2023 have been classified as held for sale and segregated for all periods presented in this interim report on Form 10-Q.</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$139.0 million pre-closing dividend was completed in the first quarter of 2024. It included the forgiveness of $133.2 million owed from JRG Holdings to JRG Re and $5.8 million paid in cash to JRG Holdings.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In the nine months ended September 30, 2024, the estimated loss on the sale was revised to $78.3 million. The loss on disposal for the nine months ended September 30, 2024 of $2.7 million includes the $2.1 million gain for the change in the estimated loss on sale and selling costs incurred of $4.8 million. The $5.8 million cash portion of the pre-closing dividend was included in other liabilities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JRG Re's assets and liabilities held for sale at December 31, 2023 were comprised of the following:</w:t>
      </w:r>
    </w:p>
    <w:tbl>
      <w:tblPr>
        <w:tblW w:w="6171" w:type="dxa"/>
        <w:jc w:val="left"/>
        <w:tblInd w:w="0" w:type="dxa"/>
        <w:tblLayout w:type="fixed"/>
        <w:tblCellMar>
          <w:top w:w="28" w:type="dxa"/>
          <w:left w:w="28" w:type="dxa"/>
          <w:bottom w:w="28" w:type="dxa"/>
          <w:right w:w="28" w:type="dxa"/>
        </w:tblCellMar>
      </w:tblPr>
      <w:tblGrid>
        <w:gridCol w:w="1663"/>
        <w:gridCol w:w="1466"/>
        <w:gridCol w:w="1476"/>
        <w:gridCol w:w="109"/>
        <w:gridCol w:w="109"/>
        <w:gridCol w:w="211"/>
        <w:gridCol w:w="826"/>
        <w:gridCol w:w="311"/>
      </w:tblGrid>
      <w:tr>
        <w:trPr/>
        <w:tc>
          <w:tcPr>
            <w:tcW w:w="16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532,242 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 at 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535,021 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receivable and agents’ balances,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68,441 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Reinsurance recoverable on unpaid and paid losses,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234,615 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policy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 down of JRG Re to fair value less cost to sell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(80,400)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783,393 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441,666 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held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641,497 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The operating results of JRG Re reported in discontinued operations were as follows:</w:t>
      </w:r>
    </w:p>
    <w:tbl>
      <w:tblPr>
        <w:tblW w:w="9403" w:type="dxa"/>
        <w:jc w:val="left"/>
        <w:tblInd w:w="0" w:type="dxa"/>
        <w:tblLayout w:type="fixed"/>
        <w:tblCellMar>
          <w:top w:w="28" w:type="dxa"/>
          <w:left w:w="28" w:type="dxa"/>
          <w:bottom w:w="28" w:type="dxa"/>
          <w:right w:w="28" w:type="dxa"/>
        </w:tblCellMar>
      </w:tblPr>
      <w:tblGrid>
        <w:gridCol w:w="1716"/>
        <w:gridCol w:w="1508"/>
        <w:gridCol w:w="1516"/>
        <w:gridCol w:w="235"/>
        <w:gridCol w:w="455"/>
        <w:gridCol w:w="109"/>
        <w:gridCol w:w="109"/>
        <w:gridCol w:w="109"/>
        <w:gridCol w:w="109"/>
        <w:gridCol w:w="211"/>
        <w:gridCol w:w="541"/>
        <w:gridCol w:w="109"/>
        <w:gridCol w:w="109"/>
        <w:gridCol w:w="109"/>
        <w:gridCol w:w="109"/>
        <w:gridCol w:w="211"/>
        <w:gridCol w:w="616"/>
        <w:gridCol w:w="109"/>
        <w:gridCol w:w="109"/>
        <w:gridCol w:w="109"/>
        <w:gridCol w:w="109"/>
        <w:gridCol w:w="211"/>
        <w:gridCol w:w="721"/>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Ceded written premiums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unearned premiums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(losses) gains on investments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discontinued operations</w:t>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discontinued operations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income from discontinued operations</w:t>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discontinued operations included in the consolidated statements of cash flows were as follows:</w:t>
      </w:r>
    </w:p>
    <w:tbl>
      <w:tblPr>
        <w:tblW w:w="8274" w:type="dxa"/>
        <w:jc w:val="left"/>
        <w:tblInd w:w="0" w:type="dxa"/>
        <w:tblLayout w:type="fixed"/>
        <w:tblCellMar>
          <w:top w:w="28" w:type="dxa"/>
          <w:left w:w="28" w:type="dxa"/>
          <w:bottom w:w="28" w:type="dxa"/>
          <w:right w:w="28" w:type="dxa"/>
        </w:tblCellMar>
      </w:tblPr>
      <w:tblGrid>
        <w:gridCol w:w="2056"/>
        <w:gridCol w:w="1802"/>
        <w:gridCol w:w="1812"/>
        <w:gridCol w:w="211"/>
        <w:gridCol w:w="796"/>
        <w:gridCol w:w="109"/>
        <w:gridCol w:w="109"/>
        <w:gridCol w:w="109"/>
        <w:gridCol w:w="109"/>
        <w:gridCol w:w="211"/>
        <w:gridCol w:w="796"/>
        <w:gridCol w:w="154"/>
      </w:tblGrid>
      <w:tr>
        <w:trPr/>
        <w:tc>
          <w:tcPr>
            <w:tcW w:w="2056"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of discontinued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discontinued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paid by discontinued operations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3,106 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3.    Investments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available-for-sale fixed maturity securities are summarized as follows:</w:t>
      </w:r>
    </w:p>
    <w:tbl>
      <w:tblPr>
        <w:tblW w:w="10205" w:type="dxa"/>
        <w:jc w:val="left"/>
        <w:tblInd w:w="0" w:type="dxa"/>
        <w:tblLayout w:type="fixed"/>
        <w:tblCellMar>
          <w:top w:w="28" w:type="dxa"/>
          <w:left w:w="28" w:type="dxa"/>
          <w:bottom w:w="28" w:type="dxa"/>
          <w:right w:w="28" w:type="dxa"/>
        </w:tblCellMar>
      </w:tblPr>
      <w:tblGrid>
        <w:gridCol w:w="1716"/>
        <w:gridCol w:w="1466"/>
        <w:gridCol w:w="1373"/>
        <w:gridCol w:w="211"/>
        <w:gridCol w:w="976"/>
        <w:gridCol w:w="109"/>
        <w:gridCol w:w="109"/>
        <w:gridCol w:w="109"/>
        <w:gridCol w:w="109"/>
        <w:gridCol w:w="211"/>
        <w:gridCol w:w="616"/>
        <w:gridCol w:w="109"/>
        <w:gridCol w:w="109"/>
        <w:gridCol w:w="109"/>
        <w:gridCol w:w="109"/>
        <w:gridCol w:w="211"/>
        <w:gridCol w:w="773"/>
        <w:gridCol w:w="109"/>
        <w:gridCol w:w="109"/>
        <w:gridCol w:w="109"/>
        <w:gridCol w:w="109"/>
        <w:gridCol w:w="211"/>
        <w:gridCol w:w="976"/>
        <w:gridCol w:w="157"/>
      </w:tblGrid>
      <w:tr>
        <w:trPr/>
        <w:tc>
          <w:tcPr>
            <w:tcW w:w="171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45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4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available-for-sale investments in fixed maturity securities at September 30, 2024 are summarized, by contractual maturity, as follows:</w:t>
      </w:r>
    </w:p>
    <w:tbl>
      <w:tblPr>
        <w:tblW w:w="6308" w:type="dxa"/>
        <w:jc w:val="left"/>
        <w:tblInd w:w="0" w:type="dxa"/>
        <w:tblLayout w:type="fixed"/>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Actual maturities may differ for some securities because borrowers have the right to call or prepay obligations with or without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942"/>
        <w:gridCol w:w="569"/>
        <w:gridCol w:w="493"/>
        <w:gridCol w:w="211"/>
        <w:gridCol w:w="826"/>
        <w:gridCol w:w="109"/>
        <w:gridCol w:w="109"/>
        <w:gridCol w:w="109"/>
        <w:gridCol w:w="109"/>
        <w:gridCol w:w="211"/>
        <w:gridCol w:w="637"/>
        <w:gridCol w:w="109"/>
        <w:gridCol w:w="109"/>
        <w:gridCol w:w="109"/>
        <w:gridCol w:w="109"/>
        <w:gridCol w:w="211"/>
        <w:gridCol w:w="826"/>
        <w:gridCol w:w="109"/>
        <w:gridCol w:w="109"/>
        <w:gridCol w:w="109"/>
        <w:gridCol w:w="109"/>
        <w:gridCol w:w="211"/>
        <w:gridCol w:w="742"/>
        <w:gridCol w:w="109"/>
        <w:gridCol w:w="109"/>
        <w:gridCol w:w="109"/>
        <w:gridCol w:w="109"/>
        <w:gridCol w:w="211"/>
        <w:gridCol w:w="826"/>
        <w:gridCol w:w="109"/>
        <w:gridCol w:w="109"/>
        <w:gridCol w:w="109"/>
        <w:gridCol w:w="109"/>
        <w:gridCol w:w="211"/>
        <w:gridCol w:w="742"/>
        <w:gridCol w:w="156"/>
      </w:tblGrid>
      <w:tr>
        <w:trPr/>
        <w:tc>
          <w:tcPr>
            <w:tcW w:w="9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w:t>
              <w:br/>
              <w:t>Losses</w:t>
            </w:r>
          </w:p>
        </w:tc>
      </w:tr>
      <w:tr>
        <w:trPr/>
        <w:tc>
          <w:tcPr>
            <w:tcW w:w="2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0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(62,265)</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(87,990)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the Company held fixed maturity securities of 397 issuers that were in an unrealized loss position with a total fair value of $804.6 million and gross unrealized losses of $62.3 million. None of the fixed maturity securities with unrealized losses has ever missed, or been delinquent on a scheduled principal or interest payment. At September 30, 2024, 99.9% of the Company’s fixed maturity security portfolio was rated “BBB-” or better (“investment grade”) by Standard &amp; Poor’s or received an equivalent rating from another nationally recognized rating agency. The Company holds one fixed maturity security that is not rated by Standard &amp; Poor's or another nationally recognized rating agency with a fair value of $151,000. </w:t>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The Company reviews its available-for-sale fixed maturities to determine whether unrealized losses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ans-serif" w:hAnsi="Times New Roman;sans-serif"/>
          <w:b w:val="false"/>
          <w:color w:val="000000"/>
          <w:sz w:val="20"/>
        </w:rPr>
        <w:t>et realized and unrealized gains (losses) on investments</w:t>
      </w:r>
      <w:r>
        <w:rPr>
          <w:rFonts w:ascii="Times New Roman;sans-serif" w:hAnsi="Times New Roman;sans-serif"/>
          <w:b w:val="false"/>
          <w:color w:val="231F20"/>
          <w:sz w:val="20"/>
        </w:rPr>
        <w:t>. Unrealized losses that are not credit-related are recognized in other comprehensive income.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September 30, 2024, December 31, 2023, or September 30, 2023. During the nine months ended September 30,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w:t>
      </w:r>
      <w:r>
        <w:rPr>
          <w:rFonts w:ascii="Times New Roman;sans-serif" w:hAnsi="Times New Roman;sans-serif"/>
          <w:b w:val="false"/>
          <w:color w:val="231F20"/>
          <w:sz w:val="20"/>
        </w:rPr>
        <w:t>it is not “more likely than not” that the Company will be required to sell these securities before a recovery in their value to their amortized cost basis occurs.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elected the fair value option to account for bank loan participations. Under the fair value option, bank loan participations are measured at fair value, and changes in unrealized gains and losses in bank loan participations are reported in the income statement as net realized and unrealized gains (losses) on investments. Applying the fair value option to the bank loan portfolio increases volatility in the Company's financial statements, but management believes it is less subjective and less burdensome to implement and maintain than ASU 2016-13, which would have otherwise been required. </w:t>
      </w:r>
    </w:p>
    <w:p>
      <w:pPr>
        <w:pStyle w:val="TextBody"/>
        <w:bidi w:val="0"/>
        <w:spacing w:lineRule="auto" w:line="288" w:before="0" w:after="120"/>
        <w:ind w:left="0" w:right="0" w:firstLine="360"/>
        <w:jc w:val="both"/>
        <w:rPr/>
      </w:pPr>
      <w:r>
        <w:rPr>
          <w:rFonts w:ascii="Times New Roman;sans-serif" w:hAnsi="Times New Roman;sans-serif"/>
          <w:b w:val="false"/>
          <w:color w:val="231F20"/>
          <w:sz w:val="20"/>
        </w:rPr>
        <w:t xml:space="preserve">At September 30, 2024, the Company's bank loan portfolio had an aggregate fair value of $149.1 million and unpaid principal of </w:t>
      </w:r>
      <w:r>
        <w:rPr>
          <w:rFonts w:ascii="Times New Roman;sans-serif" w:hAnsi="Times New Roman;sans-serif"/>
          <w:b w:val="false"/>
          <w:color w:val="000000"/>
          <w:sz w:val="20"/>
        </w:rPr>
        <w:t xml:space="preserve">$157.3 million. </w:t>
      </w:r>
      <w:r>
        <w:rPr>
          <w:rFonts w:ascii="Times New Roman;sans-serif" w:hAnsi="Times New Roman;sans-serif"/>
          <w:b w:val="false"/>
          <w:color w:val="231F20"/>
          <w:sz w:val="20"/>
        </w:rPr>
        <w:t xml:space="preserve">Investment income on bank loan participations included in net investment income was </w:t>
      </w:r>
      <w:r>
        <w:rPr>
          <w:rFonts w:ascii="Times New Roman;sans-serif" w:hAnsi="Times New Roman;sans-serif"/>
          <w:b w:val="false"/>
          <w:color w:val="000000"/>
          <w:sz w:val="20"/>
        </w:rPr>
        <w:t xml:space="preserve">$4.1 million and </w:t>
      </w:r>
      <w:r>
        <w:rPr>
          <w:rFonts w:ascii="Times New Roman;sans-serif" w:hAnsi="Times New Roman;sans-serif"/>
          <w:b w:val="false"/>
          <w:color w:val="231F20"/>
          <w:sz w:val="20"/>
        </w:rPr>
        <w:t xml:space="preserve">$13.2 million for the </w:t>
      </w:r>
      <w:r>
        <w:rPr>
          <w:rFonts w:ascii="Times New Roman;sans-serif" w:hAnsi="Times New Roman;sans-serif"/>
          <w:b w:val="false"/>
          <w:color w:val="000000"/>
          <w:sz w:val="20"/>
        </w:rPr>
        <w:t>three and nine</w:t>
      </w:r>
      <w:r>
        <w:rPr>
          <w:color w:val="231F20"/>
        </w:rPr>
        <w:t xml:space="preserve"> </w:t>
      </w:r>
      <w:r>
        <w:rPr>
          <w:rFonts w:ascii="Times New Roman;sans-serif" w:hAnsi="Times New Roman;sans-serif"/>
          <w:b w:val="false"/>
          <w:color w:val="231F20"/>
          <w:sz w:val="20"/>
        </w:rPr>
        <w:t>months ended September 30, 2024, respectively (</w:t>
      </w:r>
      <w:r>
        <w:rPr>
          <w:rFonts w:ascii="Times New Roman;sans-serif" w:hAnsi="Times New Roman;sans-serif"/>
          <w:b w:val="false"/>
          <w:color w:val="000000"/>
          <w:sz w:val="20"/>
        </w:rPr>
        <w:t>$4.3 million and $7.8 million for the three and nine months ended September 30, 2023, respectively)</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231F20"/>
          <w:sz w:val="20"/>
        </w:rPr>
        <w:t xml:space="preserve">Net realized and unrealized losses on bank loan participations were </w:t>
      </w:r>
      <w:r>
        <w:rPr>
          <w:rFonts w:ascii="Times New Roman;sans-serif" w:hAnsi="Times New Roman;sans-serif"/>
          <w:b w:val="false"/>
          <w:color w:val="000000"/>
          <w:sz w:val="20"/>
        </w:rPr>
        <w:t xml:space="preserve">$2.0 million and $3.1 million </w:t>
      </w:r>
      <w:r>
        <w:rPr>
          <w:rFonts w:ascii="Times New Roman;sans-serif" w:hAnsi="Times New Roman;sans-serif"/>
          <w:b w:val="false"/>
          <w:color w:val="231F20"/>
          <w:sz w:val="20"/>
        </w:rPr>
        <w:t xml:space="preserve">for the </w:t>
      </w:r>
      <w:r>
        <w:rPr>
          <w:rFonts w:ascii="Times New Roman;sans-serif" w:hAnsi="Times New Roman;sans-serif"/>
          <w:b w:val="false"/>
          <w:color w:val="000000"/>
          <w:sz w:val="20"/>
        </w:rPr>
        <w:t>three and nine</w:t>
      </w:r>
      <w:r>
        <w:rPr>
          <w:color w:val="231F20"/>
        </w:rPr>
        <w:t xml:space="preserve"> </w:t>
      </w:r>
      <w:r>
        <w:rPr>
          <w:rFonts w:ascii="Times New Roman;sans-serif" w:hAnsi="Times New Roman;sans-serif"/>
          <w:b w:val="false"/>
          <w:color w:val="231F20"/>
          <w:sz w:val="20"/>
        </w:rPr>
        <w:t xml:space="preserve">months ended September 30, 2024, respectively (gains of </w:t>
      </w:r>
      <w:r>
        <w:rPr>
          <w:rFonts w:ascii="Times New Roman;sans-serif" w:hAnsi="Times New Roman;sans-serif"/>
          <w:b w:val="false"/>
          <w:color w:val="000000"/>
          <w:sz w:val="20"/>
        </w:rPr>
        <w:t xml:space="preserve">$2.6 million </w:t>
      </w:r>
      <w:r>
        <w:rPr>
          <w:rFonts w:ascii="Times New Roman;sans-serif" w:hAnsi="Times New Roman;sans-serif"/>
          <w:b w:val="false"/>
          <w:color w:val="231F20"/>
          <w:sz w:val="20"/>
        </w:rPr>
        <w:t xml:space="preserve">and </w:t>
      </w:r>
      <w:r>
        <w:rPr>
          <w:rFonts w:ascii="Times New Roman;sans-serif" w:hAnsi="Times New Roman;sans-serif"/>
          <w:b w:val="false"/>
          <w:color w:val="000000"/>
          <w:sz w:val="20"/>
        </w:rPr>
        <w:t>$4.6 million for the three and nine months ended September 30, 2023, respectively)</w:t>
      </w:r>
      <w:r>
        <w:rPr>
          <w:rFonts w:ascii="Times New Roman;sans-serif" w:hAnsi="Times New Roman;sans-serif"/>
          <w:b w:val="false"/>
          <w:color w:val="231F20"/>
          <w:sz w:val="20"/>
        </w:rPr>
        <w:t xml:space="preserve">. For the </w:t>
      </w:r>
      <w:r>
        <w:rPr>
          <w:rFonts w:ascii="Times New Roman;sans-serif" w:hAnsi="Times New Roman;sans-serif"/>
          <w:b w:val="false"/>
          <w:color w:val="000000"/>
          <w:sz w:val="20"/>
        </w:rPr>
        <w:t xml:space="preserve">three and nine months ended </w:t>
      </w:r>
      <w:r>
        <w:rPr>
          <w:rFonts w:ascii="Times New Roman;sans-serif" w:hAnsi="Times New Roman;sans-serif"/>
          <w:b w:val="false"/>
          <w:color w:val="231F20"/>
          <w:sz w:val="20"/>
        </w:rPr>
        <w:t xml:space="preserve">September 30, 2024, management concluded that </w:t>
      </w:r>
      <w:r>
        <w:rPr>
          <w:rFonts w:ascii="Times New Roman;sans-serif" w:hAnsi="Times New Roman;sans-serif"/>
          <w:b w:val="false"/>
          <w:color w:val="000000"/>
          <w:sz w:val="20"/>
        </w:rPr>
        <w:t>$654,000 and $2.5 million</w:t>
      </w:r>
      <w:r>
        <w:rPr>
          <w:color w:val="231F20"/>
        </w:rPr>
        <w:t xml:space="preserve"> </w:t>
      </w:r>
      <w:r>
        <w:rPr>
          <w:rFonts w:ascii="Times New Roman;sans-serif" w:hAnsi="Times New Roman;sans-serif"/>
          <w:b w:val="false"/>
          <w:color w:val="231F20"/>
          <w:sz w:val="20"/>
        </w:rPr>
        <w:t xml:space="preserve">of the net realized and unrealized losses were due to credit-related impairments. For the </w:t>
      </w:r>
      <w:r>
        <w:rPr>
          <w:rFonts w:ascii="Times New Roman;sans-serif" w:hAnsi="Times New Roman;sans-serif"/>
          <w:b w:val="false"/>
          <w:color w:val="000000"/>
          <w:sz w:val="20"/>
        </w:rPr>
        <w:t>nine months ended September 30, 2023</w:t>
      </w:r>
      <w:r>
        <w:rPr>
          <w:rFonts w:ascii="Times New Roman;sans-serif" w:hAnsi="Times New Roman;sans-serif"/>
          <w:b w:val="false"/>
          <w:color w:val="231F20"/>
          <w:sz w:val="20"/>
        </w:rPr>
        <w:t>, management concluded that</w:t>
      </w:r>
      <w:r>
        <w:rPr>
          <w:color w:val="000000"/>
        </w:rPr>
        <w:t xml:space="preserve"> </w:t>
      </w:r>
      <w:r>
        <w:rPr>
          <w:rFonts w:ascii="Times New Roman;sans-serif" w:hAnsi="Times New Roman;sans-serif"/>
          <w:b w:val="false"/>
          <w:color w:val="000000"/>
          <w:sz w:val="20"/>
        </w:rPr>
        <w:t>$153,000</w:t>
      </w:r>
      <w:r>
        <w:rPr>
          <w:color w:val="231F20"/>
        </w:rPr>
        <w:t xml:space="preserve"> </w:t>
      </w:r>
      <w:r>
        <w:rPr>
          <w:rFonts w:ascii="Times New Roman;sans-serif" w:hAnsi="Times New Roman;sans-serif"/>
          <w:b w:val="false"/>
          <w:color w:val="231F20"/>
          <w:sz w:val="20"/>
        </w:rPr>
        <w:t>of the net realized and unrealized losses were due to credit-related impairments. 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September 30, 2024 or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net realized and unrealized gains and losses on investments are summarized as follows:</w:t>
      </w:r>
    </w:p>
    <w:tbl>
      <w:tblPr>
        <w:tblW w:w="9462" w:type="dxa"/>
        <w:jc w:val="left"/>
        <w:tblInd w:w="0" w:type="dxa"/>
        <w:tblLayout w:type="fixed"/>
        <w:tblCellMar>
          <w:top w:w="28" w:type="dxa"/>
          <w:left w:w="28" w:type="dxa"/>
          <w:bottom w:w="28" w:type="dxa"/>
          <w:right w:w="28" w:type="dxa"/>
        </w:tblCellMar>
      </w:tblPr>
      <w:tblGrid>
        <w:gridCol w:w="1749"/>
        <w:gridCol w:w="1538"/>
        <w:gridCol w:w="1542"/>
        <w:gridCol w:w="211"/>
        <w:gridCol w:w="616"/>
        <w:gridCol w:w="109"/>
        <w:gridCol w:w="109"/>
        <w:gridCol w:w="109"/>
        <w:gridCol w:w="109"/>
        <w:gridCol w:w="215"/>
        <w:gridCol w:w="475"/>
        <w:gridCol w:w="109"/>
        <w:gridCol w:w="109"/>
        <w:gridCol w:w="109"/>
        <w:gridCol w:w="109"/>
        <w:gridCol w:w="211"/>
        <w:gridCol w:w="616"/>
        <w:gridCol w:w="109"/>
        <w:gridCol w:w="109"/>
        <w:gridCol w:w="109"/>
        <w:gridCol w:w="109"/>
        <w:gridCol w:w="211"/>
        <w:gridCol w:w="616"/>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bank loan participations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equity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values of short-term investments and other</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Realized investment gains or losses are determined on a specific identification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invests selectively in private debt and equity opportunities. These investments, which together comprise the Company’s other invested assets, are primarily focused in renewable energy, limited partnerships, and private debt.</w:t>
      </w:r>
    </w:p>
    <w:tbl>
      <w:tblPr>
        <w:tblW w:w="10205" w:type="dxa"/>
        <w:jc w:val="left"/>
        <w:tblInd w:w="0" w:type="dxa"/>
        <w:tblLayout w:type="fixed"/>
        <w:tblCellMar>
          <w:top w:w="28" w:type="dxa"/>
          <w:left w:w="28" w:type="dxa"/>
          <w:bottom w:w="28" w:type="dxa"/>
          <w:right w:w="28" w:type="dxa"/>
        </w:tblCellMar>
      </w:tblPr>
      <w:tblGrid>
        <w:gridCol w:w="901"/>
        <w:gridCol w:w="760"/>
        <w:gridCol w:w="762"/>
        <w:gridCol w:w="223"/>
        <w:gridCol w:w="763"/>
        <w:gridCol w:w="115"/>
        <w:gridCol w:w="109"/>
        <w:gridCol w:w="109"/>
        <w:gridCol w:w="109"/>
        <w:gridCol w:w="217"/>
        <w:gridCol w:w="744"/>
        <w:gridCol w:w="112"/>
        <w:gridCol w:w="109"/>
        <w:gridCol w:w="109"/>
        <w:gridCol w:w="109"/>
        <w:gridCol w:w="211"/>
        <w:gridCol w:w="616"/>
        <w:gridCol w:w="109"/>
        <w:gridCol w:w="109"/>
        <w:gridCol w:w="109"/>
        <w:gridCol w:w="109"/>
        <w:gridCol w:w="211"/>
        <w:gridCol w:w="361"/>
        <w:gridCol w:w="109"/>
        <w:gridCol w:w="109"/>
        <w:gridCol w:w="109"/>
        <w:gridCol w:w="109"/>
        <w:gridCol w:w="211"/>
        <w:gridCol w:w="616"/>
        <w:gridCol w:w="109"/>
        <w:gridCol w:w="109"/>
        <w:gridCol w:w="109"/>
        <w:gridCol w:w="109"/>
        <w:gridCol w:w="211"/>
        <w:gridCol w:w="616"/>
        <w:gridCol w:w="109"/>
        <w:gridCol w:w="109"/>
        <w:gridCol w:w="109"/>
        <w:gridCol w:w="109"/>
        <w:gridCol w:w="157"/>
      </w:tblGrid>
      <w:tr>
        <w:trPr/>
        <w:tc>
          <w:tcPr>
            <w:tcW w:w="90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9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Renewable energy LLCs </w:t>
            </w:r>
            <w:r>
              <w:rPr>
                <w:rFonts w:ascii="Times New Roman;sans-serif" w:hAnsi="Times New Roman;sans-serif"/>
                <w:b w:val="false"/>
                <w:i/>
                <w:color w:val="000000"/>
                <w:sz w:val="20"/>
              </w:rPr>
              <w:t>(a)</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Renewable energy notes receivable (</w:t>
            </w:r>
            <w:r>
              <w:rPr>
                <w:rFonts w:ascii="Times New Roman;sans-serif" w:hAnsi="Times New Roman;sans-serif"/>
                <w:b w:val="false"/>
                <w:i/>
                <w:color w:val="000000"/>
                <w:sz w:val="20"/>
              </w:rPr>
              <w:t>b)</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Limited partnerships </w:t>
            </w:r>
            <w:r>
              <w:rPr>
                <w:rFonts w:ascii="Times New Roman;sans-serif" w:hAnsi="Times New Roman;sans-serif"/>
                <w:b w:val="false"/>
                <w:i/>
                <w:color w:val="000000"/>
                <w:sz w:val="20"/>
              </w:rPr>
              <w:t>(c)</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Private Debt </w:t>
            </w:r>
            <w:r>
              <w:rPr>
                <w:rFonts w:ascii="Times New Roman;sans-serif" w:hAnsi="Times New Roman;sans-serif"/>
                <w:b w:val="false"/>
                <w:i/>
                <w:color w:val="000000"/>
                <w:sz w:val="20"/>
              </w:rPr>
              <w:t>(d)</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invested assets</w:t>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&amp; Other</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hanging="360"/>
        <w:jc w:val="both"/>
        <w:rPr/>
      </w:pPr>
      <w:r>
        <w:rPr>
          <w:rFonts w:ascii="Times New Roman;sans-serif" w:hAnsi="Times New Roman;sans-serif"/>
          <w:b w:val="false"/>
          <w:color w:val="231F20"/>
          <w:sz w:val="20"/>
        </w:rPr>
        <w:t>(a)</w:t>
      </w:r>
      <w:r>
        <w:rPr>
          <w:rFonts w:ascii="Times New Roman;sans-serif" w:hAnsi="Times New Roman;sans-serif"/>
          <w:b w:val="false"/>
          <w:color w:val="000000"/>
          <w:sz w:val="20"/>
        </w:rPr>
        <w:t>The Company's Excess and Surplus Lines segment owns equity interests ranging from 3.7% to 5.1% in various LLCs whose principal objective is capital appreciation and income generation from owning and operating renewable energy production facilities (wind and solar). The Company's former Non-Executive Chairman invested in certain of these LLCs.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$439,000 and $50,000 in the nine months ended September 30, 2024 and 2023, respectively. During the fourth quarter of 2022, the underlying projects in two of our LLCs were sold at the manager's discretion. In the three months ended March 31, 2023, the Company received additional proceeds from the sales of $1.2 million comprised of $984,000 in the Excess and Surplus Lines segment and $170,000 in the Corporate and Other segment. In the nine months ended September 30, 2024, the Company received additional proceeds from the sale of $2.0 million comprised of $1.7 million in the Excess and Surplus Lines segment and $293,000 in the Corporate and Other segment.</w:t>
      </w:r>
    </w:p>
    <w:p>
      <w:pPr>
        <w:pStyle w:val="TextBody"/>
        <w:bidi w:val="0"/>
        <w:spacing w:lineRule="auto" w:line="288" w:before="0" w:after="12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231F20"/>
          <w:sz w:val="20"/>
        </w:rPr>
        <w:t xml:space="preserve">The Company's </w:t>
      </w:r>
      <w:r>
        <w:rPr>
          <w:rFonts w:ascii="Times New Roman;sans-serif" w:hAnsi="Times New Roman;sans-serif"/>
          <w:b w:val="false"/>
          <w:color w:val="000000"/>
          <w:sz w:val="20"/>
        </w:rPr>
        <w:t xml:space="preserve">Excess and Surplus Lines and </w:t>
      </w:r>
      <w:r>
        <w:rPr>
          <w:rFonts w:ascii="Times New Roman;sans-serif" w:hAnsi="Times New Roman;sans-serif"/>
          <w:b w:val="false"/>
          <w:color w:val="231F20"/>
          <w:sz w:val="20"/>
        </w:rPr>
        <w:t xml:space="preserve">Corporate and Other segments invested in two notes receivable for renewable energy projects. Interest on the notes was fixed at 12%. During the </w:t>
      </w:r>
      <w:r>
        <w:rPr>
          <w:rFonts w:ascii="Times New Roman;sans-serif" w:hAnsi="Times New Roman;sans-serif"/>
          <w:b w:val="false"/>
          <w:color w:val="000000"/>
          <w:sz w:val="20"/>
        </w:rPr>
        <w:t>nine months ended September 30, 2024</w:t>
      </w:r>
      <w:r>
        <w:rPr>
          <w:rFonts w:ascii="Times New Roman;sans-serif" w:hAnsi="Times New Roman;sans-serif"/>
          <w:b w:val="false"/>
          <w:color w:val="231F20"/>
          <w:sz w:val="20"/>
        </w:rPr>
        <w:t>, the Company received final principal repayments of $608,000 and $761,000 on the notes receivable in the Company's Excess and Surplus Lines segment and Corporate and Other segment, respectively.</w:t>
      </w:r>
    </w:p>
    <w:p>
      <w:pPr>
        <w:pStyle w:val="TextBody"/>
        <w:bidi w:val="0"/>
        <w:spacing w:lineRule="auto" w:line="276" w:before="0" w:after="120"/>
        <w:ind w:left="0" w:right="0" w:hanging="360"/>
        <w:jc w:val="both"/>
        <w:rPr/>
      </w:pPr>
      <w:r>
        <w:rPr>
          <w:rFonts w:ascii="Times New Roman;sans-serif" w:hAnsi="Times New Roman;sans-serif"/>
          <w:b w:val="false"/>
          <w:color w:val="231F20"/>
          <w:sz w:val="20"/>
        </w:rPr>
        <w:t>(c)</w:t>
      </w:r>
      <w:r>
        <w:rPr>
          <w:rFonts w:ascii="Times New Roman;sans-serif" w:hAnsi="Times New Roman;sans-serif"/>
          <w:b w:val="false"/>
          <w:color w:val="000000"/>
          <w:sz w:val="20"/>
        </w:rPr>
        <w:t xml:space="preserve">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Times New Roman;sans-serif" w:hAnsi="Times New Roman;sans-serif"/>
          <w:b w:val="false"/>
          <w:color w:val="231F20"/>
          <w:sz w:val="20"/>
        </w:rPr>
        <w:t>Income f</w:t>
      </w:r>
      <w:r>
        <w:rPr>
          <w:rFonts w:ascii="Times New Roman;sans-serif" w:hAnsi="Times New Roman;sans-serif"/>
          <w:b w:val="false"/>
          <w:color w:val="000000"/>
          <w:sz w:val="20"/>
        </w:rPr>
        <w:t>rom the partnerships is recognized under the equity method of accounting. At September 30, 2024, the Company’s Excess and Surplus Lines segment has outstanding commitments to invest another $5.0 million in the limited partnerships.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hanging="360"/>
        <w:jc w:val="both"/>
        <w:rPr/>
      </w:pPr>
      <w:r>
        <w:rPr>
          <w:rFonts w:ascii="Times New Roman;sans-serif" w:hAnsi="Times New Roman;sans-serif"/>
          <w:b w:val="false"/>
          <w:color w:val="231F20"/>
          <w:sz w:val="20"/>
        </w:rPr>
        <w:t>(d)</w:t>
      </w:r>
      <w:r>
        <w:rPr>
          <w:rFonts w:ascii="Times New Roman;sans-serif" w:hAnsi="Times New Roman;sans-serif"/>
          <w:b w:val="false"/>
          <w:color w:val="000000"/>
          <w:sz w:val="20"/>
        </w:rPr>
        <w:t>The Company's Excess and Surplus Lines segment has invested in two notes receivable for structured private specialty credit. Interest on the notes, which mature in 2031, is fixed at 4.25% and 5.25%. At September 30, 2024, the Company’s Excess and Surplus Lines segment has outstanding commitments to invest another $2.3 million in these notes. Previously, the Company's Excess and Surplus Lines segment held $4.5 million of subordinated notes issued by a bank holding company for which the former Non-Executive Chairman of the Company was previously the Lead Independent Director and an investor.</w:t>
      </w:r>
      <w:r>
        <w:rPr>
          <w:color w:val="231F20"/>
        </w:rPr>
        <w:t xml:space="preserve"> </w:t>
      </w:r>
      <w:r>
        <w:rPr>
          <w:rFonts w:ascii="Times New Roman;sans-serif" w:hAnsi="Times New Roman;sans-serif"/>
          <w:b w:val="false"/>
          <w:color w:val="231F20"/>
          <w:sz w:val="20"/>
        </w:rPr>
        <w:t>T</w:t>
      </w:r>
      <w:r>
        <w:rPr>
          <w:rFonts w:ascii="Times New Roman;sans-serif" w:hAnsi="Times New Roman;sans-serif"/>
          <w:b w:val="false"/>
          <w:color w:val="000000"/>
          <w:sz w:val="20"/>
        </w:rPr>
        <w:t>he notes matured on August 12, 2023. Interest on the notes was fixed at 7.6% per annum.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4.    Goodwill and Intangible Assets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11, 2007, the Company completed an acquisition of James River Group by acquiring 100% of the outstanding shares of James River Group common stock, referred to herein as the “Merger”. The transaction was accounted for under the purchase method of accounting, and goodwill and intangible assets were recognized by the Company as a result of the transaction. Goodwill resulting from the Merger was $181.8 million at September 30, 2024 and December 31,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gross carrying amounts and accumulated amortization for each major specifically identifiable intangible asset class were as follows: </w:t>
      </w:r>
    </w:p>
    <w:tbl>
      <w:tblPr>
        <w:tblW w:w="10205" w:type="dxa"/>
        <w:jc w:val="left"/>
        <w:tblInd w:w="0" w:type="dxa"/>
        <w:tblLayout w:type="fixed"/>
        <w:tblCellMar>
          <w:top w:w="28" w:type="dxa"/>
          <w:left w:w="28" w:type="dxa"/>
          <w:bottom w:w="28" w:type="dxa"/>
          <w:right w:w="28" w:type="dxa"/>
        </w:tblCellMar>
      </w:tblPr>
      <w:tblGrid>
        <w:gridCol w:w="1414"/>
        <w:gridCol w:w="1142"/>
        <w:gridCol w:w="1149"/>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9"/>
      </w:tblGrid>
      <w:tr>
        <w:trPr/>
        <w:tc>
          <w:tcPr>
            <w:tcW w:w="14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Intangible Assets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licenses and authorities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not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Broker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5.    Earnings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a reconciliation of the numerator and denominator of the basic and diluted earnings per common share computations contained in the condensed consolidated financial statements:</w:t>
      </w:r>
    </w:p>
    <w:tbl>
      <w:tblPr>
        <w:tblW w:w="10205" w:type="dxa"/>
        <w:jc w:val="left"/>
        <w:tblInd w:w="0" w:type="dxa"/>
        <w:tblLayout w:type="fixed"/>
        <w:tblCellMar>
          <w:top w:w="28" w:type="dxa"/>
          <w:left w:w="28" w:type="dxa"/>
          <w:bottom w:w="28" w:type="dxa"/>
          <w:right w:w="28" w:type="dxa"/>
        </w:tblCellMar>
      </w:tblPr>
      <w:tblGrid>
        <w:gridCol w:w="1647"/>
        <w:gridCol w:w="1383"/>
        <w:gridCol w:w="1387"/>
        <w:gridCol w:w="240"/>
        <w:gridCol w:w="841"/>
        <w:gridCol w:w="109"/>
        <w:gridCol w:w="109"/>
        <w:gridCol w:w="109"/>
        <w:gridCol w:w="109"/>
        <w:gridCol w:w="244"/>
        <w:gridCol w:w="837"/>
        <w:gridCol w:w="109"/>
        <w:gridCol w:w="109"/>
        <w:gridCol w:w="109"/>
        <w:gridCol w:w="109"/>
        <w:gridCol w:w="240"/>
        <w:gridCol w:w="841"/>
        <w:gridCol w:w="109"/>
        <w:gridCol w:w="109"/>
        <w:gridCol w:w="109"/>
        <w:gridCol w:w="109"/>
        <w:gridCol w:w="244"/>
        <w:gridCol w:w="837"/>
        <w:gridCol w:w="156"/>
      </w:tblGrid>
      <w:tr>
        <w:trPr/>
        <w:tc>
          <w:tcPr>
            <w:tcW w:w="164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 except share and per share amounts)</w:t>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Dividends on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continuing operations available to common shareholders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discontinued operations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available to common shareholders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37,880,297 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37,642,632 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37,605,986 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potential common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37,880,297 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43,463,064 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37,827,968 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37,822,774 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Continuing operations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Discontinued operations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ans-serif" w:hAnsi="Times New Roman;sans-serif"/>
          <w:b w:val="false"/>
          <w:color w:val="231F20"/>
          <w:sz w:val="20"/>
        </w:rPr>
        <w:t xml:space="preserve">For the three and nine months ended September 30, 2024, potential common shares of </w:t>
      </w:r>
      <w:r>
        <w:rPr>
          <w:rFonts w:ascii="Times New Roman;sans-serif" w:hAnsi="Times New Roman;sans-serif"/>
          <w:b w:val="false"/>
          <w:color w:val="000000"/>
          <w:sz w:val="20"/>
        </w:rPr>
        <w:t xml:space="preserve">6,949,943 and 6,957,275 were excluded from the calculation of diluted earnings per common share, respectively, as their effects were anti-dilutive. </w:t>
      </w:r>
      <w:r>
        <w:rPr>
          <w:rFonts w:ascii="Times New Roman;sans-serif" w:hAnsi="Times New Roman;sans-serif"/>
          <w:b w:val="false"/>
          <w:color w:val="231F20"/>
          <w:sz w:val="20"/>
        </w:rPr>
        <w:t xml:space="preserve">For the three months ended September 30, 2023, all potential common shares were dilutive and included in the </w:t>
      </w:r>
      <w:r>
        <w:rPr>
          <w:rFonts w:ascii="Times New Roman;sans-serif" w:hAnsi="Times New Roman;sans-serif"/>
          <w:b w:val="false"/>
          <w:color w:val="000000"/>
          <w:sz w:val="20"/>
        </w:rPr>
        <w:t>calculation of diluted earnings per common share</w:t>
      </w:r>
      <w:r>
        <w:rPr>
          <w:rFonts w:ascii="Times New Roman;sans-serif" w:hAnsi="Times New Roman;sans-serif"/>
          <w:b w:val="false"/>
          <w:color w:val="231F20"/>
          <w:sz w:val="20"/>
        </w:rPr>
        <w:t xml:space="preserve">. For the nine months ended September 30, 2023, potential common shares of </w:t>
      </w:r>
      <w:r>
        <w:rPr>
          <w:rFonts w:ascii="Times New Roman;sans-serif" w:hAnsi="Times New Roman;sans-serif"/>
          <w:b w:val="false"/>
          <w:color w:val="000000"/>
          <w:sz w:val="20"/>
        </w:rPr>
        <w:t>5,640,158 were excluded from the calculation of diluted earnings per common share as their effects were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6.    Reserve for Losses and Loss Adjustment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$776,000 at September 30, 2024, $744,000 at June 30, 2024, $660,000 at December 31, 2023, $662,000 at September 30, 2023, $637,000 at June 30, 2023, and $580,000 at December 31, 2022.</w:t>
      </w:r>
    </w:p>
    <w:tbl>
      <w:tblPr>
        <w:tblW w:w="10205" w:type="dxa"/>
        <w:jc w:val="left"/>
        <w:tblInd w:w="0" w:type="dxa"/>
        <w:tblLayout w:type="fixed"/>
        <w:tblCellMar>
          <w:top w:w="28" w:type="dxa"/>
          <w:left w:w="28" w:type="dxa"/>
          <w:bottom w:w="28" w:type="dxa"/>
          <w:right w:w="28" w:type="dxa"/>
        </w:tblCellMar>
      </w:tblPr>
      <w:tblGrid>
        <w:gridCol w:w="1445"/>
        <w:gridCol w:w="1270"/>
        <w:gridCol w:w="1278"/>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1,080,766 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Incurred losses and loss adjustment expenses net of reinsurance:</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retroactive reinsurance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 - excluding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 losses and loss and adjustment expenses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366,995 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and loss adjustment expense payments net of reinsurance: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loss and loss adjustment expense payments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Change in deferred reinsurance gain - retroactive reinsurance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Deduct: Loss reserves ceded in E&amp;S ADC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net of reinsurance recoverables at end of period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Reinsurance recoverables on unpaid losses and loss adjustment expenses at end of period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1,284,775 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 for losses and loss adjustment expenses gross of reinsurance recoverables on unpaid losses and loss adjustment expenses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2,476,615 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$56.9 million of net adverse reserve development in the three months ended September 30, 2024 on the reserve for losses and loss adjustment expenses held at December 31, 2023 (excluding adverse prior year development subject to retroactive reinsurance accounting -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below). This reserve development included $57.0 million of net adverse development in the Excess and Surplus Lines segment, including the $52.2 million reserve charge upon execution of the E&amp;S ADC (consideration paid in excess of initial reserves), and $165,000 of net favorable development in the Specialty Admitted Insurance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$7.8 million of net adverse reserve development in the three months ended September 30, 2023 on the reserve for losses and loss adjustment expenses held at December 31, 2022 (excluding adverse prior year development subject to retroactive reinsurance accounting -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below). This reserve development included $7.8 million of net adverse development in the Excess and Surplus Lines segment and no development in the Specialty Admitted Insurance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$67.1 million of net adverse reserve development in the nine months ended September 30, 2024 on the reserve for losses and loss adjustment expenses held at December 31, 2023 (excluding adverse prior year development subject to retroactive reinsurance accounting -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below). This reserve development included $67.7 million of net adverse development in the Excess and Surplus Lines segment, including the $52.2 million reserve charge upon execution of the E&amp;S ADC (consideration paid in excess of initial reserves), and $607,000 of net favorable development in the Specialty Admitted Insurance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experienced $6.6 million of net adverse reserve development in the nine months ended September 30, 2023 on the reserve for losses and loss adjustment expenses held at December 31, 2022 (excluding adverse prior year development subject to retroactive reinsurance accounting -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below). This reserve development included $7.6 million of net adverse development in the Excess and Surplus Lines segment and $1.0 million of net favorable development in the Specialty Admitted Insurance segment.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Loss Portfolio Transfers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Loss portfolio transfers are a form of reinsurance utilized by the Company to transfer losses and loss adjustment expenses and associated risk of adverse development on covered subject business, as defined in the respective agreements, to an assuming reinsurer in exchange for a reinsurance premium. Loss portfolio transfers can bring economic finality (up to the limit of such loss portfolio transfer, if applicable) on the subject risks when they no longer meet the Company's risk appetite or are no longer aligned with the Company's risk management guidelines. There is no economic impact to the Company over the life of a loss portfolio transfer so long as any additional losses subject to the contract are within the limit of the contract and the counterparty performs under the contract.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James River Insurance Company (“JRIC”) and James River Casualty Company (together with JRIC, the “Ceding Companies”), two of the Company’s principal operating subsidiaries,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E&amp;S ADC was effective January 1, 2024 (the “Effective Date”) and applies to the Ceding Companies’ Excess &amp; Surplus Lines segment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the Ceding Companies equal to $313.2 million, (b) the Ceding Companies continue to manage claims and to manage and collect the benefit of other existing third-party reinsurance on the Subject Business, which third-party reinsurance inures to the benefit of the E&amp;S ADC, and (c) the Ceding Companies are entitled to a profit commission of 50% of any favorable development on the business ceded to State National below 104.5% of carried reserves, which profit commission shall not exceed $87.0 million in total.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Auto Loss Portfolio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James River Insurance Company and James River Casualty Company (together, “James River”)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the E&amp;S ADC, and when recognized adverse prior year development on the subject business causes the cumulative amounts ceded under the loss portfolio transfers to exceed the consideration paid, the loss portfolio transfers move into a gain position subject to retroactive reinsurance accounting under GAAP. Gains are deferred under retroactive reinsurance accounting and recognized in earnings in proportion to actual paid recoveries under the loss portfolio transfers using the recovery method. While the deferral of gains can introduce volatility in our results in the short-term, over the life of the contract, we would expect no economic impact to the Company as long as the counterparty performs under the contract. The impact of retroactive reinsurance accounting is not indicative of our current and ongoing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due to adverse paid and reported loss trends on the legacy Rasier business, the Company recognized adverse prior year development of $914,000 and $2.8 million, respectively ($7.1 million and $60.6 million in the respective prior year periods), on the net reserves subject to the Commercial Auto LPT, resulting in corresponding additional amounts ceded under the Commercial Auto LPT. As a result, the cumulative amounts ceded under the Commercial Auto LPT exceed the consideration paid, putting the Commercial Auto LPT into a gain position. The Company has applied retroactive reinsurance accounting to the loss portfolio transfer. Retroactive reinsurance benefits of $2.2 million and $11.8 million for the three and nine months ended September 30, 2024, respectively ($10.2 million and $54.4 million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respective prior year periods), were recorded in losses and loss adjustment expenses on the Condensed Consolidated Statements of (Loss) Income and Comprehensive (Loss) Income using the recovery method. The cumulative amounts ceded under the loss portfolio transfer were $459.1 million and $456.2 million as of September 30, 2024 and December 31, 2023, respectively. The deferred retroactive reinsurance gain related to the Commercial Auto LPT was $11.8 million and $20.7 million at September 30, 2024 and December 31, 2023,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the Company recognized $19.2 million of net adverse development on E&amp;S business subject to the E&amp;S ADC and retroactive reinsurance accounting which put the E&amp;S ADC into a gain position. Retroactive reinsurance accounting was applied, resulting in a deferred retroactive reinsurance gain related to the E&amp;S ADC of $19.2 million at September 30, 2024. The Company also recognized a reserve charge upon execution of the contract (consideration paid in excess of initial reserves) of $52.2 million, which was recorded as adverse development within losses and loss adjustment expenses in the three and nine months ended September 30, 2024. The Company has $75.9 million of aggregate limit remaining on the E&amp;S ADC at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7.    Other Comprehensive Income (Loss)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other comprehensive income (loss):</w:t>
      </w:r>
    </w:p>
    <w:tbl>
      <w:tblPr>
        <w:tblW w:w="10205" w:type="dxa"/>
        <w:jc w:val="left"/>
        <w:tblInd w:w="0" w:type="dxa"/>
        <w:tblLayout w:type="fixed"/>
        <w:tblCellMar>
          <w:top w:w="28" w:type="dxa"/>
          <w:left w:w="28" w:type="dxa"/>
          <w:bottom w:w="28" w:type="dxa"/>
          <w:right w:w="28" w:type="dxa"/>
        </w:tblCellMar>
      </w:tblPr>
      <w:tblGrid>
        <w:gridCol w:w="1848"/>
        <w:gridCol w:w="1520"/>
        <w:gridCol w:w="1530"/>
        <w:gridCol w:w="211"/>
        <w:gridCol w:w="721"/>
        <w:gridCol w:w="109"/>
        <w:gridCol w:w="109"/>
        <w:gridCol w:w="109"/>
        <w:gridCol w:w="109"/>
        <w:gridCol w:w="211"/>
        <w:gridCol w:w="779"/>
        <w:gridCol w:w="109"/>
        <w:gridCol w:w="109"/>
        <w:gridCol w:w="109"/>
        <w:gridCol w:w="109"/>
        <w:gridCol w:w="211"/>
        <w:gridCol w:w="721"/>
        <w:gridCol w:w="109"/>
        <w:gridCol w:w="109"/>
        <w:gridCol w:w="109"/>
        <w:gridCol w:w="109"/>
        <w:gridCol w:w="211"/>
        <w:gridCol w:w="779"/>
        <w:gridCol w:w="155"/>
      </w:tblGrid>
      <w:tr>
        <w:trPr/>
        <w:tc>
          <w:tcPr>
            <w:tcW w:w="1848"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0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before U.S.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(losses) arising during the period, net of U.S. income taxes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adjustment: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investment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 for investment losses realized in net income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(25,781)</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In addition to the $106,000 and $1.2 million of net realized investment losses on available-for-sale fixed maturities for the three and nine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September 30, 2024 ($478,000 and $847,000 of net realized investment losses for the three and nine</w:t>
      </w:r>
      <w:r>
        <w:rPr>
          <w:color w:val="231F20"/>
        </w:rPr>
        <w:t xml:space="preserve"> </w:t>
      </w:r>
      <w:r>
        <w:rPr>
          <w:rFonts w:ascii="Times New Roman;sans-serif" w:hAnsi="Times New Roman;sans-serif"/>
          <w:b w:val="false"/>
          <w:color w:val="231F20"/>
          <w:sz w:val="20"/>
        </w:rPr>
        <w:t>months ended September 30,</w:t>
      </w:r>
      <w:r>
        <w:rPr>
          <w:color w:val="000000"/>
        </w:rPr>
        <w:t xml:space="preserve"> </w:t>
      </w:r>
      <w:r>
        <w:rPr>
          <w:rFonts w:ascii="Times New Roman;sans-serif" w:hAnsi="Times New Roman;sans-serif"/>
          <w:b w:val="false"/>
          <w:color w:val="000000"/>
          <w:sz w:val="20"/>
        </w:rPr>
        <w:t>2023</w:t>
      </w:r>
      <w:r>
        <w:rPr>
          <w:rFonts w:ascii="Times New Roman;sans-serif" w:hAnsi="Times New Roman;sans-serif"/>
          <w:b w:val="false"/>
          <w:color w:val="231F20"/>
          <w:sz w:val="20"/>
        </w:rPr>
        <w:t>, respectively),</w:t>
      </w:r>
      <w:r>
        <w:rPr>
          <w:color w:val="000000"/>
        </w:rPr>
        <w:t xml:space="preserve"> </w:t>
      </w:r>
      <w:r>
        <w:rPr>
          <w:rFonts w:ascii="Times New Roman;sans-serif" w:hAnsi="Times New Roman;sans-serif"/>
          <w:b w:val="false"/>
          <w:color w:val="000000"/>
          <w:sz w:val="20"/>
        </w:rPr>
        <w:t>the Company also recognized net realized and unrealized investment losses in the respective periods of $2.0 million and $3.1 million on its investments in bank loan participations (net realized and unrealized investment gains of $2.6 million and $4.6 million in the respective prior year periods) and net realized and unrealized investment gains of $6.2 million and $10.7 million on its investments in equity securities (net realized and unrealized investment losses of $1.6 million and $1.8 million in the respective prior year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8.       Contingent Liabilities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matters and litigation regarding insurance claims which arise in the ordinary course of business, as well as the matters specifically discussed below.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On March 25, 2024 the court entered an order appointing Mr. Ghimire as lead plaintiff. On May 24, 2024, Plaintiff filed its consolidated amended complaint alleging that he acquired the Company’s common stock at artificially inflated pricing between May 2, 2023 and November 7, 2023, inclusive, that the Company knew and/or recklessly disregarded that it had improperly accounted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reinsurance premiums and did not have effective internal control over financial reporting, and that as a result, he suffered unspecified damages, and seeking unspecified damages, costs, attorneys’ fees and such other relief as the court may deem proper. On July 23, 2024 the Company filed a motion to dismiss the consolidated amended complaint. On September 6, 2024, the plaintiff filed its Opposition to Motion to Dismiss and on October 8, 2024, the Company filed its Reply to the plaintiff’s Opposition to Motion to Dismiss. The Company believes that the claims are without merit and intends to vigorously defend this lawsuit.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2024, the Company filed a complaint (the “Complaint”) in the Supreme Court of the State of New York, New York County, Commercial Division against Fleming Intermediate Holdings LLC (“Fleming”), a Cayman Islands limited liability company, relating to the previously announced Stock Purchase Agreement, dated as of November 8, 2023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arguments on the motion to dismiss.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15, 2024, Fleming filed a lawsuit in the U.S. District Court, Southern District of New York against James River Group Holdings, Ltd.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an amended complaint. The Company’s motion to dismiss the amended complaint is due November 15, 2024, Fleming’s opposition to the motion to dismiss is due December 23, 2024 and the Company’s reply to the opposition is due January 17, 2025. The Company believes Fleming’s claims are without merit and intends to vigorously defend this lawsuit.</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 Since inception, due to adverse paid and reported loss trends on the legacy Rasier business, the Company has recognized adverse prior year development of $113.9 million on the reserves subject to the Commercial Auto LPT, bringing the cumulative amount ceded under the Commercial Auto LPT to $459.1 million at September 30, 2024.</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are required to post collateral under the Indemnity Agreements and the Commercial Auto LPT, respectively:</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 xml:space="preserve">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September 30, 2024, the balance in the Indemnity Trust was $85.3 million, and, together with the balance of the Loss Fund Trust (as defined below) attributable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Indemnity Agreements as described below, the total balance of collateral securing Rasier’s obligations under the Indemnity Agreements was $102.7 million.</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standard actuarial principles and based on reserves recorded in the Company’s statutory financial statements. The collateral is provided through a collateral trust arrangement (the “LPT Trust”) established in favor of James River by Aleka. At September 30, 2024, the balance in the LPT Trust was $40.1 million, and, together with the balance of the Loss Fund Trust (as defined below) attributable to the Commercial Auto LPT as described below, the total balance of collateral securing Aleka’s obligations under the Commercial Auto LPT was $47.8 million. At September 30, 2024, the total reinsurance recoverables under the Commercial Auto LPT was $46.9 million.</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September 30, 2024, the balance in the Loss Fund Trust was $28.4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9.    Segment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continuing operations are comprised of three reportable segments, two of which are separately managed business units and the third (“Corporate and Other”) includes the Company’s remaining operations. Prior to entering into a definitive agreement to sell JRG Re on November 8, 2023, JRG Re was considered a reportable segment (the “Casualty Reinsurance” segment). After entering into the agreement to sell JRG Re, the Company no longer considered Casualty Reinsurance to be a reportable segment, but instead it is reported as discontinued operations. The segment information below excludes discontinued operations for all periods presented.</w:t>
      </w:r>
    </w:p>
    <w:p>
      <w:pPr>
        <w:pStyle w:val="TextBody"/>
        <w:bidi w:val="0"/>
        <w:spacing w:lineRule="auto" w:line="276" w:before="0" w:after="0"/>
        <w:ind w:left="0" w:right="0" w:firstLine="405"/>
        <w:jc w:val="left"/>
        <w:rPr/>
      </w:pPr>
      <w:r>
        <w:rPr>
          <w:rFonts w:ascii="Times New Roman;sans-serif" w:hAnsi="Times New Roman;sans-serif"/>
          <w:b w:val="false"/>
          <w:color w:val="000000"/>
          <w:sz w:val="20"/>
        </w:rPr>
        <w:t xml:space="preserve">Segment profit (loss) is measured by underwriting profit (loss), which is generally defined as net earned premiums and gross fee income (in specific instances when the Company is not retaining insurance risk) in “other income” in the Condensed Consolidated Statements of Income and Comprehensive Income less loss and loss adjustment expenses on business not subject to retroactive reinsurance accounting for loss portfolio transfers (see </w:t>
      </w:r>
      <w:r>
        <w:rPr>
          <w:rFonts w:ascii="Times New Roman;sans-serif" w:hAnsi="Times New Roman;sans-serif"/>
          <w:b w:val="false"/>
          <w:i/>
          <w:color w:val="000000"/>
          <w:sz w:val="20"/>
        </w:rPr>
        <w:t xml:space="preserve">Loss Portfolio Transfers </w:t>
      </w:r>
      <w:r>
        <w:rPr>
          <w:rFonts w:ascii="Times New Roman;sans-serif" w:hAnsi="Times New Roman;sans-serif"/>
          <w:b w:val="false"/>
          <w:color w:val="000000"/>
          <w:sz w:val="20"/>
        </w:rPr>
        <w:t>in</w:t>
      </w:r>
      <w:r>
        <w:rPr>
          <w:color w:val="000000"/>
        </w:rPr>
        <w:t xml:space="preserve"> </w:t>
      </w:r>
      <w:r>
        <w:rPr>
          <w:rFonts w:ascii="Times New Roman;sans-serif" w:hAnsi="Times New Roman;sans-serif"/>
          <w:b w:val="false"/>
          <w:i/>
          <w:color w:val="000000"/>
          <w:sz w:val="20"/>
        </w:rPr>
        <w:t>Note 6 – Reserve for Losses and Loss Adjustment Expenses</w:t>
      </w:r>
      <w:r>
        <w:rPr>
          <w:rFonts w:ascii="Times New Roman;sans-serif" w:hAnsi="Times New Roman;sans-serif"/>
          <w:b w:val="false"/>
          <w:color w:val="000000"/>
          <w:sz w:val="20"/>
        </w:rPr>
        <w:t>) and other operating expenses of the operating segments. Gross fee income of $1.1 million and $3.7 million for the Specialty Admitted Insurance segment was included in other income and in underwriting profit (loss) for the three and nine</w:t>
      </w:r>
      <w:r>
        <w:rPr>
          <w:color w:val="231F20"/>
        </w:rPr>
        <w:t xml:space="preserve"> </w:t>
      </w:r>
      <w:r>
        <w:rPr>
          <w:rFonts w:ascii="Times New Roman;sans-serif" w:hAnsi="Times New Roman;sans-serif"/>
          <w:b w:val="false"/>
          <w:color w:val="231F20"/>
          <w:sz w:val="20"/>
        </w:rPr>
        <w:t xml:space="preserve">months ended </w:t>
      </w:r>
      <w:r>
        <w:rPr>
          <w:rFonts w:ascii="Times New Roman;sans-serif" w:hAnsi="Times New Roman;sans-serif"/>
          <w:b w:val="false"/>
          <w:color w:val="000000"/>
          <w:sz w:val="20"/>
        </w:rPr>
        <w:t>September 30, 2024, respectively ($1.2 million and $3.6 million in the respective prior year periods)</w:t>
      </w:r>
      <w:r>
        <w:rPr>
          <w:rFonts w:ascii="Times New Roman;sans-serif" w:hAnsi="Times New Roman;sans-serif"/>
          <w:b w:val="false"/>
          <w:color w:val="231F20"/>
          <w:sz w:val="20"/>
        </w:rPr>
        <w:t xml:space="preserve">. </w:t>
      </w:r>
      <w:r>
        <w:rPr>
          <w:rFonts w:ascii="Times New Roman;sans-serif" w:hAnsi="Times New Roman;sans-serif"/>
          <w:b w:val="false"/>
          <w:color w:val="000000"/>
          <w:sz w:val="20"/>
        </w:rPr>
        <w:t>Segment results are reported prior to the effects of intercompany reinsurance agreements among the Company’s insurance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segment results:</w:t>
      </w:r>
    </w:p>
    <w:tbl>
      <w:tblPr>
        <w:tblW w:w="9793" w:type="dxa"/>
        <w:jc w:val="left"/>
        <w:tblInd w:w="0" w:type="dxa"/>
        <w:tblLayout w:type="fixed"/>
        <w:tblCellMar>
          <w:top w:w="28" w:type="dxa"/>
          <w:left w:w="28" w:type="dxa"/>
          <w:bottom w:w="28" w:type="dxa"/>
          <w:right w:w="28" w:type="dxa"/>
        </w:tblCellMar>
      </w:tblPr>
      <w:tblGrid>
        <w:gridCol w:w="1451"/>
        <w:gridCol w:w="1275"/>
        <w:gridCol w:w="1278"/>
        <w:gridCol w:w="211"/>
        <w:gridCol w:w="826"/>
        <w:gridCol w:w="109"/>
        <w:gridCol w:w="109"/>
        <w:gridCol w:w="109"/>
        <w:gridCol w:w="109"/>
        <w:gridCol w:w="211"/>
        <w:gridCol w:w="826"/>
        <w:gridCol w:w="109"/>
        <w:gridCol w:w="109"/>
        <w:gridCol w:w="109"/>
        <w:gridCol w:w="109"/>
        <w:gridCol w:w="109"/>
        <w:gridCol w:w="109"/>
        <w:gridCol w:w="282"/>
        <w:gridCol w:w="544"/>
        <w:gridCol w:w="131"/>
        <w:gridCol w:w="109"/>
        <w:gridCol w:w="109"/>
        <w:gridCol w:w="109"/>
        <w:gridCol w:w="211"/>
        <w:gridCol w:w="97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Excess and</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21" w:type="dxa"/>
            <w:gridSpan w:val="1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668" w:type="dxa"/>
            <w:gridSpan w:val="6"/>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2024</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1,417,883 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of operating segments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72,625 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(loss) profit of the operating segments by individual segment to consolidated (loss) income from continuing operations before income taxes:</w:t>
      </w:r>
    </w:p>
    <w:tbl>
      <w:tblPr>
        <w:tblW w:w="10205" w:type="dxa"/>
        <w:jc w:val="left"/>
        <w:tblInd w:w="0" w:type="dxa"/>
        <w:tblLayout w:type="fixed"/>
        <w:tblCellMar>
          <w:top w:w="28" w:type="dxa"/>
          <w:left w:w="28" w:type="dxa"/>
          <w:bottom w:w="28" w:type="dxa"/>
          <w:right w:w="28" w:type="dxa"/>
        </w:tblCellMar>
      </w:tblPr>
      <w:tblGrid>
        <w:gridCol w:w="1766"/>
        <w:gridCol w:w="1549"/>
        <w:gridCol w:w="1557"/>
        <w:gridCol w:w="211"/>
        <w:gridCol w:w="791"/>
        <w:gridCol w:w="109"/>
        <w:gridCol w:w="109"/>
        <w:gridCol w:w="109"/>
        <w:gridCol w:w="109"/>
        <w:gridCol w:w="211"/>
        <w:gridCol w:w="721"/>
        <w:gridCol w:w="109"/>
        <w:gridCol w:w="109"/>
        <w:gridCol w:w="109"/>
        <w:gridCol w:w="109"/>
        <w:gridCol w:w="211"/>
        <w:gridCol w:w="791"/>
        <w:gridCol w:w="109"/>
        <w:gridCol w:w="109"/>
        <w:gridCol w:w="109"/>
        <w:gridCol w:w="109"/>
        <w:gridCol w:w="211"/>
        <w:gridCol w:w="721"/>
        <w:gridCol w:w="157"/>
      </w:tblGrid>
      <w:tr>
        <w:trPr/>
        <w:tc>
          <w:tcPr>
            <w:tcW w:w="176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profit (loss) of the operating segments:</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profit of operating segments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 profit</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on investments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continuing operations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10.    Other Operating Expenses and Other Expenses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consist of the following:</w:t>
      </w:r>
    </w:p>
    <w:tbl>
      <w:tblPr>
        <w:tblW w:w="10205" w:type="dxa"/>
        <w:jc w:val="left"/>
        <w:tblInd w:w="0" w:type="dxa"/>
        <w:tblLayout w:type="fixed"/>
        <w:tblCellMar>
          <w:top w:w="28" w:type="dxa"/>
          <w:left w:w="28" w:type="dxa"/>
          <w:bottom w:w="28" w:type="dxa"/>
          <w:right w:w="28" w:type="dxa"/>
        </w:tblCellMar>
      </w:tblPr>
      <w:tblGrid>
        <w:gridCol w:w="1740"/>
        <w:gridCol w:w="1528"/>
        <w:gridCol w:w="1536"/>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40"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4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policy acquisition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underwriting expenses of the operating segments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147,922 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expenses of $1.8 million and $4.6 million for the three and nine</w:t>
      </w:r>
      <w:r>
        <w:rPr>
          <w:color w:val="231F20"/>
        </w:rPr>
        <w:t xml:space="preserve"> </w:t>
      </w:r>
      <w:r>
        <w:rPr>
          <w:rFonts w:ascii="Times New Roman;sans-serif" w:hAnsi="Times New Roman;sans-serif"/>
          <w:b w:val="false"/>
          <w:color w:val="231F20"/>
          <w:sz w:val="20"/>
        </w:rPr>
        <w:t>months ended September 30, 2024</w:t>
      </w:r>
      <w:r>
        <w:rPr>
          <w:rFonts w:ascii="Times New Roman;sans-serif" w:hAnsi="Times New Roman;sans-serif"/>
          <w:b w:val="false"/>
          <w:color w:val="000000"/>
          <w:sz w:val="20"/>
        </w:rPr>
        <w:t>, respectively ($641,000 and $1.5 million in the respective prior year periods), primarily consist of certain nonoperating expenses including legal and other professional fees and other expenses related to various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11.    Senior Debt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On April 16, 2024, the Company amended a senior revolving credit facility (as amended or amended and restated, the (“2013 Facility”) in connection with the closing of the sale of JRG Re by the Company to (i) release JRG Re as a borrower and release all collateral pledged by JRG Re thereunder, and (ii) decrease a secured revolving facility commitment to $45.0 million. At </w:t>
      </w:r>
      <w:r>
        <w:rPr>
          <w:rFonts w:ascii="Times New Roman;sans-serif" w:hAnsi="Times New Roman;sans-serif"/>
          <w:b w:val="false"/>
          <w:color w:val="231F20"/>
          <w:sz w:val="20"/>
        </w:rPr>
        <w:t xml:space="preserve">September 30, 2024, the 2013 Facility </w:t>
      </w:r>
      <w:r>
        <w:rPr>
          <w:rFonts w:ascii="Times New Roman;sans-serif" w:hAnsi="Times New Roman;sans-serif"/>
          <w:b w:val="false"/>
          <w:color w:val="000000"/>
          <w:sz w:val="20"/>
        </w:rPr>
        <w:t>is comprised of the following:</w:t>
      </w:r>
    </w:p>
    <w:p>
      <w:pPr>
        <w:pStyle w:val="TextBody"/>
        <w:bidi w:val="0"/>
        <w:spacing w:lineRule="auto" w:line="288" w:before="0" w:after="120"/>
        <w:ind w:left="0" w:right="0" w:hanging="360"/>
        <w:jc w:val="both"/>
        <w:rPr/>
      </w:pPr>
      <w:r>
        <w:rPr>
          <w:color w:val="000000"/>
        </w:rPr>
        <w:t>•    </w:t>
      </w:r>
      <w:r>
        <w:rPr>
          <w:rFonts w:ascii="Times New Roman;sans-serif" w:hAnsi="Times New Roman;sans-serif"/>
          <w:b w:val="false"/>
          <w:color w:val="000000"/>
          <w:sz w:val="20"/>
        </w:rPr>
        <w:t xml:space="preserve">A $212.5 million unsecured revolving facility to meet the working capital needs of the Company. At </w:t>
      </w:r>
      <w:r>
        <w:rPr>
          <w:rFonts w:ascii="Times New Roman;sans-serif" w:hAnsi="Times New Roman;sans-serif"/>
          <w:b w:val="false"/>
          <w:color w:val="231F20"/>
          <w:sz w:val="20"/>
        </w:rPr>
        <w:t xml:space="preserve">September 30, 2024 and </w:t>
      </w:r>
      <w:r>
        <w:rPr>
          <w:rFonts w:ascii="Times New Roman;sans-serif" w:hAnsi="Times New Roman;sans-serif"/>
          <w:b w:val="false"/>
          <w:color w:val="000000"/>
          <w:sz w:val="20"/>
        </w:rPr>
        <w:t>December 31, 2023, the Company had a drawn balance of $185.8 million outstanding on the unsecured revolver.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hanging="360"/>
        <w:jc w:val="both"/>
        <w:rPr/>
      </w:pPr>
      <w:r>
        <w:rPr>
          <w:color w:val="000000"/>
        </w:rPr>
        <w:t>•    </w:t>
      </w:r>
      <w:r>
        <w:rPr>
          <w:rFonts w:ascii="Times New Roman;sans-serif" w:hAnsi="Times New Roman;sans-serif"/>
          <w:b w:val="false"/>
          <w:color w:val="000000"/>
          <w:sz w:val="20"/>
        </w:rPr>
        <w:t xml:space="preserve">A $45.0 million secured revolving facility to issue letters of credit for the benefit of third-party reinsureds. At </w:t>
      </w:r>
      <w:r>
        <w:rPr>
          <w:rFonts w:ascii="Times New Roman;sans-serif" w:hAnsi="Times New Roman;sans-serif"/>
          <w:b w:val="false"/>
          <w:color w:val="231F20"/>
          <w:sz w:val="20"/>
        </w:rPr>
        <w:t>September 30, 2024</w:t>
      </w:r>
      <w:r>
        <w:rPr>
          <w:rFonts w:ascii="Times New Roman;sans-serif" w:hAnsi="Times New Roman;sans-serif"/>
          <w:b w:val="false"/>
          <w:color w:val="000000"/>
          <w:sz w:val="20"/>
        </w:rPr>
        <w:t>, the Company had $23.9 million of letters of credit issued under the secured facility, all of which are collateralized by a back-to-back letter of credit issued by Comerica Bank on behalf of JRG Re.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2013 Facility contains certain financial and other covenants (including minimum net worth, maximum ratio of total adjusted debt outstanding to total capitalization, and financial strength ratings) with which the Company was in compliance at </w:t>
      </w:r>
      <w:r>
        <w:rPr>
          <w:rFonts w:ascii="Times New Roman;sans-serif" w:hAnsi="Times New Roman;sans-serif"/>
          <w:b w:val="false"/>
          <w:color w:val="231F20"/>
          <w:sz w:val="20"/>
        </w:rPr>
        <w:t>September 30, 2024.</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Also</w:t>
      </w:r>
      <w:r>
        <w:rPr>
          <w:color w:val="231F20"/>
        </w:rPr>
        <w:t xml:space="preserve"> </w:t>
      </w:r>
      <w:r>
        <w:rPr>
          <w:rFonts w:ascii="Times New Roman;sans-serif" w:hAnsi="Times New Roman;sans-serif"/>
          <w:b w:val="false"/>
          <w:color w:val="000000"/>
          <w:sz w:val="20"/>
        </w:rPr>
        <w:t>in connection with the closing of the sale of JRG Re by the Company, on April 16, 2024, t</w:t>
      </w:r>
      <w:r>
        <w:rPr>
          <w:rFonts w:ascii="Times New Roman;sans-serif" w:hAnsi="Times New Roman;sans-serif"/>
          <w:b w:val="false"/>
          <w:color w:val="231F20"/>
          <w:sz w:val="20"/>
        </w:rPr>
        <w:t xml:space="preserve">he Company amended </w:t>
      </w:r>
      <w:r>
        <w:rPr>
          <w:rFonts w:ascii="Times New Roman;sans-serif" w:hAnsi="Times New Roman;sans-serif"/>
          <w:b w:val="false"/>
          <w:color w:val="000000"/>
          <w:sz w:val="20"/>
        </w:rPr>
        <w:t xml:space="preserve">a credit agreement (the “2017 Facility”) to (i) release JRG Re as a borrower and release all collateral pledged by JRG Re thereunder, (ii) increase the applicable interest rates, (iii) eliminate the letter of credit portion of the facility, and (iv) to build in an automatic decrease of the facility amount by the amount of each letter of credit outstanding under the 2017 Facility as of the date of the amendment with effect from the date each such letter of credit is cancelled. The 2017 Facility provides the Company with a revolving line of credit which may be used for loans and letters of credit made or issued, at the borrowers’ option, on a secured or unsecured basis. In the nine months ended </w:t>
      </w:r>
      <w:r>
        <w:rPr>
          <w:rFonts w:ascii="Times New Roman;sans-serif" w:hAnsi="Times New Roman;sans-serif"/>
          <w:b w:val="false"/>
          <w:color w:val="231F20"/>
          <w:sz w:val="20"/>
        </w:rPr>
        <w:t xml:space="preserve">September 30, 2024, the Company repaid $21.5 million of unsecured loans under the facility. At September 30, 2024, there were no loans outstanding and $24.4 million of </w:t>
      </w:r>
      <w:r>
        <w:rPr>
          <w:rFonts w:ascii="Times New Roman;sans-serif" w:hAnsi="Times New Roman;sans-serif"/>
          <w:b w:val="false"/>
          <w:color w:val="000000"/>
          <w:sz w:val="20"/>
        </w:rPr>
        <w:t xml:space="preserve">letters of credit were issued </w:t>
      </w:r>
      <w:r>
        <w:rPr>
          <w:rFonts w:ascii="Times New Roman;sans-serif" w:hAnsi="Times New Roman;sans-serif"/>
          <w:b w:val="false"/>
          <w:color w:val="231F20"/>
          <w:sz w:val="20"/>
        </w:rPr>
        <w:t xml:space="preserve">under the facility, all of which are collateralized by a back-to-back letter of credit issued by Comerica Bank on behalf of JRG Re. </w:t>
      </w:r>
      <w:r>
        <w:rPr>
          <w:rFonts w:ascii="Times New Roman;sans-serif" w:hAnsi="Times New Roman;sans-serif"/>
          <w:b w:val="false"/>
          <w:color w:val="000000"/>
          <w:sz w:val="20"/>
        </w:rPr>
        <w:t xml:space="preserve">The 2017 Facility contains certain financial and other covenants with which the Company was in compliance at </w:t>
      </w:r>
      <w:r>
        <w:rPr>
          <w:rFonts w:ascii="Times New Roman;sans-serif" w:hAnsi="Times New Roman;sans-serif"/>
          <w:b w:val="false"/>
          <w:color w:val="231F20"/>
          <w:sz w:val="20"/>
        </w:rPr>
        <w:t>September 30, 2024</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ans-serif" w:hAnsi="Times New Roman;sans-serif"/>
          <w:b w:val="false"/>
          <w:i/>
          <w:color w:val="000000"/>
          <w:sz w:val="20"/>
        </w:rPr>
        <w:t>e.g.</w:t>
      </w:r>
      <w:r>
        <w:rPr>
          <w:color w:val="000000"/>
        </w:rPr>
        <w:t xml:space="preserve"> </w:t>
      </w:r>
      <w:r>
        <w:rPr>
          <w:rFonts w:ascii="Times New Roman;sans-serif" w:hAnsi="Times New Roman;sans-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2022.</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our investment manager that obtains fair values from independent pricing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September 30, 2024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149,113 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43,588 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Assets measured at fair value on a recurring basis as of December 31, 2023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tbl>
      <w:tblPr>
        <w:tblW w:w="7305" w:type="dxa"/>
        <w:jc w:val="center"/>
        <w:tblInd w:w="0" w:type="dxa"/>
        <w:tblLayout w:type="fixed"/>
        <w:tblCellMar>
          <w:top w:w="28" w:type="dxa"/>
          <w:left w:w="28" w:type="dxa"/>
          <w:bottom w:w="28" w:type="dxa"/>
          <w:right w:w="28" w:type="dxa"/>
        </w:tblCellMar>
      </w:tblPr>
      <w:tblGrid>
        <w:gridCol w:w="1289"/>
        <w:gridCol w:w="1130"/>
        <w:gridCol w:w="1136"/>
        <w:gridCol w:w="211"/>
        <w:gridCol w:w="361"/>
        <w:gridCol w:w="109"/>
        <w:gridCol w:w="109"/>
        <w:gridCol w:w="109"/>
        <w:gridCol w:w="109"/>
        <w:gridCol w:w="211"/>
        <w:gridCol w:w="361"/>
        <w:gridCol w:w="109"/>
        <w:gridCol w:w="109"/>
        <w:gridCol w:w="109"/>
        <w:gridCol w:w="109"/>
        <w:gridCol w:w="211"/>
        <w:gridCol w:w="361"/>
        <w:gridCol w:w="109"/>
        <w:gridCol w:w="109"/>
        <w:gridCol w:w="109"/>
        <w:gridCol w:w="109"/>
        <w:gridCol w:w="211"/>
        <w:gridCol w:w="361"/>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 of Level 3</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 to Level 3</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calls and paydowns</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discount</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gains or losses (realized/unrealized):</w:t>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earnings</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other comprehensive income</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held one equity security at December 31, 2023 and September 30, 2024 for which the fair value was determined using significant unobservable inputs (Level 3). The fair value of $11,000 at September 30, 2024 for the equity security was obtained from our asset manager and was derived from an internal model.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held one equity security at December 31, 2022 and September 30, 2023 for which the fair value was determined using significant unobservable inputs (Level 3). The fair value of $24,000 at September 30, 2023 for the equity security was obtained from our asset manager and was derived from an internal model.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and Level 2 during the nine months ended September 30, 2024 or 2023. The Company recognizes transfers between levels at the beginning of the reporting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September 30, 2024 and December 31, 2023, there were no investments for which external sources were unavailable to determine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and fair values of financial instruments are summarized below:</w:t>
      </w:r>
    </w:p>
    <w:tbl>
      <w:tblPr>
        <w:tblW w:w="9840" w:type="dxa"/>
        <w:jc w:val="left"/>
        <w:tblInd w:w="0" w:type="dxa"/>
        <w:tblLayout w:type="fixed"/>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other invested assets-notes receivable, senior debt, and junior subordinated debt at September 30, 2024 and December 31, 2023 were determined by calculating the present value of expected future cash flows under the terms of the note agreements or debt agreements, as applicable, discounted at an estimated market rate of interest at September 30, 2024 and December 31, 2023, respectively. The Company also utilized an internally developed valuation model based on the spread of a comparable market index to determine the fair value of certain other invested assets-notes receivable at September 30, 2024 and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senior debt, junior subordinated debt, and investments in notes receivable, classified in other invested assets, at September 30, 2024 and December 31, 2023 were determined using inputs to the valuation methodology that are unobservable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13.    Series A Preferred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24, 2022, the Company entered into an Investment Agreement with GPC Partners Investments (Thames) LP (“GPC Partners”), an affiliate of Gallatin Point Capital LLC, relating to the issuance and sale of 150,000 7% Series A Perpetual Cumulative Convertible Preferred Shares, par value $0.00125 per share (the “Series A Preferred Shares”), for an aggregate purchase price of $150.0 million, or $1,000 per share, in a private placement. The transaction closed on March 1, 2022 (the “Series A Closing Date”).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rank senior to our common shares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shares immediately before such liquidation, dissolution or winding up.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the Company’s election. On the five-year anniversary of the Series A Closing Date, and each five-year anniversary thereafter, the dividend rate will reset to a rate equal to the five-year U.S. treasury rate plus 5.2%. Dividends accrue and are payable quarterly. Cash dividends of $10.5 million were paid in the nine months ended September 30, 2024 including cash dividends paid in January, April, July, and September for the three month periods ended December 31, 2023, March 31, 2024, June 30, 2024, and September 30, 2024. In the nine months ended September 30, 2023, cash dividends of $7.9 million were paid including cash dividends paid in January, March, and June for the three month periods ended December 31, 2022, March 31, 2023, and June 30, 2023, respectively. Dividends of $2.6 million for the three months ended September 30, 2023 were paid on October 2,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Preferred Shares are convertible at the option of the holders thereof at any time into common shares at an initial conversion price of $26.5950, making the Series A Preferred Shares convertible into 5,640,158 common shares. The conversion price is subject to customary anti-dilution adjustments, including cash dividends on the common shares above specified levels, as well as certain adjustments in case of net adverse reserve developments in excess of a threshold over a period of time. The measurement period for the adverse reserve development anti-dilution adjustment commenced with the quarter beginning January 1, 2022 and ends with the quarter ending December 31, 2025. As of September 30, 2024, net adverse reserve development exceeded the threshold. If net adverse reserve development exceeds the threshold at the conclusion of the measurement period (or upon a mandatory or optional conversion, if earlier), the conversion price will be adjusted pursuant to the Certificate of Designations, subject to a floor conversion price of $21.902, and the adjusted conversion price will become effective after the filing of the Company's financial statements for the period ending December 31, 2025 (or immediately after the close of business on the date of the public filing of the Company's financial statements for the most recent quarterly period preceding a mandatory or optional conversion, if earlier). None of the other triggers that would result in additional adjustments to the conversion price have been met at September 30,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Certificate of Designations setting forth the terms of the Series A Preferred Shares (the “Certificate of Designations”) limits the Company's ability to pay dividends to its common shareholders. If the Company pays cash dividends of more than $0.05 per common share per quarter, without the consent of at least the majority of the Series A Preferred Shares then outstanding, the Company will be required to reduce the conversion price of the Series A Preferred Shares. Additionally, the payment of cash dividends in excess of $0.10 per common share per quarter is not permitted if the dividends on the Series A Preferred Shares for that quarter are not paid in cash, unless the Company’s U.S.-based insurance subsidiaries and direct Bermuda-based insurance subsidiary satisfy certain capital requirements. Share dividends payable on the common shares to the Company's shareholders also trigger a reduction of the conversion price applicable to the Series A Preferred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any time on or after the two year anniversary of the Series A Closing Date, if the volume-weighted average price (“VWAP”) per common share is greater than 130% of the then-applicable conversion price for at least twenty consecutive trading days, the Company will be able to elect to convert (a “Mandatory Conversion”) all of the outstanding Series A Preferred Shares into common shares. In the case of a Mandatory Conversion, each Series A Preferred Share then outstanding will be converted into (i) the number of common shares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Upon any Mandatory Conversion on or before the five-year anniversary of the Series A Closing Date, all dividends that would have accrued from the date of the Mandatory Conversion to the later of the five-year anniversary of the Series A Closing Date or the last day of the eighth quarter following the date of the Mandatory Conversion, the last eight quarters of which will be discounted to present value using a discount rate of 3.5% per annum, and will be immediately payable in common shares, valued at the average of the daily VWAP of the Company’s common shares during the five (5) trading days immediately preceding the Mandatory Conversion.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Series A Preferred Shares may require the Company to repurchase their shares upon the occurrence of certain change of control events. Upon the occurrence of a Fundamental Change (as defined in the Certificate of Designations designating the Series A Preferred Shares), each holder of outstanding Series A Preferred Shares will be permitted to, at its election, (i) effective as of immediately prior to the Fundamental Change, convert all or a portion of its Series A Preferred Shares into common shares,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the five-year anniversary of the Series A Closing Date, all dividends that would have accrued up to such five-year anniversary, but that have not been paid. The repurchase price will be payable in cash.</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may be required to repurchase all or a portion of the Series A Preferred Shares at the option of the holder upon the occurrence of certain change of control events, the Series A Preferred Shares have been classified as mezzanine equity in the Company's condensed consolidated balance sheets and are recognized at fair value of $150.0 million (the proceeds on the date of issuance) less issuance costs of $5.1 million, resulting in a carrying value of $144.9 million. The Certificate of Designations was amended by the Company and GPC Partners on November 11, 2024. See Note 15 – Subsequent Events below.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Investment Agreement, GPC Partners has the right to designate one member of the Board (the “Series A Designee”) for appointment to the Board, or election at the Company’s annual general meeting. GPC Partners initially designated Matthew Botein as the Series A Designee, and Mr. Botein was approved by the Board as a Class I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with a term that expired at the 2024 annual general meeting of the Company’s shareholders. Mr. Botein was re-elected as a director at the 2024 annual general meeting for a term ending at the 2025 annual general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14.    Capital Stock and Equity Awards</w:t>
      </w:r>
    </w:p>
    <w:p>
      <w:pPr>
        <w:pStyle w:val="TextBody"/>
        <w:bidi w:val="0"/>
        <w:spacing w:lineRule="auto" w:line="268" w:before="0" w:after="120"/>
        <w:jc w:val="both"/>
        <w:rPr>
          <w:rFonts w:ascii="Times New Roman;sans-serif" w:hAnsi="Times New Roman;sans-serif"/>
          <w:b/>
          <w:i/>
          <w:color w:val="000000"/>
          <w:sz w:val="20"/>
        </w:rPr>
      </w:pPr>
      <w:r>
        <w:rPr>
          <w:rFonts w:ascii="Times New Roman;sans-serif" w:hAnsi="Times New Roman;sans-serif"/>
          <w:b/>
          <w:i/>
          <w:color w:val="000000"/>
          <w:sz w:val="20"/>
        </w:rPr>
        <w:t>Common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37,641,563 at December 31, 2023 to 37,829,475 at September 30, 2024, reflecting 187,912 common shares issued in the nine months ended September 30, 2024 related to vesting of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declared the following dividends on common shares during the first nine months of 2024 and 2023:</w:t>
      </w:r>
    </w:p>
    <w:tbl>
      <w:tblPr>
        <w:tblW w:w="10205" w:type="dxa"/>
        <w:jc w:val="left"/>
        <w:tblInd w:w="0" w:type="dxa"/>
        <w:tblLayout w:type="fixed"/>
        <w:tblCellMar>
          <w:top w:w="28" w:type="dxa"/>
          <w:left w:w="28" w:type="dxa"/>
          <w:bottom w:w="28" w:type="dxa"/>
          <w:right w:w="28" w:type="dxa"/>
        </w:tblCellMar>
      </w:tblPr>
      <w:tblGrid>
        <w:gridCol w:w="539"/>
        <w:gridCol w:w="474"/>
        <w:gridCol w:w="477"/>
        <w:gridCol w:w="109"/>
        <w:gridCol w:w="109"/>
        <w:gridCol w:w="109"/>
        <w:gridCol w:w="505"/>
        <w:gridCol w:w="1223"/>
        <w:gridCol w:w="260"/>
        <w:gridCol w:w="109"/>
        <w:gridCol w:w="109"/>
        <w:gridCol w:w="109"/>
        <w:gridCol w:w="845"/>
        <w:gridCol w:w="845"/>
        <w:gridCol w:w="847"/>
        <w:gridCol w:w="109"/>
        <w:gridCol w:w="109"/>
        <w:gridCol w:w="109"/>
        <w:gridCol w:w="540"/>
        <w:gridCol w:w="496"/>
        <w:gridCol w:w="498"/>
        <w:gridCol w:w="109"/>
        <w:gridCol w:w="109"/>
        <w:gridCol w:w="109"/>
        <w:gridCol w:w="211"/>
        <w:gridCol w:w="976"/>
        <w:gridCol w:w="161"/>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Date of Declaration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Payable to Shareholders of Record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Amount</w:t>
            </w:r>
          </w:p>
        </w:tc>
      </w:tr>
      <w:tr>
        <w:trPr/>
        <w:tc>
          <w:tcPr>
            <w:tcW w:w="1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14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1,940,410 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28,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1,938,439 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1,937,934 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5,816,783 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13,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1,921,040 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29,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1,921,550 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5,764,392 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the total dividends for the nine months ended September 30, 2024 and 2023 are $143,000 and $121,000, respectively, of dividend equivalents on unvested RSUs. The balance of dividends payable on unvested RSUs was $260,000 at September 30, 2024 and $255,000 at December 31, 2023.</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Employees are eligible to receive non-qualified stock options, incentive stock options, share appreciation rights, performance shares, restricted shares, RSUs, and other awards under the 2014 LTIP. At September 30, 2024, the maximum number of shares available for issuance under the 2014 LTIP was 4,982,650 and 1,180,368 shares were available for grant.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PRSU represents a contingent right to receive one Company common share based upon the level of achievement of certain performance metrics during the performance period, with payout for achievement of threshold, target and maximum performance levels to be set at 50%, 100% and 200% of the target number of PRSUs, respectively. The PRSUs awarded in the first quarter of 2023 have a performance period of January 1, 2023 through December 31, 2025. The PRSUs awarded in the first quarter of 2024 have a performance period of January 1, 2024 through December 31, 2026.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 of the Company are eligible to receive non-qualified stock options, share appreciation rights, performance shares, restricted shares, RSUs, and other awards under the 2014 Director Plan. At September 30, 2024, the maximum number of shares available for issuance under the 2014 Director Plan was 150,000 and 31,927 shares were available for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w:t>
      </w:r>
    </w:p>
    <w:tbl>
      <w:tblPr>
        <w:tblW w:w="7220" w:type="dxa"/>
        <w:jc w:val="left"/>
        <w:tblInd w:w="0" w:type="dxa"/>
        <w:tblLayout w:type="fixed"/>
        <w:tblCellMar>
          <w:top w:w="28" w:type="dxa"/>
          <w:left w:w="28" w:type="dxa"/>
          <w:bottom w:w="28" w:type="dxa"/>
          <w:right w:w="28" w:type="dxa"/>
        </w:tblCellMar>
      </w:tblPr>
      <w:tblGrid>
        <w:gridCol w:w="809"/>
        <w:gridCol w:w="711"/>
        <w:gridCol w:w="715"/>
        <w:gridCol w:w="396"/>
        <w:gridCol w:w="399"/>
        <w:gridCol w:w="196"/>
        <w:gridCol w:w="109"/>
        <w:gridCol w:w="109"/>
        <w:gridCol w:w="109"/>
        <w:gridCol w:w="211"/>
        <w:gridCol w:w="616"/>
        <w:gridCol w:w="109"/>
        <w:gridCol w:w="109"/>
        <w:gridCol w:w="109"/>
        <w:gridCol w:w="109"/>
        <w:gridCol w:w="449"/>
        <w:gridCol w:w="451"/>
        <w:gridCol w:w="196"/>
        <w:gridCol w:w="109"/>
        <w:gridCol w:w="109"/>
        <w:gridCol w:w="109"/>
        <w:gridCol w:w="211"/>
        <w:gridCol w:w="6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period</w:t>
            </w:r>
          </w:p>
        </w:tc>
        <w:tc>
          <w:tcPr>
            <w:tcW w:w="79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76,393 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options outstanding at December 31, 2023 lapsed in the nine months ended September 30, 2024. At September 30, 2024, no options remain outstanding.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02" w:type="dxa"/>
        <w:jc w:val="left"/>
        <w:tblInd w:w="0" w:type="dxa"/>
        <w:tblLayout w:type="fixed"/>
        <w:tblCellMar>
          <w:top w:w="28" w:type="dxa"/>
          <w:left w:w="28" w:type="dxa"/>
          <w:bottom w:w="28" w:type="dxa"/>
          <w:right w:w="28" w:type="dxa"/>
        </w:tblCellMar>
      </w:tblPr>
      <w:tblGrid>
        <w:gridCol w:w="939"/>
        <w:gridCol w:w="825"/>
        <w:gridCol w:w="830"/>
        <w:gridCol w:w="449"/>
        <w:gridCol w:w="451"/>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(212,968)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929,193 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797,787 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 year vesting period in the case of time-vest RSUs and cliff vest at the end of a three-year performance period in the case of PRSUs. RSUs granted to non-employee directors generally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generally based on the market price of the underlying shares at the date of grant. The RSUs granted in 2024 and 2023 include 231,492 and 91,818 PRSU awards, respectively. The number of PRSUs is based upon the probable outcome of performance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 is recognized on a straight-line basis over the vesting period. The amount of expense and related tax benefit is summarized below:</w:t>
      </w:r>
    </w:p>
    <w:tbl>
      <w:tblPr>
        <w:tblW w:w="9254" w:type="dxa"/>
        <w:jc w:val="left"/>
        <w:tblInd w:w="0" w:type="dxa"/>
        <w:tblLayout w:type="fixed"/>
        <w:tblCellMar>
          <w:top w:w="28" w:type="dxa"/>
          <w:left w:w="28" w:type="dxa"/>
          <w:bottom w:w="28" w:type="dxa"/>
          <w:right w:w="28" w:type="dxa"/>
        </w:tblCellMar>
      </w:tblPr>
      <w:tblGrid>
        <w:gridCol w:w="1625"/>
        <w:gridCol w:w="1426"/>
        <w:gridCol w:w="1433"/>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Share based compensation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tax benefit on share 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had $8.2 million of unrecognized share based compensation expense expected to be charged to earnings over a weighted-average period of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18, 2024, the Company disbursed $11.9 million to Fleming Intermediate Holdings LLC. The disbursement included $11.4 million for the downward adjustment to the Closing Date Purchase Price due to losses from JRG Re’s operations between the date of the balance sheet used to produce the estimated closing statement and the Closing Date (see Note 2 - Discontinued Operations), and $471,000 of interest pursuant to the terms in the Stock Purchase Agreement.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9, 2024, the Board of Directors declared a cash dividend of $0.01 per common share. The dividend is payable on December 31, 2024 to shareholders of record on December 16,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24, 2024, the Board of Directors declared a dividend of up to $2.6 million on the Series A Preferred Shares. The dividend will be payable in cash on December 31, 2024 to shareholders of record on December 15,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2024 annual general meeting of shareholders (the “Annual Meeting”) of James River Group Holdings, Ltd. (the “Company”) held on October 24, 2024, the Company’s shareholders approved an amendment (the “Third Amendment”) to the James River Group Holdings, Ltd. 2014 Long-Term Incentive Plan (the “2014 LTIP”). The Third Amendment increases the number of the Company’s common shares authorized for issuance under the 2014 LTIP by 525,000 common shares.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Annual Meeting, the Company’s shareholders also approved an amendment (the “Second Amendment”) to the James River Group Holdings, Ltd. 2014 Non-Employee Director Incentive Plan (the “Non-Employee Director Plan”). The Second Amendment increases the number of the Company’s common shares authorized for issuance under the Non-Employee Director Plan by 100,000 common shares and extends the duration of the Non-Employee Director Plan from 2024 to 2034.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2024, the Company received notification from the lender under the 2017 Facility of their intent to terminate the agreement. As provided for in the credit agreement, the maturity date will occur 30 days after the notification of termination.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commencing a multi-pronged strategic partnership with Enstar Group Limited ("Enstar"). As part of this, on November 11, 2024, Enstar, through its subsidiary Cavello Bay Reinsurance Limited, entered into (i) a subscription agreement to purchase $12.5 million of the Company’s common shares at a share price of $6.40, in addition to 637,640 shares Enstar previously purchased in the open market, and (ii) an adverse development cover agreement with James River Insurance Company and James River Casualty Company, pursuant to which, in exchange for a premium of $52.8 million (less an amount equal to the federal excise tax payable on the premium) to be paid by the ceding companies, Cavello Bay will reinsure, effective January 1, 2024, 100% of the losses associated with the ceding companies’ Excess &amp; Surplus Lines segment portfolio losses attaching to premium earned during 2010-2023 (both years inclusive), excluding, among others, losses related to commercial auto policies issued to a former large insured or its affiliates, subject to a retention by the ceding companies of $1,183.7 million (the limit of the E&amp;S ADC executed on July 2, 2024) and up to an aggregate limit of $75.0 million (such transactions together, the “Enstar Transactions”). The Company expects to recognize a reduction in pre-tax income of $52.8 million in connection with the adverse development cover upon closing. The Enstar Transactions are subject to satisfaction or waiver of customary closing conditions, including approval of the adverse development cover by the Bermuda Monetary Authority.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11, 2024, the Company amended the Certificate of Designations setting forth the terms of the Series A Preferred Shares (the “Certificate of Designations”) held by GPC Partners to, among other things, (i) convert $37.5 million of the outstanding Series A Preferred Shares to common stock at a per share price of $6.40 (the “Minimum Price”), (ii) increase the voluntary conversion price from 127.5% to 130% of the Minimum Price, (iv) increase the mandatory conversion price from 130% to 200% of the voluntary conversion price, (v) delay the first date on which the dividend rate re-sets from March 1, 2027 to October 1, 2029, (vi) cap the dividend rate at 8%, (vii) eliminate the adverse development anti-dilution adjustment provision,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JAMES RIVER GROUP HOLDING, LTD.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and (viii) limit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these announcements, the Board of Directors has concluded the strategic review process announced in November of 2023. While the strategic review process has been completed, in the ordinary course of business the Company expects to consider beneficial opportunities.</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Part II, Item 1A “Risk Factors” in this Quarterly Report on Form 10-Q, and Part I, Item 1A “Risk Factors” in our Annual Report on Form 10-K for the year ended December 31, 2023. The results of operations for the three and nine months ended September 30, 2024 are not necessarily indicative of the results that may be expected for the full year ending December 31, 2024,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and related notes have been prepared in accordance with United States (“U.S.”) generally accepted accounting principles (“GAAP”) and include the accounts of James River Group Holdings, Ltd. and its subsidiaries. Unless the context indicates or suggests otherwise, references to “the Company”, “we”, “us” and “our” refer to James River Group Holdings, Ltd. and its subsidiaries.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Business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 is a Bermuda-based holding company. We own and operate a group of specialty insurance companies with the objective of generating compelling returns on tangible equity while limiting underwriting and investment volatility. We seek to accomplish this by earning profits from insurance underwriting and generating meaningful risk-adjusted investment returns while managing our capital.</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report our continuing operations in three reportable segments: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Excess and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Specialty Admitted Insurance segment focuses on niche classes within the standard insurance markets with a primary focus on fronting business, where we retain a minority share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managing general agents;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The Corporate and Other segment consists of the management and treasury activities of our holding companies, interest expense associated with our debt, and expenses of our holding companies, including public company expenses and equity compensation for the group, that are not reimbursed by our insurance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discontinued operations include JRG Re, which comprised the remaining operations of the former Casualty Reinsurance segment, and which, prior to the suspension of its underwriting activities in 2023, provided proportional and working layer casualty reinsurance to third parties. On November 8, 2023, the Company entered into a definitive agreement to sell JRG Re. The sale transaction closed on April 16,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We report all segment information in this ‘‘Management’s Discussion and Analysis of Financial Condition and Results of Operations’’ prior to the effects of intercompany reinsurance, consistent with the manner in which we evaluate the operating performance of our reportable segments.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group’s regulated U.S. insurance subsidiaries have a financial strength rating of “A-” (Excellent) from A.M. Best Company.</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Key Metrics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certain key metrics, described below, which we believe provide useful information about our business and the operational factors underlying our financial performance.</w:t>
      </w:r>
    </w:p>
    <w:p>
      <w:pPr>
        <w:pStyle w:val="TextBody"/>
        <w:bidi w:val="0"/>
        <w:spacing w:lineRule="auto" w:line="288" w:before="0" w:after="120"/>
        <w:jc w:val="both"/>
        <w:rPr/>
      </w:pPr>
      <w:r>
        <w:rPr>
          <w:rFonts w:ascii="Times New Roman;sans-serif" w:hAnsi="Times New Roman;sans-serif"/>
          <w:b w:val="false"/>
          <w:i/>
          <w:color w:val="000000"/>
          <w:sz w:val="20"/>
        </w:rPr>
        <w:t>Underwriting profit</w:t>
      </w:r>
      <w:r>
        <w:rPr>
          <w:color w:val="000000"/>
        </w:rPr>
        <w:t xml:space="preserve"> </w:t>
      </w:r>
      <w:r>
        <w:rPr>
          <w:rFonts w:ascii="Times New Roman;sans-serif" w:hAnsi="Times New Roman;sans-serif"/>
          <w:b w:val="false"/>
          <w:color w:val="000000"/>
          <w:sz w:val="20"/>
        </w:rPr>
        <w:t xml:space="preserve">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underwriting profit. We define underwriting profit as net earned premiums and gross fee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pStyle w:val="TextBody"/>
        <w:bidi w:val="0"/>
        <w:spacing w:lineRule="auto" w:line="288" w:before="0" w:after="120"/>
        <w:jc w:val="both"/>
        <w:rPr/>
      </w:pPr>
      <w:r>
        <w:rPr>
          <w:rFonts w:ascii="Times New Roman;sans-serif" w:hAnsi="Times New Roman;sans-serif"/>
          <w:b w:val="false"/>
          <w:i/>
          <w:color w:val="000000"/>
          <w:sz w:val="20"/>
        </w:rPr>
        <w:t>Loss ratio</w:t>
      </w:r>
      <w:r>
        <w:rPr>
          <w:rFonts w:ascii="Times New Roman;sans-serif" w:hAnsi="Times New Roman;sans-serif"/>
          <w:b w:val="false"/>
          <w:color w:val="000000"/>
          <w:sz w:val="20"/>
        </w:rPr>
        <w:t>, expressed as a percentage, is the ratio of losses and loss adjustment expenses on business from continuing operations not subject to retroactive reinsurance accounting to net earned premiums. Our definition of loss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ans-serif" w:hAnsi="Times New Roman;sans-serif"/>
          <w:b w:val="false"/>
          <w:i/>
          <w:color w:val="000000"/>
          <w:sz w:val="20"/>
        </w:rPr>
        <w:t>Accident year loss ratio</w:t>
      </w:r>
      <w:r>
        <w:rPr>
          <w:rFonts w:ascii="Times New Roman;sans-serif" w:hAnsi="Times New Roman;sans-serif"/>
          <w:b w:val="false"/>
          <w:color w:val="000000"/>
          <w:sz w:val="20"/>
        </w:rPr>
        <w:t>, expressed as a percentage, is the ratio of losses and loss adjustment expenses for the current accident year (excluding development on prior accident year reserves) to net earned premiums for the current year (excluding net earned premium adjustments on certain reinsurance treaties with reinstatement premiums associated with prior years).</w:t>
      </w:r>
    </w:p>
    <w:p>
      <w:pPr>
        <w:pStyle w:val="TextBody"/>
        <w:bidi w:val="0"/>
        <w:spacing w:lineRule="auto" w:line="288" w:before="0" w:after="120"/>
        <w:jc w:val="both"/>
        <w:rPr/>
      </w:pPr>
      <w:r>
        <w:rPr>
          <w:rFonts w:ascii="Times New Roman;sans-serif" w:hAnsi="Times New Roman;sans-serif"/>
          <w:b w:val="false"/>
          <w:i/>
          <w:color w:val="000000"/>
          <w:sz w:val="20"/>
        </w:rPr>
        <w:t>Expense ratio</w:t>
      </w:r>
      <w:r>
        <w:rPr>
          <w:rFonts w:ascii="Times New Roman;sans-serif" w:hAnsi="Times New Roman;sans-serif"/>
          <w:b w:val="false"/>
          <w:color w:val="000000"/>
          <w:sz w:val="20"/>
        </w:rPr>
        <w:t>, expressed as a percentage, is the ratio of other operating expenses net of gross fee income included in other income to net earned premiums.</w:t>
      </w:r>
    </w:p>
    <w:p>
      <w:pPr>
        <w:pStyle w:val="TextBody"/>
        <w:bidi w:val="0"/>
        <w:spacing w:lineRule="auto" w:line="288" w:before="0" w:after="120"/>
        <w:jc w:val="both"/>
        <w:rPr/>
      </w:pPr>
      <w:r>
        <w:rPr>
          <w:rFonts w:ascii="Times New Roman;sans-serif" w:hAnsi="Times New Roman;sans-serif"/>
          <w:b w:val="false"/>
          <w:i/>
          <w:color w:val="000000"/>
          <w:sz w:val="20"/>
        </w:rPr>
        <w:t>Combined ratio</w:t>
      </w:r>
      <w:r>
        <w:rPr>
          <w:color w:val="000000"/>
        </w:rPr>
        <w:t xml:space="preserve"> </w:t>
      </w:r>
      <w:r>
        <w:rPr>
          <w:rFonts w:ascii="Times New Roman;sans-serif" w:hAnsi="Times New Roman;sans-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ans-serif" w:hAnsi="Times New Roman;sans-serif"/>
          <w:b w:val="false"/>
          <w:i/>
          <w:color w:val="000000"/>
          <w:sz w:val="20"/>
        </w:rPr>
        <w:t>Adjusted net operating income</w:t>
      </w:r>
      <w:r>
        <w:rPr>
          <w:color w:val="000000"/>
        </w:rPr>
        <w:t xml:space="preserve"> </w:t>
      </w:r>
      <w:r>
        <w:rPr>
          <w:rFonts w:ascii="Times New Roman;sans-serif" w:hAnsi="Times New Roman;sans-serif"/>
          <w:b w:val="false"/>
          <w:color w:val="000000"/>
          <w:sz w:val="20"/>
        </w:rPr>
        <w:t>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and e) severance costs associated with terminated employees.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pStyle w:val="TextBody"/>
        <w:bidi w:val="0"/>
        <w:spacing w:lineRule="auto" w:line="288" w:before="0" w:after="120"/>
        <w:jc w:val="both"/>
        <w:rPr/>
      </w:pPr>
      <w:r>
        <w:rPr>
          <w:rFonts w:ascii="Times New Roman;sans-serif" w:hAnsi="Times New Roman;sans-serif"/>
          <w:b w:val="false"/>
          <w:i/>
          <w:color w:val="000000"/>
          <w:sz w:val="20"/>
        </w:rPr>
        <w:t>Tangible equity</w:t>
      </w:r>
      <w:r>
        <w:rPr>
          <w:color w:val="000000"/>
        </w:rPr>
        <w:t xml:space="preserve"> </w:t>
      </w:r>
      <w:r>
        <w:rPr>
          <w:rFonts w:ascii="Times New Roman;sans-serif" w:hAnsi="Times New Roman;sans-serif"/>
          <w:b w:val="false"/>
          <w:color w:val="000000"/>
          <w:sz w:val="20"/>
        </w:rPr>
        <w:t>is defined as shareholders' equity plus mezzanine Series A Preferred Shares (as defined below) and the unrecognized deferred retroactive reinsurance gain less goodwill and intangible assets, net of amortization. We believe tangible equity is a good measure to evaluate the strength of our balance sheet and to compare returns relative to this measure. Key financial measures that we use to assess our longer term financial performance include the percentage growth in our tangible equity per share and our return on tangible equity.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bidi w:val="0"/>
        <w:spacing w:lineRule="auto" w:line="288" w:before="0" w:after="120"/>
        <w:jc w:val="both"/>
        <w:rPr/>
      </w:pPr>
      <w:r>
        <w:rPr>
          <w:rFonts w:ascii="Times New Roman;sans-serif" w:hAnsi="Times New Roman;sans-serif"/>
          <w:b w:val="false"/>
          <w:i/>
          <w:color w:val="000000"/>
          <w:sz w:val="20"/>
        </w:rPr>
        <w:t>Adjusted net operating return on tangible equity</w:t>
      </w:r>
      <w:r>
        <w:rPr>
          <w:color w:val="000000"/>
        </w:rPr>
        <w:t xml:space="preserve"> </w:t>
      </w:r>
      <w:r>
        <w:rPr>
          <w:rFonts w:ascii="Times New Roman;sans-serif" w:hAnsi="Times New Roman;sans-serif"/>
          <w:b w:val="false"/>
          <w:color w:val="000000"/>
          <w:sz w:val="20"/>
        </w:rPr>
        <w:t>is defined as annualized adjusted net operating income expressed as a percentage of the average quarterly tangible equity balances in the respective period.</w:t>
      </w:r>
    </w:p>
    <w:p>
      <w:pPr>
        <w:pStyle w:val="TextBody"/>
        <w:bidi w:val="0"/>
        <w:spacing w:lineRule="auto" w:line="288" w:before="0" w:after="120"/>
        <w:jc w:val="both"/>
        <w:rPr/>
      </w:pPr>
      <w:r>
        <w:rPr>
          <w:rFonts w:ascii="Times New Roman;sans-serif" w:hAnsi="Times New Roman;sans-serif"/>
          <w:b w:val="false"/>
          <w:i/>
          <w:color w:val="000000"/>
          <w:sz w:val="20"/>
        </w:rPr>
        <w:t>Tangible equity per share</w:t>
      </w:r>
      <w:r>
        <w:rPr>
          <w:color w:val="000000"/>
        </w:rPr>
        <w:t xml:space="preserve"> </w:t>
      </w:r>
      <w:r>
        <w:rPr>
          <w:rFonts w:ascii="Times New Roman;sans-serif" w:hAnsi="Times New Roman;sans-serif"/>
          <w:b w:val="false"/>
          <w:color w:val="000000"/>
          <w:sz w:val="20"/>
        </w:rPr>
        <w:t>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w:t>
      </w:r>
    </w:p>
    <w:p>
      <w:pPr>
        <w:pStyle w:val="TextBody"/>
        <w:bidi w:val="0"/>
        <w:spacing w:lineRule="auto" w:line="288" w:before="0" w:after="120"/>
        <w:jc w:val="both"/>
        <w:rPr/>
      </w:pPr>
      <w:r>
        <w:rPr>
          <w:rFonts w:ascii="Times New Roman;sans-serif" w:hAnsi="Times New Roman;sans-serif"/>
          <w:b w:val="false"/>
          <w:i/>
          <w:color w:val="000000"/>
          <w:sz w:val="20"/>
        </w:rPr>
        <w:t>Net retention</w:t>
      </w:r>
      <w:r>
        <w:rPr>
          <w:color w:val="000000"/>
        </w:rPr>
        <w:t xml:space="preserve"> </w:t>
      </w:r>
      <w:r>
        <w:rPr>
          <w:rFonts w:ascii="Times New Roman;sans-serif" w:hAnsi="Times New Roman;sans-serif"/>
          <w:b w:val="false"/>
          <w:color w:val="000000"/>
          <w:sz w:val="20"/>
        </w:rPr>
        <w:t>is defined as the ratio of net written premiums to gross written premiums.</w:t>
      </w:r>
    </w:p>
    <w:p>
      <w:pPr>
        <w:pStyle w:val="TextBody"/>
        <w:bidi w:val="0"/>
        <w:spacing w:lineRule="auto" w:line="288" w:before="0" w:after="120"/>
        <w:jc w:val="both"/>
        <w:rPr/>
      </w:pPr>
      <w:r>
        <w:rPr>
          <w:rFonts w:ascii="Times New Roman;sans-serif" w:hAnsi="Times New Roman;sans-serif"/>
          <w:b w:val="false"/>
          <w:i/>
          <w:color w:val="000000"/>
          <w:sz w:val="20"/>
        </w:rPr>
        <w:t>Gross investment yield</w:t>
      </w:r>
      <w:r>
        <w:rPr>
          <w:color w:val="000000"/>
        </w:rPr>
        <w:t xml:space="preserve"> </w:t>
      </w:r>
      <w:r>
        <w:rPr>
          <w:rFonts w:ascii="Times New Roman;sans-serif" w:hAnsi="Times New Roman;sans-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Unless specified otherwise, all references to our defined metrics above in this </w:t>
      </w:r>
      <w:r>
        <w:rPr>
          <w:rFonts w:ascii="Times New Roman;sans-serif" w:hAnsi="Times New Roman;sans-serif"/>
          <w:b w:val="false"/>
          <w:i/>
          <w:color w:val="000000"/>
          <w:sz w:val="20"/>
        </w:rPr>
        <w:t xml:space="preserve">Management’s Discussion and Analysis of Financial Condition and Results of Operations </w:t>
      </w:r>
      <w:r>
        <w:rPr>
          <w:rFonts w:ascii="Times New Roman;sans-serif" w:hAnsi="Times New Roman;sans-serif"/>
          <w:b w:val="false"/>
          <w:color w:val="000000"/>
          <w:sz w:val="20"/>
        </w:rPr>
        <w:t>are for our business from continuing operations that is not subject to retroactive reinsurance accounting.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preparing the unaudited condensed consolidated financial statements, we are required to make estimates and assumptions that affect the reported amounts of assets and liabilities and the disclosures of contingent assets and liabilities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date of the condensed consolidated financial statements and the reported amounts of revenues and expenses for the reporting period. Actual results could differ significantly from those estimates.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2023. There have been no significant changes to any of these policies during the current year.</w:t>
      </w: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Recent Strategic Actions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commencing a multi-pronged strategic partnership with Enstar Group Limited ("Enstar"). As part of this, on November 11, 2024, Enstar, through its subsidiary Cavello Bay Reinsurance Limited, entered into (i) a subscription agreement to purchase $12.5 million of the Company’s common shares at a share price of $6.40, in addition to 637,640 shares Enstar previously purchased in the open market, and (ii) an adverse development cover agreement with James River Insurance Company and James River Casualty Company, pursuant to which, in exchange for a premium of $52.8 million (less an amount equal to the federal excise tax payable on the premium) to be paid by the ceding companies, Cavello Bay will reinsure, effective January 1, 2024, 100% of the losses associated with the ceding companies’ Excess &amp; Surplus Lines segment portfolio losses attaching to premium earned during 2010-2023 (both years inclusive), excluding, among others, losses related to commercial auto policies issued to a former large insured or its affiliates, subject to a retention by the ceding companies of $1,183.7 million (the limit of the E&amp;S ADC executed on July 2, 2024) and up to an aggregate limit of $75.0 million (such transactions together, the “Enstar Transactions”). The Company expects to recognize a reduction in pre-tax income of $52.8 million in connection with the adverse development cover upon closing. The Enstar Transactions are subject to satisfaction or waiver of customary closing conditions, including approval of the adverse development cover by the Bermuda Monetary Authority.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2024, the Company amended the Certificate of Designations setting forth the terms of the Series A Preferred Shares (the “Certificate of Designations”) held by GPC Partners to, among other things, (i) convert $37.5 million of the outstanding Series A Preferred Shares to common stock at a per share price of $6.40 (the “Minimum Price”), (ii) increase the voluntary conversion price from 127.5% to 130% of the Minimum Price, (iv) increase the mandatory conversion price from 130% to 200% of the voluntary conversion price, (v) delay the first date on which the dividend rate re-sets from March 1, 2027 to October 1, 2029, (vi) cap the dividend rate at 8%, (vii) eliminate the adverse development anti-dilution adjustment provision, and (viii) limit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also reduced its quarterly common dividend to $0.01 per share beginning with its next dividend payable on December 31,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With these announcements, the Board of Directors have concluded the strategic review process announced in November of 2023. While the strategic review process has been completed, in the ordinary course of business the Company expects to consider beneficial opportunities.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James River Insurance Company and James River Casualty Company (together, the “Ceding Companies”), two of the Company's principal operating subsidiaries,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E&amp;S ADC was effective January 1, 2024 (the “Effective Date”) and applies to the Ceding Companies’ Excess &amp; Surplus Lines segment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the Ceding Companies equal to $313.2 million, (b) the Ceding Companies continue to manage claims and to manage and collect the benefit of other existing third-party reinsurance on the Subject Business, which third-party reinsurance inures to the benefit of the E&amp;S ADC, and (c) the Ceding Companies are entitled to a profit commission of 50% of any favorable development on the business ceded to State National below 104.5% of carried reserves, which profit commission shall not exceed $87.0 million in total.</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Sale of JRG Re</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8, 2023, the Company entered into a Stock Purchase Agreement (the “Stock Purchase Agreement”) with Fleming Intermediate Holdings LLC, a Cayman Islands limited liability company (the “Buyer”). Pursuant to the Stock Purchase Agreement, and on the terms and subject to the conditions therein, the Buyer agreed to purchase from the Company all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common shares of JRG Re. JRG Re comprised the remaining operations of the former Casualty Reinsurance segment, and the sale of JRG Re, which closed on April 16, 2024, resulted in the Company’s disposition of its casualty reinsurance business and related assets.</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Stock Purchase Agreement, the aggregate purchase price received by the Company, after giving effect to estimated adjustments based on changes in JRG Re’s adjusted net worth between March 31, 2023 and the closing, totaled approximately $291.4 million (the “Closing Date Purchase Price”). The aggregate Closing Date Purchase Price was comprised of (i) $152.4 million paid in cash by the Buyer and (ii) an aggregate $139.0 million dividend and distribution from contributed surplus by JRG Re to the Company. In accordance with the Stock Purchase Agreement, the cash portion of the purchase price was calculated based on an estimated balance sheet of JRG Re as of the date of closing. The estimated balance sheet is subject to final post-closing adjustments, which resulted in the downward adjustment to the purchase price discussed below. Additionally, the Buyer may pay an additional $2.5 million to the Company in the event that certain conditions outlined in the Stock Purchase Agreement are met on the date that is nine months following the date of closing.</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Buyer delivered a closing statement to the Company, and pursuant to the procedures in the Stock Purchase Agreement, the Company has given its notice of disagreement with the Buyer’s closing statement. In its notice of disagreement, the Company (i) agreed with an $11.4 million downward adjustment to the Closing Date Purchase Price due to losses from JRG Re’s operations between the date of the balance sheet used to produce the estimated closing statement and the Closing Date, which downward adjustment is included in “Other Liabilities” on the Company’s Balance Sheet at September 30, 2024 (and was paid to the Buyer on October 18, 2024), and (ii) disputed $54.1 million in aggregate downward adjustments to the Closing Date Purchase Price claimed by the Buyer, which the Company believes are unsupported by the facts known to the Company and the terms of the Stock Purchase Agreement. The Stock Purchase Agreement provides procedures for resolving disputes between the parties regarding the closing statement and it is possible that the resolution of these disputes could result in a significant reduction to the amount of the purchase price.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have determined that the sale of JRG Re met the criteria to be classified as held for sale at December 31, 2023 and that the sale represents a strategic shift that will have a major effect on the Company's operations. Accordingly, the results of JRG Re's operations have been presented as discontinued operations, and the assets and liabilities of JRG Re at December 31, 2023 have been classified as held for sale and segregated for all periods presented in this interim report on Form 10-Q.</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$139.0 million pre-closing dividend was completed in the first quarter of 2024. It included the forgiveness of $133.2 million owed from JRG Holdings to JRG Re and $5.8 million paid in cash to JRG Holdings. In the fourth quarter of 2023, after giving effect to the pre-closing dividend, we recorded an estimated loss on sale of $80.4 million to write down the carrying value of JRG Re to its estimated fair value based upon the estimated sales price of the transaction less costs to sell and other adjustments in accordance with the Stock Purchase Agreement. In the nine months ended September 30, 2024, the estimated loss on the sale was revised to $78.3 million. The year to date loss on disposal of $2.7 million includes the $2.1 million gain for the change in the estimated loss on sale and selling costs incurred of $4.8 million.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Reduction of Workers' Compensation Book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2023, the Company non-renewed its large California workers' compensation program in the Specialty Admitted Insurance segment. This action was taken due to persistent rate pressure and tighter reinsurance capacity. Gross written premiums for the program were $2.9 million and $20.8 million for the three and nine months ended September 30, 2024 compared to $25.7 million and $79.0 million in the respective prior year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25, 2023, the Company announced that certain of its subsidiaries entered into an agreement to sell the renewal rights to the Individual Risk Workers’ Compensation (“IRWC”) business in the Specialty Admitted Insurance segment. The transaction included the full operations of the business, including underwriting, loss control and claims, and transfer of the employees supporting the business. The transaction closed on September 29, 2023. Gross written premiums for IRWC were $513,000 and $3.8 million for the three and nine months ended September 30, 2024 compared to $11.0 million and $35.3 million in the respective prior year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sales of JRG Re and the renewal rights to the IRWC business are aligned with our strategy to focus our resources on core businesses where we have meaningful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w:t>
      </w:r>
    </w:p>
    <w:tbl>
      <w:tblPr>
        <w:tblW w:w="10511" w:type="dxa"/>
        <w:jc w:val="left"/>
        <w:tblInd w:w="0" w:type="dxa"/>
        <w:tblLayout w:type="fixed"/>
        <w:tblCellMar>
          <w:top w:w="28" w:type="dxa"/>
          <w:left w:w="28" w:type="dxa"/>
          <w:bottom w:w="28" w:type="dxa"/>
          <w:right w:w="28" w:type="dxa"/>
        </w:tblCellMar>
      </w:tblPr>
      <w:tblGrid>
        <w:gridCol w:w="617"/>
        <w:gridCol w:w="291"/>
        <w:gridCol w:w="293"/>
        <w:gridCol w:w="211"/>
        <w:gridCol w:w="826"/>
        <w:gridCol w:w="271"/>
        <w:gridCol w:w="109"/>
        <w:gridCol w:w="109"/>
        <w:gridCol w:w="109"/>
        <w:gridCol w:w="211"/>
        <w:gridCol w:w="826"/>
        <w:gridCol w:w="271"/>
        <w:gridCol w:w="109"/>
        <w:gridCol w:w="109"/>
        <w:gridCol w:w="109"/>
        <w:gridCol w:w="306"/>
        <w:gridCol w:w="310"/>
        <w:gridCol w:w="367"/>
        <w:gridCol w:w="109"/>
        <w:gridCol w:w="109"/>
        <w:gridCol w:w="109"/>
        <w:gridCol w:w="211"/>
        <w:gridCol w:w="976"/>
        <w:gridCol w:w="271"/>
        <w:gridCol w:w="109"/>
        <w:gridCol w:w="109"/>
        <w:gridCol w:w="109"/>
        <w:gridCol w:w="211"/>
        <w:gridCol w:w="976"/>
        <w:gridCol w:w="271"/>
        <w:gridCol w:w="109"/>
        <w:gridCol w:w="109"/>
        <w:gridCol w:w="109"/>
        <w:gridCol w:w="306"/>
        <w:gridCol w:w="310"/>
        <w:gridCol w:w="544"/>
      </w:tblGrid>
      <w:tr>
        <w:trPr/>
        <w:tc>
          <w:tcPr>
            <w:tcW w:w="61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2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(3.6)</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retention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466,863 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(10.5)</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183,673 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526,052 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(123,361)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34.8 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(360,734)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10.8 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(loss) profit </w:t>
            </w:r>
            <w:r>
              <w:rPr>
                <w:rFonts w:ascii="Times New Roman;sans-serif" w:hAnsi="Times New Roman;sans-serif"/>
                <w:b w:val="false"/>
                <w:color w:val="000000"/>
                <w:sz w:val="16"/>
              </w:rPr>
              <w:t>(1), (2)</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64.0 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21.7 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on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482.9 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158.5 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(46.1)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(72.1)</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(5.5)</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4.9 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continuing operations before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(98.0)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expense on continuing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(92.0)</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continuing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from discontinued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(68.7)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(39,381)</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Series A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(24,228)</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net operating (loss) income </w:t>
            </w:r>
            <w:r>
              <w:rPr>
                <w:rFonts w:ascii="Times New Roman;sans-serif" w:hAnsi="Times New Roman;sans-serif"/>
                <w:b w:val="false"/>
                <w:color w:val="000000"/>
                <w:sz w:val="16"/>
              </w:rPr>
              <w:t>(1)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(28,196)</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(loss) profit and adjusted net operating (loss) income are non-GAAP measures. See “Reconciliation of Non-GAAP Measures.”</w:t>
      </w:r>
    </w:p>
    <w:p>
      <w:pPr>
        <w:pStyle w:val="TextBody"/>
        <w:bidi w:val="0"/>
        <w:spacing w:lineRule="auto" w:line="288" w:before="0" w:after="180"/>
        <w:ind w:left="0" w:right="0" w:hanging="360"/>
        <w:jc w:val="left"/>
        <w:rPr/>
      </w:pPr>
      <w:r>
        <w:rPr>
          <w:rFonts w:ascii="Times New Roman;sans-serif" w:hAnsi="Times New Roman;sans-serif"/>
          <w:b w:val="false"/>
          <w:i/>
          <w:color w:val="000000"/>
          <w:sz w:val="20"/>
        </w:rPr>
        <w:t>(2)Included in underwriting results for the three and nine months ended September 30, 2024 is gross fee income of $5.2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$16.1 million, respectively ($6.8 million and $18.3 million in the respective prior year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i/>
          <w:color w:val="000000"/>
          <w:sz w:val="20"/>
        </w:rPr>
        <w:t>Three months ended September 30, 2024 and</w:t>
      </w:r>
      <w:r>
        <w:rPr>
          <w:color w:val="000000"/>
        </w:rPr>
        <w:t xml:space="preserve"> </w:t>
      </w:r>
      <w:r>
        <w:rPr>
          <w:rFonts w:ascii="Times New Roman;sans-serif" w:hAnsi="Times New Roman;sans-serif"/>
          <w:b/>
          <w:i/>
          <w:color w:val="000000"/>
          <w:sz w:val="20"/>
        </w:rPr>
        <w:t>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reported a net loss from continuing operations of $38.1 million for the three months ended September 30, 2024. This compares to $23.7 million of net income from continuing operations for the three months ended September 30, 2023. The net loss from continuing operations in the current quarter was largely attributable to $57.0 million of adverse development recorded in the Excess and Surplus Lines segment including a $52.2 million reserve charge upon execution of the E&amp;S ADC (consideration paid in excess of initial reserves). Adjusted net operating loss was $28.2 million in the three months ended September 30, 2024 compared to adjusted net operating income of $18.9 million in the prior year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results were a loss of $56.8 million (combined ratio of 135.5%) in the three months ended September 30, 2024 compared to income of $11.8 million (combined ratio of 93.6%) in the three months ended September 30, 2023. The underwriting results for the three months ended September 30, 2024 were impacted by net adverse reserve development (see loss ratio discussion below) as well as $5.2 million of premium adjustments associated with prior years including reinstatement premium in the Excess and Surplus Lines segment, which reduced net written and net earned premiums, and underwriting profit. The impact of the premium adjustments was a 4.3 percentage point increase in our combined ratio in the quarter.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loss ratio increased from 67.2% in the prior year quarter to 104.1% in the current year quarter primarily driven by higher net adverse reserve development. Net adverse reserve development on prior accident years (excluding adverse prior year development from continuing operations that is subject to retroactive reinsurance accounting - see discussion below) was $56.9 million or 35.6 points adverse in the three months ended September 30, 2024 compared to $7.8 million or 4.3 points adverse in the three months ended September 30, 2023. The adverse reserve development in the three months ended September 30, 2024 included $57.0 million of net adverse development in the Excess and Surplus Lines segment, including the $52.2 million reserve charge upon execution of the E&amp;S ADC (consideration paid in excess of initial reserves). A higher current accident year loss ratio and premium adjustments associated with prior years including reinstatement premium in the Excess and Surplus Lines segment (+3.3 percentage point impact) also contributed to the higher consolidated loss ratio in the current period.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expense ratio increased from 26.4% in the prior year quarter to 31.4% in the current year quarter largely driven by higher compensation and bad debt expenses, and lower net earned premiums in the Excess and Surplus Lines segment. Premium adjustments associated with prior years including reinstatement premium in the Excess and Surplus Lines segment represented a 1.0 percentage point increase in the expense ratio for the current year quarter.</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Investment income grew by $1.8 million or 8.1% in the three months ended September 30, 2024 compared to the same period in the prior year driven primarily by higher gains from our private investments. Net realized and unrealized gains on investments for the three months ended September 30, 2024 includes $4.2 million of favorable mark-to-market adjustments on our equity securities and bank loan participations, reflecting increases in their fair values in the period. This compares to $1.1 million of favorable mark-to-market adjustments on equity securities and bank loan participations in the prior year period (see </w:t>
      </w:r>
      <w:r>
        <w:rPr>
          <w:rFonts w:ascii="Times New Roman;sans-serif" w:hAnsi="Times New Roman;sans-serif"/>
          <w:b w:val="false"/>
          <w:i/>
          <w:color w:val="000000"/>
          <w:sz w:val="20"/>
        </w:rPr>
        <w:t>Investing Results</w:t>
      </w:r>
      <w:r>
        <w:rPr>
          <w:color w:val="000000"/>
        </w:rPr>
        <w:t xml:space="preserve"> </w:t>
      </w:r>
      <w:r>
        <w:rPr>
          <w:rFonts w:ascii="Times New Roman;sans-serif" w:hAnsi="Times New Roman;sans-serif"/>
          <w:b w:val="false"/>
          <w:color w:val="000000"/>
          <w:sz w:val="20"/>
        </w:rPr>
        <w:t>below).</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definitive agreement on November 8, 2023 to sell JRG Re. The sale closed on April 16, 2024. Discontinued operations for the three months ended September 30, 2024 reflect a $1.3 million increase in the loss on disposal resulting from certain transaction-related expenses associated with the sale. Discontinued operations for the three months ended September 30, 2023 include a $4.2 million operating loss for JRG Re in the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results primarily reflect the lower underwriting results. Our adjusted net operating (loss) return on tangible equity was (23.1)% for the three months ended September 30, 2024 compared to a 14.0% return for the three months ended September 30,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Nine Months Ended September 30, 2024 and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reported a net loss from continuing operations of $91,000 for the nine months ended September 30, 2024 compared to net income from continuing operations of $41.2 million for the nine months ended September 30, 2023. The net loss from continuing operations in the current year was largely attributable to $67.7 million of adverse development recorded in the Excess and Surplus Lines segment including the $52.2 million reserve charge upon execution of the E&amp;S ADC (consideration paid in excess of initial reserves). Adjusted net operating loss was $700,000 for the nine months ended September 30, 2024 compared to adjusted net operating income of $37.9 million in the respective prior year period.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Underwriting results were a loss of $47.4 million (combined ratio of 109.6%) for the nine months ended September 30, 2024 compared to profit of $21.0 million (combined ratio of 96.0%) for the nine months ended September 30, 2023. The underwriting loss in the current year was largely driven by net adverse reserve development (see loss ratio discussion below). Underwriting results for the nine month periods also include $6.4 million and $12.3 million of premium adjustments associated with prior years including reinstatement premium in the Excess and Surplus Lines segment which reduced net written and net earned premiums, and underwriting profit. The impact of the premium adjustments was a 1.4 and 2.2 percentage point increase in our combined ratios in the respective nine month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loss ratios for the nine month periods include net reserve development on prior accident years (excluding adverse prior year development from continuing operations that is subject to retroactive reinsurance accounting – see discussion below) that was $67.1 million or 13.6 points adverse in the nine months ended September 30, 2024 compared to $6.6 million or 1.3 points adverse in the nine months ended September 30, 2023. The adverse reserve development in the nine months ended September 30, 2024 included $67.7 million of net adverse development in the Excess and Surplus Lines segment, including the $52.2 million reserve charge upon execution of the E&amp;S ADC (consideration paid in excess of initial reserves). The premium adjustments associated with prior years including reinstatement premium also impacted the loss ratios reflecting increases of 1.1 and 1.6 percentage points in the respective nine month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expense ratio increased from 27.4% in the prior year to 28.8% in the current year reflecting a higher current year expense ratio for the Excess and Surplus Lines segment due to higher compensation expenses, partially offset by a lower current year expense ratio for the Specialty Admitted Insurance segment driven by lower commissions and lower expenses for compensation and taxes, licenses, and fees. Expenses for the Corporate and Other segment were higher due to higher compensation, insurance and outside professional service expenses in the current year.</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Investment income grew by $12.7 million or 21.7% in the nine months ended September 30, 2024 compared to the same period in the prior year driven by higher yields and higher invested assets in our continuing operations following the commutation of an internal quota share arrangement with JRG Re in the second and third quarters of 2023. Net realized and unrealized gains on investments for the nine months ended September 30, 2024 include $7.0 million of favorable mark-to-market adjustments on our equity securities and bank loan participations reflecting increases in their fair values in the period compared to $4.9 million of favorable mark-to-market adjustments on equity securities and bank loan participations in the prior year period (see </w:t>
      </w:r>
      <w:r>
        <w:rPr>
          <w:rFonts w:ascii="Times New Roman;sans-serif" w:hAnsi="Times New Roman;sans-serif"/>
          <w:b w:val="false"/>
          <w:i/>
          <w:color w:val="000000"/>
          <w:sz w:val="20"/>
        </w:rPr>
        <w:t>Investing Results</w:t>
      </w:r>
      <w:r>
        <w:rPr>
          <w:color w:val="000000"/>
        </w:rPr>
        <w:t xml:space="preserve"> </w:t>
      </w:r>
      <w:r>
        <w:rPr>
          <w:rFonts w:ascii="Times New Roman;sans-serif" w:hAnsi="Times New Roman;sans-serif"/>
          <w:b w:val="false"/>
          <w:color w:val="000000"/>
          <w:sz w:val="20"/>
        </w:rPr>
        <w:t>below). Interest expense was $891,000 higher in the nine months ended September 30, 2024 compared to the same period in the prior year driven by higher interest rates on our variable rate senior and trust preferred debt. The applicable rates on our debt reset periodically and are structured as SOFR plus a margin or spread.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definitive agreement on November 8, 2023 to sell JRG Re. The sale closed on April 16, 2024 and discontinued operations for both periods include the operating results of JRG Re which were a loss of $13.6 million for the nine months ended September 30, 2024 compared to income of $1.3 million in the nine months ended September 30, 2023. The current year loss from discontinued operations primarily reflects net adverse development of $7.1 million on treaties not subject to the Casualty Re loss portfolio transfer and $9.5 million of realized and unrealized losses on fixed maturity securities. Discontinued operations in the current year also includes $4.8 million of certain transaction-related expenses associated with the sale and a change in the estimate of the loss on sale which together resulted in a $2.7 million loss on disposal in the current year.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results declined from the prior year primarily reflecting lower underwriting results with a partial offset for higher investment income. Growth in tangible equity of 1.3% was largely driven by unrealized gains on fixed maturities in other comprehensive income and the impact of retroactive reinsurance benefits. Our 0.2% adjusted net operating loss on tangible equity for the nine months ended September 30, 2024 compares to a 12.5% return for the nine months ended September 30, 2023.</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Commercial Auto Loss Portfolio Transfer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27, 2021, James River Insurance Company and James River Casualty Company (together, “James River”), two of the Company’s principal operating subsidiaries, entered into a loss portfolio transfer transaction (the “Commercial Auto LPT”) with Aleka Insurance, Inc. (“Aleka”), a captive insurance company affiliate of Rasier LLC, to reinsure substantially all of the Excess and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2024, James River Insurance Company and James River Casualty Company (together, the “Ceding Companies”)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E&amp;S ADC was effective January 1, 2024 (the “Effective Date”) and applies to the Ceding Companies’ Excess &amp; Surplus Lines segment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the Ceding Companies equal to $313.2 million, (b) the Ceding Companies continue to manage claims and to manage and collect the benefit of other existing third-party reinsurance on the Subject Business, which third-party reinsurance shall inure to the benefit of the E&amp;S ADC, and (c)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Ceding Companies are entitled to a profit commission of 50% of any favorable development on the business ceded to State National below 104.5% of carried reserves, which profit commission shall not exceed $87.0 million in total.</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Retroactive Reinsurance Accounting</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reevaluates the remaining reserves subject to the Commercial Auto LPT and the E&amp;S ADC, and when recognized adverse prior year development on the subject business causes the cumulative amounts ceded under the loss portfolio transfer to exceed the consideration paid, the loss portfolio transfer moves into a gain position subject to retroactive reinsurance accounting under GAAP. Gains are deferred under retroactive reinsurance accounting and recognized in earnings in proportion to actual paid recoveries under the loss portfolio transfer using the recovery method. While the deferral of gains can introduce volatility in our results in the short-term, over the life of the contract, we would expect no economic impact to the Company as long as the counterparty performs under the contract. The impact of retroactive reinsurance accounting is not indicative of our current and ongoing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due to adverse paid and reported loss trends on the legacy Rasier business, the Company recognized adverse prior year development of $914,000 and $2.8 million, respectively ($7.1 million and $60.6 million in the respective prior year periods), on the net reserves subject to the Commercial Auto LPT, resulting in corresponding additional amounts ceded under the Commercial Auto LPT. As a result, the cumulative amounts ceded under the Commercial Auto LPT exceed the consideration paid, putting the Commercial Auto LPT into a gain position. The Company has applied retroactive reinsurance accounting to the loss portfolio transfer. Retroactive reinsurance benefits of $2.2 million and $11.8 million for the three and nine months ended September 30, 2024, respectively ($10.2 million and $54.4 million in the respective prior year periods), were recorded in losses and loss adjustment expenses on the Condensed Consolidated Statements of Income and Comprehensive Income (Loss) using the recovery method. The cumulative amounts ceded under the loss portfolio transfer were $459.1 million and $456.2 million as of September 30, 2024 and December 31, 2023, respectively. The deferred retroactive reinsurance gain related to the Commercial Auto LPT was $11.8 million and $20.7 million at September 30, 2024 and December 31, 2023,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September 30, 2024, the Company recognized $19.2 million of net adverse development on E&amp;S business subject to the E&amp;S ADC and retroactive reinsurance accounting which put the E&amp;S ADC into a gain position. Retroactive reinsurance accounting was applied, resulting in a deferred retroactive reinsurance gain related to the E&amp;S ADC of $19.2 million at September 30, 2024. The Company also recognized a reserve charge upon execution of the contract (consideration paid in excess of initial reserves) of $52.2 million, which was recorded as adverse development within losses and loss adjustment expenses in the three and nine months ended September 30, 2024. The Company has $75.9 million of aggregate limit remaining on the E&amp;S ADC at September 30, 2024.</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Premiums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Insurance premiums are earned ratably over the terms of our insurance policies, generally twelve months. The following table summarizes the change in premium volume by component and business segment:</w:t>
      </w:r>
    </w:p>
    <w:tbl>
      <w:tblPr>
        <w:tblW w:w="10205" w:type="dxa"/>
        <w:jc w:val="left"/>
        <w:tblInd w:w="0" w:type="dxa"/>
        <w:tblLayout w:type="fixed"/>
        <w:tblCellMar>
          <w:top w:w="28" w:type="dxa"/>
          <w:left w:w="28" w:type="dxa"/>
          <w:bottom w:w="28" w:type="dxa"/>
          <w:right w:w="28" w:type="dxa"/>
        </w:tblCellMar>
      </w:tblPr>
      <w:tblGrid>
        <w:gridCol w:w="603"/>
        <w:gridCol w:w="529"/>
        <w:gridCol w:w="533"/>
        <w:gridCol w:w="211"/>
        <w:gridCol w:w="826"/>
        <w:gridCol w:w="109"/>
        <w:gridCol w:w="109"/>
        <w:gridCol w:w="109"/>
        <w:gridCol w:w="109"/>
        <w:gridCol w:w="211"/>
        <w:gridCol w:w="826"/>
        <w:gridCol w:w="109"/>
        <w:gridCol w:w="109"/>
        <w:gridCol w:w="109"/>
        <w:gridCol w:w="109"/>
        <w:gridCol w:w="277"/>
        <w:gridCol w:w="277"/>
        <w:gridCol w:w="367"/>
        <w:gridCol w:w="109"/>
        <w:gridCol w:w="109"/>
        <w:gridCol w:w="109"/>
        <w:gridCol w:w="211"/>
        <w:gridCol w:w="976"/>
        <w:gridCol w:w="109"/>
        <w:gridCol w:w="109"/>
        <w:gridCol w:w="109"/>
        <w:gridCol w:w="109"/>
        <w:gridCol w:w="211"/>
        <w:gridCol w:w="976"/>
        <w:gridCol w:w="109"/>
        <w:gridCol w:w="109"/>
        <w:gridCol w:w="109"/>
        <w:gridCol w:w="109"/>
        <w:gridCol w:w="277"/>
        <w:gridCol w:w="277"/>
        <w:gridCol w:w="546"/>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1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0.6 </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(4.1)</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(7.7)</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(26.2)</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(10.5)</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(11.9)</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(6.7)</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526,052 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w:t>
            </w:r>
          </w:p>
        </w:tc>
        <w:tc>
          <w:tcPr>
            <w:tcW w:w="5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Gross written premiums for the Excess and Surplus Lines segment (which represents 68.6% of our consolidated gross written premiums from continuing operations in the nine months ended September 30, 2024) were 6.0% higher in the three months ended September 30, 2024 (0.6% higher for the nine months ended September 30, 2024) driven by growth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casualty divisions. Amid moderating rate increases and increased competition, we are remaining selective in our Excess Property portfolio, resulting in a gross written premium decline of 20.7% in that line of business for the nine months ended September 30, 2024. Submission growth for Core E&amp;S lines (excluding commercial auto) increased 10.0% and 7.5% over the prior year three and nine-month periods, respectively. Year-to-date, the number of bound policies declined 3.2% and average premium size decreased 8.4%. Renewal rates for the Excess and Surplus Lines segment were up 8.6% and 9.4% compared to the three and nine months ended September 30, 2023, respectively. The change in gross written premiums was notable in several divisions as shown below:</w:t>
      </w:r>
    </w:p>
    <w:tbl>
      <w:tblPr>
        <w:tblW w:w="10205" w:type="dxa"/>
        <w:jc w:val="center"/>
        <w:tblInd w:w="0" w:type="dxa"/>
        <w:tblLayout w:type="fixed"/>
        <w:tblCellMar>
          <w:top w:w="28" w:type="dxa"/>
          <w:left w:w="28" w:type="dxa"/>
          <w:bottom w:w="28" w:type="dxa"/>
          <w:right w:w="28" w:type="dxa"/>
        </w:tblCellMar>
      </w:tblPr>
      <w:tblGrid>
        <w:gridCol w:w="820"/>
        <w:gridCol w:w="718"/>
        <w:gridCol w:w="575"/>
        <w:gridCol w:w="211"/>
        <w:gridCol w:w="826"/>
        <w:gridCol w:w="109"/>
        <w:gridCol w:w="109"/>
        <w:gridCol w:w="109"/>
        <w:gridCol w:w="109"/>
        <w:gridCol w:w="211"/>
        <w:gridCol w:w="826"/>
        <w:gridCol w:w="109"/>
        <w:gridCol w:w="109"/>
        <w:gridCol w:w="109"/>
        <w:gridCol w:w="109"/>
        <w:gridCol w:w="270"/>
        <w:gridCol w:w="273"/>
        <w:gridCol w:w="367"/>
        <w:gridCol w:w="109"/>
        <w:gridCol w:w="109"/>
        <w:gridCol w:w="109"/>
        <w:gridCol w:w="211"/>
        <w:gridCol w:w="826"/>
        <w:gridCol w:w="109"/>
        <w:gridCol w:w="109"/>
        <w:gridCol w:w="109"/>
        <w:gridCol w:w="109"/>
        <w:gridCol w:w="211"/>
        <w:gridCol w:w="826"/>
        <w:gridCol w:w="109"/>
        <w:gridCol w:w="109"/>
        <w:gridCol w:w="109"/>
        <w:gridCol w:w="109"/>
        <w:gridCol w:w="270"/>
        <w:gridCol w:w="273"/>
        <w:gridCol w:w="420"/>
      </w:tblGrid>
      <w:tr>
        <w:trPr/>
        <w:tc>
          <w:tcPr>
            <w:tcW w:w="82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0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11.7 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Casualty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9.6 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Manufacturers &amp; Contractors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(0.5)</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(7.6)</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(20.7)</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Core E&amp;S divisions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Core E&amp;S divisions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Auto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(16.5)</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 gross written premium</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0.6 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gross written premiums for the Specialty Admitted Insurance segment (which represents 31.4% of our consolidated gross written premiums for the nine months ended September 30, 2024) are as follows:</w:t>
      </w:r>
    </w:p>
    <w:tbl>
      <w:tblPr>
        <w:tblW w:w="10205" w:type="dxa"/>
        <w:jc w:val="left"/>
        <w:tblInd w:w="0" w:type="dxa"/>
        <w:tblLayout w:type="fixed"/>
        <w:tblCellMar>
          <w:top w:w="28" w:type="dxa"/>
          <w:left w:w="28" w:type="dxa"/>
          <w:bottom w:w="28" w:type="dxa"/>
          <w:right w:w="28" w:type="dxa"/>
        </w:tblCellMar>
      </w:tblPr>
      <w:tblGrid>
        <w:gridCol w:w="814"/>
        <w:gridCol w:w="643"/>
        <w:gridCol w:w="646"/>
        <w:gridCol w:w="211"/>
        <w:gridCol w:w="826"/>
        <w:gridCol w:w="109"/>
        <w:gridCol w:w="109"/>
        <w:gridCol w:w="109"/>
        <w:gridCol w:w="109"/>
        <w:gridCol w:w="211"/>
        <w:gridCol w:w="826"/>
        <w:gridCol w:w="109"/>
        <w:gridCol w:w="109"/>
        <w:gridCol w:w="109"/>
        <w:gridCol w:w="109"/>
        <w:gridCol w:w="274"/>
        <w:gridCol w:w="274"/>
        <w:gridCol w:w="367"/>
        <w:gridCol w:w="109"/>
        <w:gridCol w:w="109"/>
        <w:gridCol w:w="109"/>
        <w:gridCol w:w="211"/>
        <w:gridCol w:w="826"/>
        <w:gridCol w:w="109"/>
        <w:gridCol w:w="109"/>
        <w:gridCol w:w="109"/>
        <w:gridCol w:w="109"/>
        <w:gridCol w:w="211"/>
        <w:gridCol w:w="826"/>
        <w:gridCol w:w="109"/>
        <w:gridCol w:w="109"/>
        <w:gridCol w:w="109"/>
        <w:gridCol w:w="109"/>
        <w:gridCol w:w="272"/>
        <w:gridCol w:w="275"/>
        <w:gridCol w:w="421"/>
      </w:tblGrid>
      <w:tr>
        <w:trPr/>
        <w:tc>
          <w:tcPr>
            <w:tcW w:w="814"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0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Fronting and program premium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(5.4)</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Individual risk workers’ compensation premium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(95.3)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(89.2)</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2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gross written premium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fronting written premium decreased from the prior year driven by the non-renewal of a large California workers' compensation program in the prior year. Excluding the non-renewed program, our fronting written premium grew by 8.7% and 14.4% for the three and nine months ended September 30, 2024, respectively. Our largest fronting relationship represented $42.4 million and $142.9 million (42.3% and 42.4%) of segment gross written premium for the three and nine months ended September 30, 2024, respectively, compared to $41.2 million and $121.8 million (32.8% and 31.5%) for the three and nine months ended September 30, 2023, respectively. The Company has received notifications of non-renewal for this relationship which will decrease future written premiums over time, and result in a full run-off of the business beginning July 1, 2025. Individual risk workers' compensation premium declined due to the sale of the renewal rights to that business in the prior year third quarter.</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Net Retention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net premium retention is summarized by segment as follows:</w:t>
      </w:r>
    </w:p>
    <w:tbl>
      <w:tblPr>
        <w:tblW w:w="7015" w:type="dxa"/>
        <w:jc w:val="left"/>
        <w:tblInd w:w="0" w:type="dxa"/>
        <w:tblLayout w:type="fixed"/>
        <w:tblCellMar>
          <w:top w:w="28" w:type="dxa"/>
          <w:left w:w="28" w:type="dxa"/>
          <w:bottom w:w="28" w:type="dxa"/>
          <w:right w:w="28" w:type="dxa"/>
        </w:tblCellMar>
      </w:tblPr>
      <w:tblGrid>
        <w:gridCol w:w="911"/>
        <w:gridCol w:w="801"/>
        <w:gridCol w:w="808"/>
        <w:gridCol w:w="255"/>
        <w:gridCol w:w="256"/>
        <w:gridCol w:w="333"/>
        <w:gridCol w:w="134"/>
        <w:gridCol w:w="134"/>
        <w:gridCol w:w="134"/>
        <w:gridCol w:w="255"/>
        <w:gridCol w:w="256"/>
        <w:gridCol w:w="333"/>
        <w:gridCol w:w="109"/>
        <w:gridCol w:w="109"/>
        <w:gridCol w:w="109"/>
        <w:gridCol w:w="255"/>
        <w:gridCol w:w="256"/>
        <w:gridCol w:w="313"/>
        <w:gridCol w:w="126"/>
        <w:gridCol w:w="126"/>
        <w:gridCol w:w="126"/>
        <w:gridCol w:w="255"/>
        <w:gridCol w:w="256"/>
        <w:gridCol w:w="365"/>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Lower net premium retention for the Excess and Surplus Lines segment in the nine months ended September 30, 2024 was primarily driven by the renewal of a quota share treaty, effective July 1, 2023, that increased premium cessions across all underwriting divisions other than Excess Casualty and resulted in lower retentions for the segment. The comparative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month periods also include $6.4 million and $12.3 million of premium adjustments associated with prior years including reinstatement premium which reduced net written premiums and the net retention ratios.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premium retention for the Specialty Admitted Insurance segment decreased for the three and nine months ended September 30, 2024 as fronting business, where we retain a much smaller percentage, represents a greater portion of the book following the sale of the renewal rights to the individual risk workers' compensation business in the prior year third quarter. The net retention on the fronting business was 17.7% and 16.8% for the three and nine months ended September 30, 2024, up from 12.5% and 14.9% for the three and nine months ended September 30, 2023 due to the mix of business and changes in reinsurance as coverages renew.</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Segment Results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combined ratios by segment:</w:t>
      </w:r>
    </w:p>
    <w:tbl>
      <w:tblPr>
        <w:tblW w:w="7225" w:type="dxa"/>
        <w:jc w:val="left"/>
        <w:tblInd w:w="0" w:type="dxa"/>
        <w:tblLayout w:type="fixed"/>
        <w:tblCellMar>
          <w:top w:w="28" w:type="dxa"/>
          <w:left w:w="28" w:type="dxa"/>
          <w:bottom w:w="28" w:type="dxa"/>
          <w:right w:w="28" w:type="dxa"/>
        </w:tblCellMar>
      </w:tblPr>
      <w:tblGrid>
        <w:gridCol w:w="911"/>
        <w:gridCol w:w="801"/>
        <w:gridCol w:w="808"/>
        <w:gridCol w:w="308"/>
        <w:gridCol w:w="308"/>
        <w:gridCol w:w="333"/>
        <w:gridCol w:w="134"/>
        <w:gridCol w:w="134"/>
        <w:gridCol w:w="134"/>
        <w:gridCol w:w="255"/>
        <w:gridCol w:w="256"/>
        <w:gridCol w:w="333"/>
        <w:gridCol w:w="109"/>
        <w:gridCol w:w="109"/>
        <w:gridCol w:w="109"/>
        <w:gridCol w:w="308"/>
        <w:gridCol w:w="308"/>
        <w:gridCol w:w="313"/>
        <w:gridCol w:w="126"/>
        <w:gridCol w:w="126"/>
        <w:gridCol w:w="126"/>
        <w:gridCol w:w="255"/>
        <w:gridCol w:w="256"/>
        <w:gridCol w:w="365"/>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Excess and Surplus Lines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Excess and Surplus Lines segment are as follows:</w:t>
      </w:r>
    </w:p>
    <w:tbl>
      <w:tblPr>
        <w:tblW w:w="10205" w:type="dxa"/>
        <w:jc w:val="left"/>
        <w:tblInd w:w="0" w:type="dxa"/>
        <w:tblLayout w:type="fixed"/>
        <w:tblCellMar>
          <w:top w:w="28" w:type="dxa"/>
          <w:left w:w="28" w:type="dxa"/>
          <w:bottom w:w="28" w:type="dxa"/>
          <w:right w:w="28" w:type="dxa"/>
        </w:tblCellMar>
      </w:tblPr>
      <w:tblGrid>
        <w:gridCol w:w="717"/>
        <w:gridCol w:w="395"/>
        <w:gridCol w:w="398"/>
        <w:gridCol w:w="211"/>
        <w:gridCol w:w="826"/>
        <w:gridCol w:w="271"/>
        <w:gridCol w:w="109"/>
        <w:gridCol w:w="109"/>
        <w:gridCol w:w="109"/>
        <w:gridCol w:w="211"/>
        <w:gridCol w:w="826"/>
        <w:gridCol w:w="271"/>
        <w:gridCol w:w="109"/>
        <w:gridCol w:w="109"/>
        <w:gridCol w:w="109"/>
        <w:gridCol w:w="265"/>
        <w:gridCol w:w="265"/>
        <w:gridCol w:w="367"/>
        <w:gridCol w:w="109"/>
        <w:gridCol w:w="109"/>
        <w:gridCol w:w="109"/>
        <w:gridCol w:w="211"/>
        <w:gridCol w:w="826"/>
        <w:gridCol w:w="271"/>
        <w:gridCol w:w="109"/>
        <w:gridCol w:w="109"/>
        <w:gridCol w:w="109"/>
        <w:gridCol w:w="211"/>
        <w:gridCol w:w="826"/>
        <w:gridCol w:w="271"/>
        <w:gridCol w:w="109"/>
        <w:gridCol w:w="109"/>
        <w:gridCol w:w="109"/>
        <w:gridCol w:w="254"/>
        <w:gridCol w:w="257"/>
        <w:gridCol w:w="420"/>
      </w:tblGrid>
      <w:tr>
        <w:trPr/>
        <w:tc>
          <w:tcPr>
            <w:tcW w:w="71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3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217,151 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732,180 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0.6 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5.4 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408,761 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442,923 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(7.7)</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138,892 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157,600 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(11.9)</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424,962 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455,640 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(6.7)</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excluding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45.8 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12.4 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(38,798)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7.2 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1.9 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(loss) profit </w:t>
            </w:r>
            <w:r>
              <w:rPr>
                <w:rFonts w:ascii="Times New Roman;sans-serif" w:hAnsi="Times New Roman;sans-serif"/>
                <w:b w:val="false"/>
                <w:i/>
                <w:color w:val="000000"/>
                <w:sz w:val="16"/>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is a non-GAAP Measure. See “Reconciliation of Non-GAAP Measures.”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Excess and Surplus Lines segment had an underwriting loss of $50.2 million (combined ratio of 136.1%) in the three months ended September 30, 2024 compared to an underwriting profit of $18.3 million (combined ratio of 88.4%) in the three months ended September 30, 2023. The underwriting results for the three months ended September 30, 2024 were impacted by net adverse reserve development (see loss ratio discussion below) and $5.2 million of premium adjustments associated with prior years including reinstatement premium which reduced net written and net earned premiums, and underwriting profit. The impact of the premium adjustments was a 4.9 percentage point increase in our combined ratio in the quarter.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loss ratio for the three months ended September 30, 2024 was higher than the prior year period driven primarily by net adverse reserve development. Net adverse reserve development on prior accident years (excluding adverse prior year development that is subject to retroactive reinsurance accounting - see discussion above) was $57.0 million or 41.1 percentage points adverse in the three months ended September 30, 2024 compared to $7.8 million or 5.0 percentage points adverse in the three months ended September 30, 2023. The adverse reserve development for the three months ended September 30, 2024 included a $52.2 million reserve charge upon execution of the E&amp;S ADC (consideration paid in excess of initial reserves). The loss ratio for the three months ended September 30, 2024 was also impacted by a higher current accident year loss ratio and premium adjustments associated with prior years including reinstatement premium which represented an increase of 4.0 percentage points in the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expense ratio increased from 23.0% in the prior year quarter to 27.9% in the current year quarter reflecting higher compensation and bad debt expenses, and lower net earned premiums. Premium adjustments associated with prior years including reinstatement premium represented a 1.0 percentage point increase in the expense ratio for the current year quarter.</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and 2023, segment underwriting results were a loss of $25.2 million (combined ratio of 105.9%) compared to underwriting profit of $45.4 million (combined ratio of 90.0%), respectively. The underwriting loss in the current year was largely driven by net adverse reserve development (see loss ratio discussion below). Underwriting results for the nine month periods also include $6.4 million and $12.3 million of premium adjustments associated with prior years including reinstatement premium which reduced net written and net earned premiums, and underwriting profit. The impact of the premium adjustments was a 1.5 and 2.4 percentage point increase in our combined ratios in the respective nine month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loss ratios for the nine month periods include net reserve development on prior accident years (excluding adverse prior year development that is subject to retroactive reinsurance accounting - see discussion above) that was $67.7 million or 15.9 percentage points adverse in the nine months ended September 30, 2024 compared to $7.6 million or 1.7 percentage points adverse in the nine months ended September 30, 2023. The adverse reserve development in the nine months ended September 30, 2024 includes a $52.2 million reserve charge upon execution of the E&amp;S ADC (consideration paid in excess of initial reserves). The premium adjustments associated with prior years including reinstatement premium also impacted the loss ratios reflecting increases of 1.2 and 1.8 percentage points in the respective nine month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nine-month expense ratio increased from 22.5% in the prior year to 24.6% in the current year primarily due to higher compensation costs and lower net earned premiums in the current year.</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Specialty Admitted Insurance Segment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the Specialty Admitted Insurance segment are as follows:</w:t>
      </w:r>
    </w:p>
    <w:tbl>
      <w:tblPr>
        <w:tblW w:w="10205" w:type="dxa"/>
        <w:jc w:val="left"/>
        <w:tblInd w:w="0" w:type="dxa"/>
        <w:tblLayout w:type="fixed"/>
        <w:tblCellMar>
          <w:top w:w="28" w:type="dxa"/>
          <w:left w:w="28" w:type="dxa"/>
          <w:bottom w:w="28" w:type="dxa"/>
          <w:right w:w="28" w:type="dxa"/>
        </w:tblCellMar>
      </w:tblPr>
      <w:tblGrid>
        <w:gridCol w:w="671"/>
        <w:gridCol w:w="365"/>
        <w:gridCol w:w="367"/>
        <w:gridCol w:w="211"/>
        <w:gridCol w:w="826"/>
        <w:gridCol w:w="271"/>
        <w:gridCol w:w="109"/>
        <w:gridCol w:w="109"/>
        <w:gridCol w:w="109"/>
        <w:gridCol w:w="211"/>
        <w:gridCol w:w="826"/>
        <w:gridCol w:w="271"/>
        <w:gridCol w:w="109"/>
        <w:gridCol w:w="109"/>
        <w:gridCol w:w="109"/>
        <w:gridCol w:w="266"/>
        <w:gridCol w:w="266"/>
        <w:gridCol w:w="367"/>
        <w:gridCol w:w="109"/>
        <w:gridCol w:w="109"/>
        <w:gridCol w:w="109"/>
        <w:gridCol w:w="211"/>
        <w:gridCol w:w="826"/>
        <w:gridCol w:w="271"/>
        <w:gridCol w:w="109"/>
        <w:gridCol w:w="109"/>
        <w:gridCol w:w="109"/>
        <w:gridCol w:w="211"/>
        <w:gridCol w:w="826"/>
        <w:gridCol w:w="271"/>
        <w:gridCol w:w="109"/>
        <w:gridCol w:w="109"/>
        <w:gridCol w:w="109"/>
        <w:gridCol w:w="308"/>
        <w:gridCol w:w="308"/>
        <w:gridCol w:w="420"/>
      </w:tblGrid>
      <w:tr>
        <w:trPr/>
        <w:tc>
          <w:tcPr>
            <w:tcW w:w="6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4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39"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(13.0)</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written premiums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22,936 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(23.3)</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58,102 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78,777 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(26.2)</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earned premiums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20,834 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26,073 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(20.1)</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69,648 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(1.1)</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(20.7)</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(23.3)</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(37.5)</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Underwriting profit (loss)</w:t>
            </w:r>
            <w:r>
              <w:rPr>
                <w:color w:val="000000"/>
              </w:rPr>
              <w:t xml:space="preserve"> </w:t>
            </w:r>
            <w:r>
              <w:rPr>
                <w:rFonts w:ascii="Times New Roman;sans-serif" w:hAnsi="Times New Roman;sans-serif"/>
                <w:b w:val="false"/>
                <w:i/>
                <w:color w:val="000000"/>
                <w:sz w:val="16"/>
              </w:rPr>
              <w:t>(1), (2)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(8.0)</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219.4 </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Ratios:</w:t>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 year loss ratio</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(1)Underwriting Profit is a non-GAAP Measure. See “Reconciliation of Non-GAAP Measures.”</w:t>
      </w:r>
    </w:p>
    <w:p>
      <w:pPr>
        <w:pStyle w:val="TextBody"/>
        <w:bidi w:val="0"/>
        <w:spacing w:lineRule="auto" w:line="288" w:before="0" w:after="120"/>
        <w:ind w:left="0" w:right="0" w:hanging="360"/>
        <w:jc w:val="left"/>
        <w:rPr/>
      </w:pPr>
      <w:r>
        <w:rPr>
          <w:rFonts w:ascii="Times New Roman;sans-serif" w:hAnsi="Times New Roman;sans-serif"/>
          <w:b w:val="false"/>
          <w:i/>
          <w:color w:val="000000"/>
          <w:sz w:val="20"/>
        </w:rPr>
        <w:t>(2)Underwriting results include gross fee income of $5.2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$16.1 million for the three and nine months ended September 30, 2024, respectively ($6.8 million and $18.3 million in the respective prior year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Specialty Admitted Insurance segment produced underwriting profits of $1.8 million and $2.0 million (combined ratios of 91.3% and 92.5%) in the three months ended September 30, 2024 and 2023, respectively. For the nine months ended September 30, 2024 and 2023, the segment produced underwriting profits of $6.0 million and $1.9 million (combined ratios of 91.4% and 97.3%), respectively. Net favorable development in our loss estimates for prior accident years was $165,000 and $607,000 (0.8 and 0.9 points) in the three and nine months ended September 30, 2024, respectively, compared to $0 and $1.0 million (0.0 and 1.4 points) in the three and nine months ended September 30, 2023, respectively. The segment expense ratio for the current year to date benefited from lower commissions driven by sliding scale and other adjustments on certain programs in the current year, as well as lower expenses for compensation and taxes, licenses, and fees following the reductions to our workers' compensation book in the prior year including the non-renewal of a large California workers' compensation program and the sale of the renewal rights to the individual risk workers' compensation business which included the transfer of employees associated with the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Corporate and Other Segment</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operating expenses for the Corporate and Other segment include personnel costs associated with the Bermuda and U.S. holding companies, professional fees, share based compensation for the full Company, and various other corporate expenses that were not reimbursed by our subsidiaries, including costs associated with rating agencies and strategic initiatives. The expenses are included in our calculation of consolidated underwriting profit, and in our consolidated expense ratio and combined ratio. Total operating expenses of the Corporate and Other segment were $8.4 million and $28.2 million for the three and nine months ended</w:t>
      </w:r>
      <w:r>
        <w:rPr>
          <w:color w:val="000000"/>
        </w:rPr>
        <w:t xml:space="preserve"> </w:t>
      </w:r>
      <w:r>
        <w:rPr>
          <w:rFonts w:ascii="Times New Roman;sans-serif" w:hAnsi="Times New Roman;sans-serif"/>
          <w:b w:val="false"/>
          <w:color w:val="000000"/>
          <w:sz w:val="20"/>
        </w:rPr>
        <w:t>September 30, 2024, respectively ($8.5 million and $26.3 million in the respective prior year periods). The higher year to date expense is related to higher expenses for employee compensation, corporate insurance, and outside professional services.</w:t>
      </w:r>
    </w:p>
    <w:p>
      <w:pPr>
        <w:pStyle w:val="TextBody"/>
        <w:bidi w:val="0"/>
        <w:spacing w:lineRule="auto" w:line="288" w:before="100" w:after="120"/>
        <w:jc w:val="left"/>
        <w:rPr>
          <w:rFonts w:ascii="Times New Roman;sans-serif" w:hAnsi="Times New Roman;sans-serif"/>
          <w:b/>
          <w:i/>
          <w:color w:val="000000"/>
          <w:sz w:val="20"/>
        </w:rPr>
      </w:pPr>
      <w:r>
        <w:rPr>
          <w:rFonts w:ascii="Times New Roman;sans-serif" w:hAnsi="Times New Roman;sans-serif"/>
          <w:b/>
          <w:i/>
          <w:color w:val="000000"/>
          <w:sz w:val="20"/>
        </w:rPr>
        <w:t>Investing Results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Net investment income was $23.6 million and $71.1 million for the three and nine months ended</w:t>
      </w:r>
      <w:r>
        <w:rPr>
          <w:color w:val="000000"/>
        </w:rPr>
        <w:t xml:space="preserve"> </w:t>
      </w:r>
      <w:r>
        <w:rPr>
          <w:rFonts w:ascii="Times New Roman;sans-serif" w:hAnsi="Times New Roman;sans-serif"/>
          <w:b w:val="false"/>
          <w:color w:val="000000"/>
          <w:sz w:val="20"/>
        </w:rPr>
        <w:t>September 30, 2024, respectively, compared to $21.8 million and $58.5 million in the respective prior year periods. The Company's private investments generated gains of $1.8 million and $3.5 million for the three and nine months ended</w:t>
      </w:r>
      <w:r>
        <w:rPr>
          <w:color w:val="000000"/>
        </w:rPr>
        <w:t xml:space="preserve"> </w:t>
      </w:r>
      <w:r>
        <w:rPr>
          <w:rFonts w:ascii="Times New Roman;sans-serif" w:hAnsi="Times New Roman;sans-serif"/>
          <w:b w:val="false"/>
          <w:color w:val="000000"/>
          <w:sz w:val="20"/>
        </w:rPr>
        <w:t>September 30, 2024, respectively, compared to gains of $27,000 and $1.9 million in the corresponding prior year periods. Excluding private investments, our net investment income for the three and nine months ended September 30, 2024 increased 0.2% and 19.4% over the prior year periods, respectively, principally due to higher yields on cash, cash equivalents, restricted cash equivalents, and short-term investments. The average duration of our portfolio excluding restricted cash equivalents was 3.3 years at September 30, 2024.</w:t>
      </w:r>
    </w:p>
    <w:p>
      <w:pPr>
        <w:pStyle w:val="TextBody"/>
        <w:bidi w:val="0"/>
        <w:spacing w:lineRule="auto" w:line="288" w:before="0" w:after="120"/>
        <w:ind w:left="0" w:right="0" w:firstLine="360"/>
        <w:jc w:val="both"/>
        <w:rPr>
          <w:rFonts w:ascii="Times New Roman;sans-serif" w:hAnsi="Times New Roman;sans-serif"/>
          <w:b w:val="false"/>
          <w:color w:val="231F20"/>
          <w:sz w:val="20"/>
        </w:rPr>
      </w:pPr>
      <w:r>
        <w:rPr>
          <w:rFonts w:ascii="Times New Roman;sans-serif" w:hAnsi="Times New Roman;sans-serif"/>
          <w:b w:val="false"/>
          <w:color w:val="231F20"/>
          <w:sz w:val="20"/>
        </w:rPr>
        <w:t>Major categories of the Company’s net investment income are summarized as follows:</w:t>
      </w:r>
    </w:p>
    <w:tbl>
      <w:tblPr>
        <w:tblW w:w="10205" w:type="dxa"/>
        <w:jc w:val="left"/>
        <w:tblInd w:w="0" w:type="dxa"/>
        <w:tblLayout w:type="fixed"/>
        <w:tblCellMar>
          <w:top w:w="28" w:type="dxa"/>
          <w:left w:w="28" w:type="dxa"/>
          <w:bottom w:w="28" w:type="dxa"/>
          <w:right w:w="28" w:type="dxa"/>
        </w:tblCellMar>
      </w:tblPr>
      <w:tblGrid>
        <w:gridCol w:w="1880"/>
        <w:gridCol w:w="1564"/>
        <w:gridCol w:w="156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88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loan participations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restricted cash equivalents and short-term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investment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annualized gross investment yields:</w:t>
      </w:r>
    </w:p>
    <w:tbl>
      <w:tblPr>
        <w:tblW w:w="6205" w:type="dxa"/>
        <w:jc w:val="left"/>
        <w:tblInd w:w="0" w:type="dxa"/>
        <w:tblLayout w:type="fixed"/>
        <w:tblCellMar>
          <w:top w:w="28" w:type="dxa"/>
          <w:left w:w="28" w:type="dxa"/>
          <w:bottom w:w="28" w:type="dxa"/>
          <w:right w:w="28" w:type="dxa"/>
        </w:tblCellMar>
      </w:tblPr>
      <w:tblGrid>
        <w:gridCol w:w="772"/>
        <w:gridCol w:w="678"/>
        <w:gridCol w:w="680"/>
        <w:gridCol w:w="203"/>
        <w:gridCol w:w="203"/>
        <w:gridCol w:w="333"/>
        <w:gridCol w:w="134"/>
        <w:gridCol w:w="134"/>
        <w:gridCol w:w="134"/>
        <w:gridCol w:w="203"/>
        <w:gridCol w:w="203"/>
        <w:gridCol w:w="333"/>
        <w:gridCol w:w="109"/>
        <w:gridCol w:w="109"/>
        <w:gridCol w:w="109"/>
        <w:gridCol w:w="203"/>
        <w:gridCol w:w="203"/>
        <w:gridCol w:w="313"/>
        <w:gridCol w:w="126"/>
        <w:gridCol w:w="126"/>
        <w:gridCol w:w="126"/>
        <w:gridCol w:w="203"/>
        <w:gridCol w:w="203"/>
        <w:gridCol w:w="365"/>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invested assets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Of our total cash and invested assets of $1,934.8 million at September 30, 2024 (excluding restricted cash equivalents), $359.8 million represents the cash and cash equivalents portion of the portfolio. The majority of the portfolio, or $1,215.2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$149.1 million of bank loan participations, $131.2 million of equity securities, $43.6 million of short-term investments, and $35.9 million of other invested assets.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revolving credit facilities, and similar loans and investments. </w:t>
      </w:r>
      <w:r>
        <w:rPr>
          <w:rFonts w:ascii="Times New Roman;sans-serif" w:hAnsi="Times New Roman;sans-serif"/>
          <w:b w:val="false"/>
          <w:color w:val="231F20"/>
          <w:sz w:val="20"/>
        </w:rPr>
        <w:t xml:space="preserve">Bank loan participations are measured at fair value pursuant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231F20"/>
          <w:sz w:val="20"/>
        </w:rPr>
        <w:t xml:space="preserve">Company's election of the fair value option, and changes in unrealized gains and losses in bank loan participations are reported in our income statement as net realized and unrealized gains (losses) on investments. </w:t>
      </w:r>
      <w:r>
        <w:rPr>
          <w:rFonts w:ascii="Times New Roman;sans-serif" w:hAnsi="Times New Roman;sans-serif"/>
          <w:b w:val="false"/>
          <w:color w:val="000000"/>
          <w:sz w:val="20"/>
        </w:rPr>
        <w:t>At September 30, 2024 and December 31, 2023, the fair market value of these securities was $149.1 million and $156.2 million,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2024, the Company recognized net realized and unrealized investment gains of $6.4 million ($4.2 million of net realized and unrealized investment gains for the three months ended September 30, 2024), including $1.3 million of net unrealized losses on bank loan participations, $8.3 million of net unrealized gains for the change in the fair value of equity securities, $1.8 million of net realized investment losses on the sale of bank loan participations, $2.5 million of net realized investment gains on the sale of equity securities, $1.0 million of net realized investment losses on the sale of fixed maturity securities, and a $207,000 impairment for one fixed maturity security. In the nine months ended September 30, 2024, $591,000 of net realized losses were recognized on sales of fixed maturities primarily to fund the premium due under the E&amp;S ADC.</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the Company recognized net realized and unrealized investment gains of $2.5 million ($712,000 of net realized and unrealized investment gains for the three months ended September 30, 2023), including $7.7 million of net unrealized gains on bank loan participations, $2.8 million of net unrealized losses for the change in the fair value of equity securities, $334,000 of net realized investment losses on the sale of fixed maturity securities, $3.1 million of net realized investment losses on the sale of bank loan participations, and $1.0 million of net realized investment gains on the sale of equity securities.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conjunction with its outside investment managers, the Company performs quarterly reviews of all securities within its investment portfolio to determine whether any impairment has occurred. As a result of this review, management concluded that there were no credit-related impairments of fixed maturity securities at September 30, 2024, December 31, 2023, or September 30, 2023. During the nine months ended September 30, 2024, management recognized an impairment loss of $207,000 for one fixed maturity security due to the Company’s inability to hold the security until a recovery in its value to the amortized cost basis. For the remainder of securities in an unrealized loss position, management does not intend to sell the securities, and </w:t>
      </w:r>
      <w:r>
        <w:rPr>
          <w:rFonts w:ascii="Times New Roman;sans-serif" w:hAnsi="Times New Roman;sans-serif"/>
          <w:b w:val="false"/>
          <w:color w:val="231F20"/>
          <w:sz w:val="20"/>
        </w:rPr>
        <w:t xml:space="preserve">it is not “more likely than not” that the Company will be required to sell these securities before a recovery in their value to their amortized cost basis occurs. </w:t>
      </w:r>
      <w:r>
        <w:rPr>
          <w:rFonts w:ascii="Times New Roman;sans-serif" w:hAnsi="Times New Roman;sans-serif"/>
          <w:b w:val="false"/>
          <w:color w:val="000000"/>
          <w:sz w:val="20"/>
        </w:rPr>
        <w:t>At September 30, 2024, 99.9% of the Company’s fixed maturity security portfolio was rated “BBB-” or better (“investment grade”) by Standard &amp; Poor’s or received an equivalent rating from another nationally recognized rating agency.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fixed maturity securities were as follows:</w:t>
      </w:r>
    </w:p>
    <w:tbl>
      <w:tblPr>
        <w:tblW w:w="10393" w:type="dxa"/>
        <w:jc w:val="left"/>
        <w:tblInd w:w="0" w:type="dxa"/>
        <w:tblLayout w:type="fixed"/>
        <w:tblCellMar>
          <w:top w:w="28" w:type="dxa"/>
          <w:left w:w="28" w:type="dxa"/>
          <w:bottom w:w="28" w:type="dxa"/>
          <w:right w:w="28" w:type="dxa"/>
        </w:tblCellMar>
      </w:tblPr>
      <w:tblGrid>
        <w:gridCol w:w="1117"/>
        <w:gridCol w:w="296"/>
        <w:gridCol w:w="298"/>
        <w:gridCol w:w="211"/>
        <w:gridCol w:w="976"/>
        <w:gridCol w:w="109"/>
        <w:gridCol w:w="109"/>
        <w:gridCol w:w="109"/>
        <w:gridCol w:w="109"/>
        <w:gridCol w:w="211"/>
        <w:gridCol w:w="976"/>
        <w:gridCol w:w="109"/>
        <w:gridCol w:w="109"/>
        <w:gridCol w:w="109"/>
        <w:gridCol w:w="109"/>
        <w:gridCol w:w="307"/>
        <w:gridCol w:w="309"/>
        <w:gridCol w:w="292"/>
        <w:gridCol w:w="109"/>
        <w:gridCol w:w="109"/>
        <w:gridCol w:w="109"/>
        <w:gridCol w:w="211"/>
        <w:gridCol w:w="976"/>
        <w:gridCol w:w="109"/>
        <w:gridCol w:w="109"/>
        <w:gridCol w:w="109"/>
        <w:gridCol w:w="109"/>
        <w:gridCol w:w="211"/>
        <w:gridCol w:w="976"/>
        <w:gridCol w:w="109"/>
        <w:gridCol w:w="109"/>
        <w:gridCol w:w="109"/>
        <w:gridCol w:w="109"/>
        <w:gridCol w:w="307"/>
        <w:gridCol w:w="309"/>
        <w:gridCol w:w="339"/>
      </w:tblGrid>
      <w:tr>
        <w:trPr/>
        <w:tc>
          <w:tcPr>
            <w:tcW w:w="11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w:t>
              <w:br/>
              <w:t>Fair Value</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maturity securities, available-for-sale: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State and municipal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18.8 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24.0 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38.2 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16.8 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 and obligations guaranteed by the U.S. government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1,269,418 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1,405,136 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following table sets forth the composition of the Company’s portfolio of available-for-sale fixed maturity securities by rating as of </w:t>
      </w:r>
      <w:r>
        <w:rPr>
          <w:rFonts w:ascii="Times New Roman;sans-serif" w:hAnsi="Times New Roman;sans-serif"/>
          <w:b w:val="false"/>
          <w:color w:val="231F20"/>
          <w:sz w:val="20"/>
        </w:rPr>
        <w:t>September 30, 2024</w:t>
      </w:r>
      <w:r>
        <w:rPr>
          <w:rFonts w:ascii="Times New Roman;sans-serif" w:hAnsi="Times New Roman;sans-serif"/>
          <w:b w:val="false"/>
          <w:color w:val="000000"/>
          <w:sz w:val="20"/>
        </w:rPr>
        <w:t>:</w:t>
      </w:r>
    </w:p>
    <w:tbl>
      <w:tblPr>
        <w:tblW w:w="6234" w:type="dxa"/>
        <w:jc w:val="left"/>
        <w:tblInd w:w="0" w:type="dxa"/>
        <w:tblLayout w:type="fixed"/>
        <w:tblCellMar>
          <w:top w:w="28" w:type="dxa"/>
          <w:left w:w="28" w:type="dxa"/>
          <w:bottom w:w="28" w:type="dxa"/>
          <w:right w:w="28" w:type="dxa"/>
        </w:tblCellMar>
      </w:tblPr>
      <w:tblGrid>
        <w:gridCol w:w="1242"/>
        <w:gridCol w:w="1094"/>
        <w:gridCol w:w="1098"/>
        <w:gridCol w:w="211"/>
        <w:gridCol w:w="976"/>
        <w:gridCol w:w="109"/>
        <w:gridCol w:w="109"/>
        <w:gridCol w:w="109"/>
        <w:gridCol w:w="109"/>
        <w:gridCol w:w="307"/>
        <w:gridCol w:w="309"/>
        <w:gridCol w:w="561"/>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Standard &amp; Poor’s or Equivalent Designation</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w:t>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8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BBB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BBB and unrated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0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our available-for-sale investments in fixed maturity securities summarized by contractual maturity are as follows:</w:t>
      </w:r>
    </w:p>
    <w:tbl>
      <w:tblPr>
        <w:tblW w:w="7804" w:type="dxa"/>
        <w:jc w:val="left"/>
        <w:tblInd w:w="0" w:type="dxa"/>
        <w:tblLayout w:type="fixed"/>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8"/>
        <w:gridCol w:w="308"/>
        <w:gridCol w:w="597"/>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Total Value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1.6 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26.9 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18.3 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9.8 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27.8 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15.6 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100.0 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20"/>
              </w:rPr>
            </w:pPr>
            <w:r>
              <w:rPr>
                <w:rFonts w:ascii="Times New Roman;sans-serif" w:hAnsi="Times New Roman;sans-serif"/>
                <w:b w:val="false"/>
                <w:i/>
                <w:color w:val="000000"/>
                <w:sz w:val="20"/>
              </w:rPr>
              <w:t>%</w:t>
            </w:r>
          </w:p>
        </w:tc>
      </w:tr>
    </w:tbl>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income and expense items netted to income of $1.2 million and $507,000 for the three and nine</w:t>
      </w:r>
      <w:r>
        <w:rPr>
          <w:color w:val="231F20"/>
        </w:rPr>
        <w:t xml:space="preserve"> </w:t>
      </w:r>
      <w:r>
        <w:rPr>
          <w:rFonts w:ascii="Times New Roman;sans-serif" w:hAnsi="Times New Roman;sans-serif"/>
          <w:b w:val="false"/>
          <w:color w:val="231F20"/>
          <w:sz w:val="20"/>
        </w:rPr>
        <w:t>months ended September 30, 2024, respectively. N</w:t>
      </w:r>
      <w:r>
        <w:rPr>
          <w:rFonts w:ascii="Times New Roman;sans-serif" w:hAnsi="Times New Roman;sans-serif"/>
          <w:b w:val="false"/>
          <w:color w:val="000000"/>
          <w:sz w:val="20"/>
        </w:rPr>
        <w:t>on-operating expenses i</w:t>
      </w:r>
      <w:r>
        <w:rPr>
          <w:rFonts w:ascii="Times New Roman;sans-serif" w:hAnsi="Times New Roman;sans-serif"/>
          <w:b w:val="false"/>
          <w:color w:val="231F20"/>
          <w:sz w:val="20"/>
        </w:rPr>
        <w:t>ncluded in the respective totals were</w:t>
      </w:r>
      <w:r>
        <w:rPr>
          <w:color w:val="000000"/>
        </w:rPr>
        <w:t xml:space="preserve"> </w:t>
      </w:r>
      <w:r>
        <w:rPr>
          <w:rFonts w:ascii="Times New Roman;sans-serif" w:hAnsi="Times New Roman;sans-serif"/>
          <w:b w:val="false"/>
          <w:color w:val="000000"/>
          <w:sz w:val="20"/>
        </w:rPr>
        <w:t>$1.8 million and $4.6 million</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 xml:space="preserve">primarily consisting of legal and other professional fees and other expenses related to various strategic initiatives and litigation that the Company is involved in, as well as interest accrued and payable to Fleming on the $11.4 million downward adjustment to the Closing Date Purchase Price. </w:t>
      </w:r>
      <w:r>
        <w:rPr>
          <w:rFonts w:ascii="Times New Roman;sans-serif" w:hAnsi="Times New Roman;sans-serif"/>
          <w:b w:val="false"/>
          <w:color w:val="231F20"/>
          <w:sz w:val="20"/>
        </w:rPr>
        <w:t>T</w:t>
      </w:r>
      <w:r>
        <w:rPr>
          <w:rFonts w:ascii="Times New Roman;sans-serif" w:hAnsi="Times New Roman;sans-serif"/>
          <w:b w:val="false"/>
          <w:color w:val="000000"/>
          <w:sz w:val="20"/>
        </w:rPr>
        <w:t>he non-operating expenses were offset by $2.8 million and $4.5 million of broker incentive rebates in the Excess and Surplus Lines segment, as well as other miscellaneous income in the respective periods.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Other income and expense items netted to income of $2.3 million and $1.8 million for the three and nine</w:t>
      </w:r>
      <w:r>
        <w:rPr>
          <w:color w:val="231F20"/>
        </w:rPr>
        <w:t xml:space="preserve"> </w:t>
      </w:r>
      <w:r>
        <w:rPr>
          <w:rFonts w:ascii="Times New Roman;sans-serif" w:hAnsi="Times New Roman;sans-serif"/>
          <w:b w:val="false"/>
          <w:color w:val="231F20"/>
          <w:sz w:val="20"/>
        </w:rPr>
        <w:t xml:space="preserve">months ended September 30, 2023, respectively, and included </w:t>
      </w:r>
      <w:r>
        <w:rPr>
          <w:rFonts w:ascii="Times New Roman;sans-serif" w:hAnsi="Times New Roman;sans-serif"/>
          <w:b w:val="false"/>
          <w:color w:val="000000"/>
          <w:sz w:val="20"/>
        </w:rPr>
        <w:t>a $2.2 million gain on the sale of the renewal rights to the IRWC business in the Specialty Admitted Insurance segment and $540,000 of broker incentive rebates in the Excess and Surplus Lines segment in the prior year quarter. These were partially offset by non-operating expenses of $641,000 and $1.5 million in the respective three and nine months of the prior year primarily consisting of legal fees related to a purported class action lawsuit and legal and other professional fees and other expenses related to various strategic initiatives including the sale of renewal rights to the IRWC business in the Specialty Admitted Insurance segment and loss portfolio transfers accounted for as retroactive reinsurance.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Interest expense was $6.1 million and $19.0 million for the three and nine</w:t>
      </w:r>
      <w:r>
        <w:rPr>
          <w:color w:val="231F20"/>
        </w:rPr>
        <w:t xml:space="preserve"> </w:t>
      </w:r>
      <w:r>
        <w:rPr>
          <w:rFonts w:ascii="Times New Roman;sans-serif" w:hAnsi="Times New Roman;sans-serif"/>
          <w:b w:val="false"/>
          <w:color w:val="231F20"/>
          <w:sz w:val="20"/>
        </w:rPr>
        <w:t>months ended September 30, 2024, respectively (</w:t>
      </w:r>
      <w:r>
        <w:rPr>
          <w:rFonts w:ascii="Times New Roman;sans-serif" w:hAnsi="Times New Roman;sans-serif"/>
          <w:b w:val="false"/>
          <w:color w:val="000000"/>
          <w:sz w:val="20"/>
        </w:rPr>
        <w:t>$6.5 million</w:t>
      </w:r>
      <w:r>
        <w:rPr>
          <w:color w:val="231F20"/>
        </w:rPr>
        <w:t xml:space="preserve"> </w:t>
      </w:r>
      <w:r>
        <w:rPr>
          <w:rFonts w:ascii="Times New Roman;sans-serif" w:hAnsi="Times New Roman;sans-serif"/>
          <w:b w:val="false"/>
          <w:color w:val="000000"/>
          <w:sz w:val="20"/>
        </w:rPr>
        <w:t>and $18.1 million in the respective prior year periods)</w:t>
      </w:r>
      <w:r>
        <w:rPr>
          <w:rFonts w:ascii="Times New Roman;sans-serif" w:hAnsi="Times New Roman;sans-serif"/>
          <w:b w:val="false"/>
          <w:color w:val="231F20"/>
          <w:sz w:val="20"/>
        </w:rPr>
        <w:t>.</w:t>
      </w:r>
      <w:r>
        <w:rPr>
          <w:color w:val="000000"/>
        </w:rPr>
        <w:t xml:space="preserve"> </w:t>
      </w:r>
      <w:r>
        <w:rPr>
          <w:rFonts w:ascii="Times New Roman;sans-serif" w:hAnsi="Times New Roman;sans-serif"/>
          <w:b w:val="false"/>
          <w:color w:val="000000"/>
          <w:sz w:val="20"/>
        </w:rPr>
        <w:t>The nine month increase over the prior year reflects the impact of higher interest rates on our variable rate senior and trust preferred debt. See “—Liquidity and Capital Resources—Sources and Uses of Funds” for more information regarding our senior bank debt facilities and trust preferred securities.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Amortization of Intangibles and Impairment of Intangible Assets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Company recorded $90,000 of amortization of intangible assets in each of the three months ended </w:t>
      </w:r>
      <w:r>
        <w:rPr>
          <w:rFonts w:ascii="Times New Roman;sans-serif" w:hAnsi="Times New Roman;sans-serif"/>
          <w:b w:val="false"/>
          <w:color w:val="231F20"/>
          <w:sz w:val="20"/>
        </w:rPr>
        <w:t>September 30, 2024</w:t>
      </w:r>
      <w:r>
        <w:rPr>
          <w:color w:val="000000"/>
        </w:rPr>
        <w:t xml:space="preserve"> </w:t>
      </w:r>
      <w:r>
        <w:rPr>
          <w:rFonts w:ascii="Times New Roman;sans-serif" w:hAnsi="Times New Roman;sans-serif"/>
          <w:b w:val="false"/>
          <w:color w:val="000000"/>
          <w:sz w:val="20"/>
        </w:rPr>
        <w:t>and 2023 ($272,000 in each of the nine months ended September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effective tax rate fluctuates from period to period based on the relative mix of income from continuing operations reported by country and the respective tax rates imposed by each tax jurisdiction. Statutory tax rates are 0% and 21% for Bermuda and the U.S. For the three months ended September 30, 2024, our effective tax rate on income from continuing operations was 26.8% and our effective tax rate for the nine months ended September 30, 2024 was not meaningful due to minimal pre-tax income in the period (22.8% and 27.4% in the respective prior year periods). The Company does not receive a U.S. tax deduction for losses in our Bermuda entities. Bermuda had losses in both periods primarily due to Bermuda holding company expenses and interest expense. For U.S.-sourced income, the Company’s U.S. federal income tax expense differs from the amounts computed by applying the federal statutory income tax rate to income before taxes due primarily to interest income on tax-advantaged state and municipal securities, dividends received income, and excess tax benefits and expenses on share based compensation.</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Reserves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 indicator of reserve strength that we monitor closely is the percentage of our gross and net loss reserves that are comprised of incurred but not reported (“IBNR”) reserves.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gross reserve for losses and loss adjustment expenses at September 30, 2024 was $3,001.9 million. Of this amount, 71.6% relates to amounts that are IBNR. This amount was 66.9% at December 31, 2023. The Company’s gross reserves for losses and loss adjustment expenses by segment are summarized as follows:</w:t>
      </w:r>
    </w:p>
    <w:tbl>
      <w:tblPr>
        <w:tblW w:w="695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97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Gross Reserves at September 30, 2024</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amount of net reserves (prior to the $776,000 allowance for uncollectible reinsurance recoverables) of $1,061.7 million that related to IBNR was 62.7%. This amount was 72.0% at December 31, 2023. The 62.7% net IBNR percentage at September 30, 2024 declined from the December 31, 2023 percentage due to the E&amp;S ADC executed on July 2, 2024 that resulted in a cession of $261.0 million of IBNR for the in-the-money subject reserves and no cession of case reserves. The Company’s net reserves for losses and loss adjustment expenses by segment are summarized as follows:</w:t>
      </w:r>
    </w:p>
    <w:tbl>
      <w:tblPr>
        <w:tblW w:w="6807" w:type="dxa"/>
        <w:jc w:val="left"/>
        <w:tblInd w:w="0" w:type="dxa"/>
        <w:tblLayout w:type="fixed"/>
        <w:tblCellMar>
          <w:top w:w="28" w:type="dxa"/>
          <w:left w:w="28" w:type="dxa"/>
          <w:bottom w:w="28" w:type="dxa"/>
          <w:right w:w="28" w:type="dxa"/>
        </w:tblCellMar>
      </w:tblPr>
      <w:tblGrid>
        <w:gridCol w:w="911"/>
        <w:gridCol w:w="801"/>
        <w:gridCol w:w="808"/>
        <w:gridCol w:w="211"/>
        <w:gridCol w:w="826"/>
        <w:gridCol w:w="109"/>
        <w:gridCol w:w="109"/>
        <w:gridCol w:w="109"/>
        <w:gridCol w:w="109"/>
        <w:gridCol w:w="211"/>
        <w:gridCol w:w="826"/>
        <w:gridCol w:w="109"/>
        <w:gridCol w:w="109"/>
        <w:gridCol w:w="109"/>
        <w:gridCol w:w="109"/>
        <w:gridCol w:w="211"/>
        <w:gridCol w:w="976"/>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Reserves at September 30, 2024</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919,823 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1,061,749 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Sources and Uses of Funds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sources of funds consist primarily of premiums written, investment income, reinsurance recoveries, proceeds from sales and redemptions of investments, borrowings on our credit facilities, and the issuance of common and 7% Series A Perpetual Cumulative Convertible Preferred Shares, par value $0.00125 per share (the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contract means that substantial and unpredictable payments may need to be made within relatively short periods of time.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w:t>
      </w:r>
    </w:p>
    <w:tbl>
      <w:tblPr>
        <w:tblW w:w="8021" w:type="dxa"/>
        <w:jc w:val="left"/>
        <w:tblInd w:w="0" w:type="dxa"/>
        <w:tblLayout w:type="fixed"/>
        <w:tblCellMar>
          <w:top w:w="28" w:type="dxa"/>
          <w:left w:w="28" w:type="dxa"/>
          <w:bottom w:w="28" w:type="dxa"/>
          <w:right w:w="28" w:type="dxa"/>
        </w:tblCellMar>
      </w:tblPr>
      <w:tblGrid>
        <w:gridCol w:w="1950"/>
        <w:gridCol w:w="1712"/>
        <w:gridCol w:w="1722"/>
        <w:gridCol w:w="211"/>
        <w:gridCol w:w="903"/>
        <w:gridCol w:w="109"/>
        <w:gridCol w:w="109"/>
        <w:gridCol w:w="109"/>
        <w:gridCol w:w="109"/>
        <w:gridCol w:w="211"/>
        <w:gridCol w:w="722"/>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provided by (used in):</w:t>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11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restricted cash equivalents (operating activities)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excluding restricted cash equivalents of $210.5 million for the nine months ended September 30, 2024 largely reflects the $313.2 million premium paid in July to effect the E&amp;S ADC. Excluding the premium payment, cash provided by operating activities was $102.7 million compared to $94.1 million for the nine months ended September 30, 2023 driven by the growth in our U.S. segments and the collection of premiums receivable at a quicker rate than payments of loss and loss adjustment expenses. Cash used in operating activities from continuing operations excluding restricted cash equivalents was $185.4 million for the nine months ended September 30, 2024 compared to cash provided by operating activities from continuing operations of $170.4 million for the nine months ended September 30, 2023. Cash used in operating activities of discontinued operations was $25.1 million and $76.3 million in the respective periods. We believe the sale of JRG Re, which closed on April 16, 2024, will increase our future cash flows from operations.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Cash provided by investing activities of $321.4 million for the nine months ended September 30, 2024 includes $96.4 million of proceeds received from the sale of JRG Re (net of JRG Re's cash balances sold) and $198.0 million of proceeds from the sales of fixed maturities to provide funding for the premium due under the E&amp;S ADC. Cash used in investing activities of $18.0 million for the nine months ended </w:t>
      </w:r>
      <w:r>
        <w:rPr>
          <w:rFonts w:ascii="Times New Roman;sans-serif" w:hAnsi="Times New Roman;sans-serif"/>
          <w:b w:val="false"/>
          <w:color w:val="231F20"/>
          <w:sz w:val="20"/>
        </w:rPr>
        <w:t xml:space="preserve">September 30, 2023 </w:t>
      </w:r>
      <w:r>
        <w:rPr>
          <w:rFonts w:ascii="Times New Roman;sans-serif" w:hAnsi="Times New Roman;sans-serif"/>
          <w:b w:val="false"/>
          <w:color w:val="000000"/>
          <w:sz w:val="20"/>
        </w:rPr>
        <w:t>reflects efforts to enhance the yield in our investment portfolio by investing available cash and cash equivalents into higher yielding investments.</w:t>
      </w:r>
      <w:r>
        <w:rPr>
          <w:color w:val="231F20"/>
        </w:rPr>
        <w:t xml:space="preserve"> </w:t>
      </w:r>
      <w:r>
        <w:rPr>
          <w:rFonts w:ascii="Times New Roman;sans-serif" w:hAnsi="Times New Roman;sans-serif"/>
          <w:b w:val="false"/>
          <w:color w:val="000000"/>
          <w:sz w:val="20"/>
        </w:rPr>
        <w:t xml:space="preserve">Cash and cash equivalents (excluding restricted cash equivalents) comprised 18.6% and 9.6% of total cash and invested assets at September 30, 2024 and 2023, respectively. Cash provided by investing activities from continuing operations was $161.9 million for the nine months ended September 30, 2024. This compares to cash used in investing activities from continuing operations of $90.3 million for the nine months ended </w:t>
      </w:r>
      <w:r>
        <w:rPr>
          <w:rFonts w:ascii="Times New Roman;sans-serif" w:hAnsi="Times New Roman;sans-serif"/>
          <w:b w:val="false"/>
          <w:color w:val="231F20"/>
          <w:sz w:val="20"/>
        </w:rPr>
        <w:t>September 30, 2023</w:t>
      </w:r>
      <w:r>
        <w:rPr>
          <w:rFonts w:ascii="Times New Roman;sans-serif" w:hAnsi="Times New Roman;sans-serif"/>
          <w:b w:val="false"/>
          <w:color w:val="000000"/>
          <w:sz w:val="20"/>
        </w:rPr>
        <w:t>. Cash provided by investing activities of discontinued operations was $63.1 million and $72.3 million in the respective periods.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of $38.6 million for the nine months ended September 30, 2024 includes the $21.5 million repayment of an unsecured loan under the 2017 facility, $5.8 million of dividends paid to common shareholders, $10.5 million of dividends paid on the Series A Preferred Shares, and $840,000 of payroll taxes withheld and remitted on net settlement of RSUs. Cash used in financing activities of $16.3 million for the nine months ended September 30, 2023 includes $5.8 million of dividends paid to common shareholders, $7.9 million of dividends paid on the Series A Preferred Shares, $1.1 million of paid issuance costs related to the amendment of the 2013 Facility (as defined below) in July, 2023, and $1.5 million of payroll taxes withheld and remitted on net settlement of RSUs.</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The activity in restricted cash equivalents for the nine months ended September 30, 2024 and 2023 relates to a former insured, per the terms of a collateral trust. See </w:t>
      </w:r>
      <w:r>
        <w:rPr>
          <w:rFonts w:ascii="Times New Roman;sans-serif" w:hAnsi="Times New Roman;sans-serif"/>
          <w:b w:val="false"/>
          <w:i/>
          <w:color w:val="000000"/>
          <w:sz w:val="20"/>
        </w:rPr>
        <w:t xml:space="preserve">Amounts Recoverable from an Indemnifying Party and Reinsurer on Legacy Commercial Auto Book </w:t>
      </w:r>
      <w:r>
        <w:rPr>
          <w:rFonts w:ascii="Times New Roman;sans-serif" w:hAnsi="Times New Roman;sans-serif"/>
          <w:b w:val="false"/>
          <w:color w:val="000000"/>
          <w:sz w:val="20"/>
        </w:rPr>
        <w:t>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are organized as a Bermuda holding company with our operations conducted by our wholly-owned subsidiaries. Accordingly, our holding company may receive cash through loans from banks, issuance of equity and debt securities, corporate service fees or dividends received from our subsidiaries and/or other transactions. Our U.S. holding company may receive cash in a similar manner and also through payments from our subsidiaries pursuant to our U.S. consolidated tax allocation agreement.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payment of dividends by our subsidiaries to us is limited by statute. In general, the laws and regulations applicable to our domestic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See “Item 1. Business – U.S. Insurance Regulation – State Regulation” in our Annual Report on Form 10-K for the year ended December 31, 2023 filed with the SEC on February 29, 2024 for additional information. The maximum amount of dividends available to the U.S. holding company from our U.S. insurance subsidiaries during 2024 without regulatory approval is $107.1 million.</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Series A Preferred Shares are entitled to a dividend at the initial rate of 7% of the Liquidation Preference per annum, paid in cash, in-kind in common shares or in Series A Preferred Shares, at our election. Pursuant to the amendment of the Certificate of Designations governing the Series A Preferred Shares, on October 1, 2029 and each five-year anniversary thereafter, the dividend rate will reset to a rate equal to the five-year U.S. treasury rate plus 5.2%, provided that the dividend rate shall not exceed 8.0%. Cash dividends of $10.5 million were paid in the nine months ended September 30, 2024 including cash dividends paid in January, April, July, and September for the three month periods ended December 31, 2023, March 31, 2024, June 30, 2024, and September 30, 2024. In the nine months ended September 30, 2023, cash dividends of $7.9 million were paid including cash dividends paid in January, March, and June for the three month periods ended December 31, 2022, March 31, 2023, and June 30, 2023, respectively. Dividends of $2.6 million for the three months ended September 30, 2023 were paid on October 2, 2023.</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Bermuda holding company had $72.8 million of cash and cash equivalents. The U.S. holding company had $15.5 million of cash and invested assets, comprised of cash and cash equivalents of $11.9 million, equities of $3.1 million and other invested assets of $464,000, which are not subject to regulatory restrictions. Additionally, our U.K. intermediate holding company had no invested assets and cash of less than ten thousand dollars at September 30, 2024.</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Agreements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the Company had a $257.5 million senior revolving credit facility (as amended or amended and restated, the “2013 Facility”). The 2013 Facility was comprised of the following at September 30, 2024:</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A $212.5 million unsecured revolving facility to meet the working capital needs of the Company. All unpaid principal on the revolver is due at maturity. Interest accrues quarterly and is payable in arrears, currently at 1-month SOFR (the Company, per the terms of the credit agreement, can elect between one, three, or six month interest periods) plus a 0.1% SOFR index adjustment and a SOFR margin which is currently 1.75% and is subject to change according to terms in the credit agreement. At September 30, 2024, the Company had a drawn balance of $185.8 million outstanding on the unsecured revolver.</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A $45.0 million secured revolving facility to issue letters of credit for the benefit of third-party reinsureds. At </w:t>
      </w:r>
      <w:r>
        <w:rPr>
          <w:rFonts w:ascii="Times New Roman;sans-serif" w:hAnsi="Times New Roman;sans-serif"/>
          <w:b w:val="false"/>
          <w:color w:val="231F20"/>
          <w:sz w:val="20"/>
        </w:rPr>
        <w:t>September 30, 2024</w:t>
      </w:r>
      <w:r>
        <w:rPr>
          <w:rFonts w:ascii="Times New Roman;sans-serif" w:hAnsi="Times New Roman;sans-serif"/>
          <w:b w:val="false"/>
          <w:color w:val="000000"/>
          <w:sz w:val="20"/>
        </w:rPr>
        <w:t>, the Company had $23.9 million of letters of credit issued under the secured facility, all of which are collateralized by a back-to-back letter of credit issued by Comerica Bank on behalf of JRG 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7, 2023, the Company entered into a Third Amended and Restated Credit Agreement for the 2013 Facility which, among other things, extended the maturity date of such facility until July 7, 2026 and increased the applicable interest rate and letter of credit fees. The 2013 Facility has been amended from time to time, including on April 16, 2024 when the 2013 Facility was amended in connection with the closing of the sale of JRG Re by the Company to (i) release JRG Re as a borrower and release all collateral pledged by JRG Re thereunder, and (ii) decrease the secured revolving facility commitment from $102.5 million to $45.0 million.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2013 Facility contains certain financial and other covenants (including minimum net worth, maximum ratio of total adjusted debt outstanding to total capitalization, and financial strength ratings) with which the Company was in compliance at September 30,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 2017, the Company, and its former wholly-owned subsidiary, JRG Re, together as borrowers, entered into a credit agreement (the "2017 Facility") that provided the Company with a revolving line of credit of up to $100.0 million, which may be used for loans and, until April 16, 2024, letters of credit made or issued, at the borrowers' option, on a secured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pPr>
      <w:r>
        <w:rPr>
          <w:rFonts w:ascii="Times New Roman;sans-serif" w:hAnsi="Times New Roman;sans-serif"/>
          <w:b w:val="false"/>
          <w:color w:val="000000"/>
          <w:sz w:val="20"/>
        </w:rPr>
        <w:t>unsecured basis. Obligations under the 2017 Facility carry a variable rate of interest subject to terms in the credit agreement and will mature 30 days after notice of termination from the lender. The loans made under the revolving line of credit of the 2017 Facility may be used to finance the borrowers' general corporate purposes. Interest accrues and is payable in arrears at variable rates which are subject to change according to terms in the credit agreement. In the nine months ended September 30, 2024</w:t>
      </w:r>
      <w:r>
        <w:rPr>
          <w:rFonts w:ascii="Times New Roman;sans-serif" w:hAnsi="Times New Roman;sans-serif"/>
          <w:b w:val="false"/>
          <w:color w:val="231F20"/>
          <w:sz w:val="20"/>
        </w:rPr>
        <w:t xml:space="preserve">, the Company repaid $21.5 million of unsecured loans under the facility. At September 30, 2024, there were no loans outstanding and $24.4 million of </w:t>
      </w:r>
      <w:r>
        <w:rPr>
          <w:rFonts w:ascii="Times New Roman;sans-serif" w:hAnsi="Times New Roman;sans-serif"/>
          <w:b w:val="false"/>
          <w:color w:val="000000"/>
          <w:sz w:val="20"/>
        </w:rPr>
        <w:t xml:space="preserve">letters of credit were issued </w:t>
      </w:r>
      <w:r>
        <w:rPr>
          <w:rFonts w:ascii="Times New Roman;sans-serif" w:hAnsi="Times New Roman;sans-serif"/>
          <w:b w:val="false"/>
          <w:color w:val="231F20"/>
          <w:sz w:val="20"/>
        </w:rPr>
        <w:t>under the facility</w:t>
      </w:r>
      <w:r>
        <w:rPr>
          <w:rFonts w:ascii="Times New Roman;sans-serif" w:hAnsi="Times New Roman;sans-serif"/>
          <w:b w:val="false"/>
          <w:color w:val="000000"/>
          <w:sz w:val="20"/>
        </w:rPr>
        <w:t>, all of which are collateralized by a back-to-back letter of credit issued by Comerica Bank on behalf of JRG Re</w:t>
      </w:r>
      <w:r>
        <w:rPr>
          <w:rFonts w:ascii="Times New Roman;sans-serif" w:hAnsi="Times New Roman;sans-serif"/>
          <w:b w:val="false"/>
          <w:color w:val="231F20"/>
          <w:sz w:val="20"/>
        </w:rPr>
        <w: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2017 Facility has been amended from time to time since its inception in 2017, including on April 16, 2024 in connection with the closing of the sale of JRG Re by the Company to (i) release JRG Re as a borrower and release all collateral pledged by JRG Re thereunder, (ii) increase the applicable interest rates, (iii) eliminate the letter of credit portion of the facility, and (iv) to build in an automatic decrease of the facility amount by the amount of each letter of credit outstanding under the 2017 Facility as of the date of the amendment with effect from the date each such letter of credit is cancelled.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6, 2024, the Company received notification from the lender of their intent to terminate the 2017 Facility. As provided for in the credit agreement, the maturity date will occur 30 days after the notification of termination.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2017 Facility contains certain financial and other covenants (including minimum net worth, maximum ratio of total adjusted debt outstanding to total capitalization, and financial strength ratings) with which the Company was in compliance at September 30, 2024.</w:t>
      </w:r>
    </w:p>
    <w:p>
      <w:pPr>
        <w:pStyle w:val="TextBody"/>
        <w:bidi w:val="0"/>
        <w:spacing w:lineRule="auto" w:line="288" w:before="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Senior Debt and Trust Preferred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September 30, 2024, and which, among other things, restrict our ability to assume senior indebtedness secured by our U.S. holding company’s common stock or its subsidiaries’ capital stock or to issue shares of its subsidiaries’ capital stock.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nature and terms of the junior subordinated debt and trust preferred securities outstanding at September 30, 2024 (including the Company’s repurchases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Franklin</w:t>
              <w:br/>
              <w:t>Holdings II</w:t>
              <w:br/>
              <w:t>(Bermuda)</w:t>
              <w:br/>
              <w:t>Capital</w:t>
              <w:br/>
              <w:t>Trust I</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Three-Month</w:t>
              <w:br/>
              <w:t>SOFR plus</w:t>
              <w:br/>
              <w:t>4.3%</w:t>
            </w:r>
          </w:p>
        </w:tc>
      </w:tr>
    </w:tbl>
    <w:p>
      <w:pPr>
        <w:pStyle w:val="TextBody"/>
        <w:bidi w:val="0"/>
        <w:spacing w:lineRule="auto" w:line="288" w:before="10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junior subordinated debt is currently redeemable at 100.0% of the unpaid principal amount at our option.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junior subordinated debt contains certain covenants with which we are in compliance as of September 30, 2024.</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2024 and December 31, 2023, the Company's leverage ratio was 24.8% and 26.0%, respectively. The leverage ratio is defined in our senior credit agreements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total debt plus tangible equity excluding accumulated other comprehensive income. The maximum leverage ratio permitted by the agreements is 35.0%.</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Ceded Reinsurance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 Company also utilizes facultative reinsurance to reduce the amount of exposure it retains on individual accounts according to its guidelines for accepting risk across various industry segments, locations and types of exposure. For the three months ended September 30, 2024 and 2023, our net premium retention was 44.6% and 42.6%, respectively. For the nine months ended September 30, 2024 and 2023, our net premium retention was 43.5% and 46.6%, respectively.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Excess and Surplus Lines segment’s ceded reinsurance in place as of September 30, 2024:</w:t>
      </w:r>
    </w:p>
    <w:tbl>
      <w:tblPr>
        <w:tblW w:w="5170"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933"/>
        <w:gridCol w:w="933"/>
        <w:gridCol w:w="1328"/>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Company Retention</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$3.2 million per occurrence.</w:t>
            </w:r>
            <w:r>
              <w:rPr>
                <w:rFonts w:ascii="Times New Roman;sans-serif" w:hAnsi="Times New Roman;sans-serif"/>
                <w:b w:val="false"/>
                <w:color w:val="000000"/>
                <w:sz w:val="13"/>
              </w:rPr>
              <w:t>(1)</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$1.38 million per occurrence.</w:t>
            </w:r>
            <w:r>
              <w:rPr>
                <w:rFonts w:ascii="Times New Roman;sans-serif" w:hAnsi="Times New Roman;sans-serif"/>
                <w:b w:val="false"/>
                <w:color w:val="000000"/>
                <w:sz w:val="13"/>
              </w:rPr>
              <w:t>(2)</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 to $1.98 million per occurrence.</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Up to $5.0 million per risk.</w:t>
            </w:r>
            <w:r>
              <w:rPr>
                <w:rFonts w:ascii="Times New Roman;sans-serif" w:hAnsi="Times New Roman;sans-serif"/>
                <w:b w:val="false"/>
                <w:color w:val="000000"/>
                <w:sz w:val="13"/>
              </w:rPr>
              <w:t>(3)</w:t>
            </w:r>
          </w:p>
        </w:tc>
      </w:tr>
    </w:tbl>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(1)    Excluding Excess Casualty.</w:t>
      </w:r>
    </w:p>
    <w:p>
      <w:pPr>
        <w:pStyle w:val="TextBody"/>
        <w:bidi w:val="0"/>
        <w:spacing w:lineRule="auto" w:line="288" w:before="0" w:after="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(2)    Total exposure to any one claim is generally $694,000.</w:t>
      </w:r>
    </w:p>
    <w:p>
      <w:pPr>
        <w:pStyle w:val="TextBody"/>
        <w:bidi w:val="0"/>
        <w:spacing w:lineRule="auto" w:line="288" w:before="0" w:after="180"/>
        <w:ind w:left="0" w:right="0" w:hanging="360"/>
        <w:jc w:val="left"/>
        <w:rPr>
          <w:rFonts w:ascii="Times New Roman;sans-serif" w:hAnsi="Times New Roman;sans-serif"/>
          <w:b w:val="false"/>
          <w:i/>
          <w:color w:val="000000"/>
          <w:sz w:val="20"/>
        </w:rPr>
      </w:pPr>
      <w:r>
        <w:rPr>
          <w:rFonts w:ascii="Times New Roman;sans-serif" w:hAnsi="Times New Roman;sans-serif"/>
          <w:b w:val="false"/>
          <w:i/>
          <w:color w:val="000000"/>
          <w:sz w:val="20"/>
        </w:rPr>
        <w:t>(3)    The property catastrophe reinsurance treaty has a limit of $20.0 million per event with one reinstatement.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our Excess and Surplus Lines segment, we write a small book of excess property insurance, but we do not write primary property insurance. The Excess and Surplus Lines segment has a specific proportional quota share treaty in effect to cover property risks. The proportional quota share treaty along with facultative reinsurance helps ensure that our net retained limit per risk will be $5.0 million or less.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Also in our Excess and Surplus Lines segment, a specialty casualty treaty providing $9.0 million in excess of $2.0 million coverage is subject to reinstatement premiums for treaty years spanning July 1, 2017 through July 1, 2022.</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Based upon the modeling of our Excess and Surplus Lines and Specialty Admitted segments, it would take an event greater than the 1 in 1,000 year PML to exhaust our $20.0 million property catastrophe reinsurance. In the event of a catastrophe loss exhausting our $20.0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bidi w:val="0"/>
        <w:spacing w:lineRule="auto" w:line="288" w:before="0" w:after="120"/>
        <w:ind w:left="0" w:right="0" w:firstLine="405"/>
        <w:jc w:val="both"/>
        <w:rPr/>
      </w:pPr>
      <w:r>
        <w:rPr>
          <w:rFonts w:ascii="Times New Roman;sans-serif" w:hAnsi="Times New Roman;sans-serif"/>
          <w:b w:val="false"/>
          <w:color w:val="000000"/>
          <w:sz w:val="20"/>
        </w:rPr>
        <w:t>The Commercial Auto LPT with Aleka reinsures substantially all of the Excess and Surplus Lines segment’s legacy portfolio of commercial auto policies previously issued to Rasier. See “</w:t>
      </w:r>
      <w:r>
        <w:rPr>
          <w:rFonts w:ascii="Times New Roman;sans-serif" w:hAnsi="Times New Roman;sans-serif"/>
          <w:b w:val="false"/>
          <w:i/>
          <w:color w:val="000000"/>
          <w:sz w:val="20"/>
        </w:rPr>
        <w:t>Amounts Recoverable from an Indemnifying Party and Reinsurer on the Legacy Commercial Auto Book</w:t>
      </w:r>
      <w:r>
        <w:rPr>
          <w:color w:val="000000"/>
        </w:rPr>
        <w:t xml:space="preserve">” </w:t>
      </w:r>
      <w:r>
        <w:rPr>
          <w:rFonts w:ascii="Times New Roman;sans-serif" w:hAnsi="Times New Roman;sans-serif"/>
          <w:b w:val="false"/>
          <w:color w:val="000000"/>
          <w:sz w:val="20"/>
        </w:rPr>
        <w:t>below for further information on this reinsurance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Specialty Admitted Insurance segment’s ceded reinsurance in place as of September 30, 2024:</w:t>
      </w:r>
    </w:p>
    <w:tbl>
      <w:tblPr>
        <w:tblW w:w="10205" w:type="dxa"/>
        <w:jc w:val="left"/>
        <w:tblInd w:w="0" w:type="dxa"/>
        <w:tblLayout w:type="fixed"/>
        <w:tblCellMar>
          <w:top w:w="28" w:type="dxa"/>
          <w:left w:w="28" w:type="dxa"/>
          <w:bottom w:w="28" w:type="dxa"/>
          <w:right w:w="28" w:type="dxa"/>
        </w:tblCellMar>
      </w:tblPr>
      <w:tblGrid>
        <w:gridCol w:w="1036"/>
        <w:gridCol w:w="661"/>
        <w:gridCol w:w="606"/>
        <w:gridCol w:w="109"/>
        <w:gridCol w:w="109"/>
        <w:gridCol w:w="109"/>
        <w:gridCol w:w="2276"/>
        <w:gridCol w:w="2174"/>
        <w:gridCol w:w="3125"/>
      </w:tblGrid>
      <w:tr>
        <w:trPr/>
        <w:tc>
          <w:tcPr>
            <w:tcW w:w="103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23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Coverage</w:t>
            </w:r>
          </w:p>
        </w:tc>
      </w:tr>
      <w:tr>
        <w:trPr/>
        <w:tc>
          <w:tcPr>
            <w:tcW w:w="2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Workers’ Compensation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of loss coverage for $29.5 million in excess of $500,000.</w:t>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62.5%-100% of limits up to $1.5 million liability and $1.5 million physical damage per occurrence.</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Liability &amp; Professional Liability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62.5%-100% of limits up to $2.0 million per occurrence.</w:t>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Umbrella and Excess Casualty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at least 85% of limits up to $10.0 million per occurrence, and 82% of excess of loss coverage for $5.0 million in excess of $10.0 million.</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within Package - Programs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$40.0 million per risk.</w:t>
            </w:r>
          </w:p>
        </w:tc>
      </w:tr>
      <w:tr>
        <w:trPr/>
        <w:tc>
          <w:tcPr>
            <w:tcW w:w="23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100% of limits up to $58.9 million per occurrence.</w:t>
            </w:r>
          </w:p>
        </w:tc>
      </w:tr>
      <w:tr>
        <w:trPr/>
        <w:tc>
          <w:tcPr>
            <w:tcW w:w="23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Aviation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5"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Quota share coverage for 82.5% of limits up to $25 million liability, $5.0 million hull, and $5.0 million spares per occurrence, each aircraft; and excess of loss coverage for up to $7.7 million excess of $175,000 of our 17.5% share of the quota share each occurrence.</w:t>
            </w:r>
          </w:p>
        </w:tc>
      </w:tr>
    </w:tbl>
    <w:p>
      <w:pPr>
        <w:pStyle w:val="TextBody"/>
        <w:bidi w:val="0"/>
        <w:spacing w:lineRule="auto" w:line="288" w:before="12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Our Specialty Admitted Insurance segment purchases reinsurance for at least 62.5% of the exposed limits on specialty admitted property-casualty business. The segment enters into reinsurance contracts for the fronting and program business. While the segment focuses on casualty business, incidental property risk is incurred in the fronting and program business. The segment is covered for $20.0 million in excess of $5.0 million per occurrence to manage its property exposure to an approximate 1 in 1,000 year PML.</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the aggregate, we believe our pre-tax group-wide PML from a 1 in 1,000 year property catastrophe event would not exceed 2.5% of shareholders’ equity, inclusive of reinstatement premiums payable.</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We also had a contingency clash reinsurance treaty to cover both the Excess and Surplus Lines and Specialty Admitted Insurance segments in the event of a claim incident involving more than one of our insureds in addition to Extra Contractual and Excess Policy Limits protection. The treaty covered $10.0 million in excess of a $2.0 million retention for loss occurrences within the treaty term. This coverage was put into runoff effective July 1, 2022.</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Effective January 1, 2020, we purchased an additional $10.0 million in claims made coverage for excess policy limits and extra contractual obligations exposures above the clash and contingency treaty for the period 2014 to its expiration on December 31, 2022. This treaty had one reinstatement.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September 30, 2024, the allowance for credit losses on reinsurance recoverables was $776,000.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2024, we had reinsurance recoverables on unpaid losses of $1,939.4 million (net of a $776,000 allowance for credit losses) and reinsurance recoverables on paid losses of $133.3 million, and all material recoverable amounts were from companies with A.M. Best ratings of “A-" (Excellent) or better, or are collateralized by the reinsurer for our benefit through letters of credit or funds on deposit in trust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Amounts Recoverable from an Indemnifying Party and Reinsurer on Legacy Commercial Auto Book</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previously issued a set of commercial auto insurance contracts to Rasier (the “Rasier Commercial Auto Policies”)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On September 27, 2021, James River entered into a loss portfolio transfer reinsurance agreement (the “Commercial Auto LPT”) with Aleka to reinsure substantially all of the Rasier Commercial Auto Policies for which James River is not otherwise indemnified by Rasier under the Indemnity Agreements. Under the terms of the Commercial Auto LPT, effective as of July 1, 2021, James River ceded to Aleka approximately $345.1 million of commercial auto liabilities relating to Rasier Commercial Auto Policies written in the years 2013-2019, which amount constituted the reinsurance premium.</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Each of Rasier and Aleka is required to post collateral under the Indemnity Agreements and the Commercial Auto LPT, respectively:</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Indemnity Agreements, Rasier is required to post collateral equal to 102% of James River's estimate of the amounts that are recoverable or may be recoverable under the indemnity agreements, including, among other things, case loss and loss adjustment expense reserves, IBNR loss and loss adjustment expense reserves, extra contractual obligations and excess policy limits liabilities. The collateral is provided through a collateral trust arrangement (the “Indemnity Trust”) in favor of James River by Aleka. In connection with the execution of the Commercial Auto LPT, James River returned $691.3 million to the Indemnity Trust, representing the remaining balance of the amount withdrawn in October 2019, as was permitted under the indemnification agreements with Rasier and the associated trust agreement. At September 30, 2024, the balance in the Indemnity Trust was $85.3 million, and, together with the balance of the Loss Fund Trust (as defined below) attributable to the Indemnity Agreements as described below, the total balance of collateral securing Rasier’s obligations under the Indemnity Agreements was $102.7 million.</w:t>
      </w:r>
    </w:p>
    <w:p>
      <w:pPr>
        <w:pStyle w:val="TextBody"/>
        <w:bidi w:val="0"/>
        <w:spacing w:lineRule="auto" w:line="288" w:before="0" w:after="120"/>
        <w:ind w:left="0" w:right="0" w:firstLine="405"/>
        <w:jc w:val="both"/>
        <w:rPr/>
      </w:pPr>
      <w:r>
        <w:rPr>
          <w:color w:val="000000"/>
        </w:rPr>
        <w:t>•</w:t>
      </w:r>
      <w:r>
        <w:rPr>
          <w:rFonts w:ascii="Times New Roman;sans-serif" w:hAnsi="Times New Roman;sans-serif"/>
          <w:b w:val="false"/>
          <w:color w:val="000000"/>
          <w:sz w:val="20"/>
        </w:rPr>
        <w:t>Pursuant to the Commercial Auto LPT, Aleka is required to post collateral equal to 102% of James River's estimate of Aleka's obligations under the Commercial Auto LPT, calculated in accordance with statutory actuarial principles and based on reserves recorded in the Company's statutory financial statements. The collateral is provided through a collateral trust arrangement (the “LPT Trust”) established in favor of James River by Aleka. At September 30, 2024, the balance in the LPT Trust was $40.1 million, and, together with the balance of the Loss Fund Trust (as defined below) attributable to the Commercial Auto LPT as described below, the total balance of collateral securing Aleka’s obligations under the Commercial Auto LPT was $47.8 million. At September 30, 2024, the total reinsurance recoverables under the Commercial Auto LPT was $46.9 million.</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Indemnity Trust, funds withdrawn from the LPT Trust, and its own funds, in each case in an amount equal to the pro rata portion of the required Loss Fund Trust balance attributable to the Indemnity Agreements, the Commercial Auto LPT and James River’s existing third party reinsurance agreements, respectively. At September 30, 2024, the balance in the Loss Fund Trust was $28.4 million, including $17.4 million representing collateral supporting Rasier’s obligations under the Indemnity Agreements and $7.7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our collateral balances. In addition, we have credit exposure if our estimates of future losses and loss adjustment expenses and other amounts recoverable under the Indemnity Agreements and the Commercial Auto LPT, which are the basis for establishing the collateral balances, are lower than actual amounts paid or payable. The amount of our credit exposure in any of these instances could be material. To mitigate these risks, we closely and frequently monitor our exposure compared to our collateral held, and we request additional collateral in accordance with the terms of the Commercial Auto LPT and Indemnity Agreements when our analysis indicates that we have uncollateralized exposure.</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Ratings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 Best financial strength rating for our group’s regulated U.S. insurance subsidiaries is “A-” (Excellent) with a negative outlook. This rating reflects A.M. Best’s opinion of our insurance subsidiaries’ financial strength,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strength ratings assigned by A.M. Best have an impact on the ability of our regulated subsidiaries to attract and retain agents and brokers and on the risk profiles of the submissions for insurance that our subsidiaries receive. We believe the “A-” (Excellent) ratings assigned to our U.S. insurance subsidiaries allow our subsidiaries to actively pursue relationships with the agents and brokers identified in their marketing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Series A Preferred Shares</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the Company’s common shares at the option of the holder at any time, or at the Company’s option under certain circumstances. Dividends on the Series A Preferred Shares accrue quarterly at the initial rate of 7% of the Liquidation Preference per annum, which may be paid in cash, in-kind in common shares or in Series A Preferred Shares, at the Company’s election.</w:t>
      </w:r>
    </w:p>
    <w:p>
      <w:pPr>
        <w:pStyle w:val="TextBody"/>
        <w:bidi w:val="0"/>
        <w:spacing w:lineRule="auto" w:line="288" w:before="0" w:after="120"/>
        <w:ind w:left="0" w:right="0" w:firstLine="405"/>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11, 2024, the Company amended the Certificate of Designations setting forth the terms of the Series A Preferred Shares to, among other things, convert outstanding Series A Preferred Shares with a liquidation value of $37.5 million to common shares at a per share price of $6.40.</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EQUITY</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common shares outstanding increased from 37,641,563 at December 31, 2023 to 37,829,475 at September 30, 2024, reflecting 187,912 common shares issued in the nine months ended September 30, 2024 related to vesting of RSUs.</w:t>
      </w:r>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Share Based Compensation Expense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$1.4 million and $5.7 million of share based compensation expense in the three and nine months ended September 30, 2024, respectively ($2.2 million and $7.2 million in the respective prior year periods). As of September 30, 2024, the Company had $8.2 million of unrecognized share based compensation expense expected to be charged to earnings over a weighted-average period of 1.7 years.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activity:</w:t>
      </w:r>
    </w:p>
    <w:tbl>
      <w:tblPr>
        <w:tblW w:w="7220" w:type="dxa"/>
        <w:jc w:val="left"/>
        <w:tblInd w:w="0" w:type="dxa"/>
        <w:tblLayout w:type="fixed"/>
        <w:tblCellMar>
          <w:top w:w="28" w:type="dxa"/>
          <w:left w:w="28" w:type="dxa"/>
          <w:bottom w:w="28" w:type="dxa"/>
          <w:right w:w="28" w:type="dxa"/>
        </w:tblCellMar>
      </w:tblPr>
      <w:tblGrid>
        <w:gridCol w:w="809"/>
        <w:gridCol w:w="711"/>
        <w:gridCol w:w="715"/>
        <w:gridCol w:w="396"/>
        <w:gridCol w:w="399"/>
        <w:gridCol w:w="196"/>
        <w:gridCol w:w="109"/>
        <w:gridCol w:w="109"/>
        <w:gridCol w:w="109"/>
        <w:gridCol w:w="211"/>
        <w:gridCol w:w="616"/>
        <w:gridCol w:w="109"/>
        <w:gridCol w:w="109"/>
        <w:gridCol w:w="109"/>
        <w:gridCol w:w="109"/>
        <w:gridCol w:w="449"/>
        <w:gridCol w:w="451"/>
        <w:gridCol w:w="196"/>
        <w:gridCol w:w="109"/>
        <w:gridCol w:w="109"/>
        <w:gridCol w:w="109"/>
        <w:gridCol w:w="211"/>
        <w:gridCol w:w="616"/>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period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287,974 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Lapsed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period</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end of period</w:t>
            </w:r>
          </w:p>
        </w:tc>
        <w:tc>
          <w:tcPr>
            <w:tcW w:w="79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76,393 </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options outstanding at December 31, 2023 lapsed in the nine months ended September 30, 2024. At September 30, 2024, no options remain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RSUs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RSU activity:</w:t>
      </w:r>
    </w:p>
    <w:tbl>
      <w:tblPr>
        <w:tblW w:w="7702" w:type="dxa"/>
        <w:jc w:val="left"/>
        <w:tblInd w:w="0" w:type="dxa"/>
        <w:tblLayout w:type="fixed"/>
        <w:tblCellMar>
          <w:top w:w="28" w:type="dxa"/>
          <w:left w:w="28" w:type="dxa"/>
          <w:bottom w:w="28" w:type="dxa"/>
          <w:right w:w="28" w:type="dxa"/>
        </w:tblCellMar>
      </w:tblPr>
      <w:tblGrid>
        <w:gridCol w:w="939"/>
        <w:gridCol w:w="825"/>
        <w:gridCol w:w="830"/>
        <w:gridCol w:w="449"/>
        <w:gridCol w:w="451"/>
        <w:gridCol w:w="196"/>
        <w:gridCol w:w="109"/>
        <w:gridCol w:w="109"/>
        <w:gridCol w:w="109"/>
        <w:gridCol w:w="213"/>
        <w:gridCol w:w="622"/>
        <w:gridCol w:w="110"/>
        <w:gridCol w:w="109"/>
        <w:gridCol w:w="109"/>
        <w:gridCol w:w="109"/>
        <w:gridCol w:w="449"/>
        <w:gridCol w:w="451"/>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beginning of period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541,520 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(212,968)</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(90,546)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end of period</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929,193 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797,787 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Outstanding RSUs granted to employees generally vest ratably over a three-year vesting period in the case of time-vest RSUs and cliff vest at the end of a three-year performance period in the case of PRSUs. RSUs granted to non-employee directors generally have a one year vesting period. The RSUs granted in 2024 and 2023 include 231,492 and 91,818 PRSU awards, respectively. The number of PRSUs is based upon the probable outcome of performance conditions.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Underwriting Performance Ratios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tbl>
      <w:tblPr>
        <w:tblW w:w="9715" w:type="dxa"/>
        <w:jc w:val="left"/>
        <w:tblInd w:w="0" w:type="dxa"/>
        <w:tblLayout w:type="fixed"/>
        <w:tblCellMar>
          <w:top w:w="28" w:type="dxa"/>
          <w:left w:w="28" w:type="dxa"/>
          <w:bottom w:w="28" w:type="dxa"/>
          <w:right w:w="28" w:type="dxa"/>
        </w:tblCellMar>
      </w:tblPr>
      <w:tblGrid>
        <w:gridCol w:w="1811"/>
        <w:gridCol w:w="1596"/>
        <w:gridCol w:w="1603"/>
        <w:gridCol w:w="308"/>
        <w:gridCol w:w="308"/>
        <w:gridCol w:w="333"/>
        <w:gridCol w:w="134"/>
        <w:gridCol w:w="134"/>
        <w:gridCol w:w="134"/>
        <w:gridCol w:w="255"/>
        <w:gridCol w:w="256"/>
        <w:gridCol w:w="333"/>
        <w:gridCol w:w="109"/>
        <w:gridCol w:w="109"/>
        <w:gridCol w:w="109"/>
        <w:gridCol w:w="307"/>
        <w:gridCol w:w="309"/>
        <w:gridCol w:w="313"/>
        <w:gridCol w:w="126"/>
        <w:gridCol w:w="126"/>
        <w:gridCol w:w="126"/>
        <w:gridCol w:w="255"/>
        <w:gridCol w:w="256"/>
        <w:gridCol w:w="365"/>
      </w:tblGrid>
      <w:tr>
        <w:trPr/>
        <w:tc>
          <w:tcPr>
            <w:tcW w:w="181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Excess and Surplus Lines:</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108.3 </w:t>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Ratio including impact of retroactive reinsurance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retroactive reinsurance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Ratio including impact of retroactive reinsurance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RECONCILIATION OF NON-GAAP MEASURES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See “Key Metrics” above for descriptions of why management believes the following Non-GAAP measures provide useful information about our financial condition and results of operation.</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Underwriting Profit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the underwriting (loss) profit of the operating segments by individual segment to consolidated (loss) income from continuing operations before income taxes:</w:t>
      </w:r>
    </w:p>
    <w:tbl>
      <w:tblPr>
        <w:tblW w:w="10205" w:type="dxa"/>
        <w:jc w:val="left"/>
        <w:tblInd w:w="0" w:type="dxa"/>
        <w:tblLayout w:type="fixed"/>
        <w:tblCellMar>
          <w:top w:w="28" w:type="dxa"/>
          <w:left w:w="28" w:type="dxa"/>
          <w:bottom w:w="28" w:type="dxa"/>
          <w:right w:w="28" w:type="dxa"/>
        </w:tblCellMar>
      </w:tblPr>
      <w:tblGrid>
        <w:gridCol w:w="1766"/>
        <w:gridCol w:w="1549"/>
        <w:gridCol w:w="1558"/>
        <w:gridCol w:w="211"/>
        <w:gridCol w:w="791"/>
        <w:gridCol w:w="109"/>
        <w:gridCol w:w="109"/>
        <w:gridCol w:w="109"/>
        <w:gridCol w:w="109"/>
        <w:gridCol w:w="211"/>
        <w:gridCol w:w="721"/>
        <w:gridCol w:w="109"/>
        <w:gridCol w:w="109"/>
        <w:gridCol w:w="109"/>
        <w:gridCol w:w="109"/>
        <w:gridCol w:w="211"/>
        <w:gridCol w:w="791"/>
        <w:gridCol w:w="109"/>
        <w:gridCol w:w="109"/>
        <w:gridCol w:w="109"/>
        <w:gridCol w:w="109"/>
        <w:gridCol w:w="211"/>
        <w:gridCol w:w="721"/>
        <w:gridCol w:w="156"/>
      </w:tblGrid>
      <w:tr>
        <w:trPr/>
        <w:tc>
          <w:tcPr>
            <w:tcW w:w="1766"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w:t>
              <w:br/>
              <w:t>September 30,</w:t>
            </w:r>
          </w:p>
        </w:tc>
      </w:tr>
      <w:tr>
        <w:trPr/>
        <w:tc>
          <w:tcPr>
            <w:tcW w:w="48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3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(in thousands)</w:t>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Underwriting (loss) profit of the operating segments:</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Excess and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Specialty Admitted Insurance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underwriting (loss) profit of operating segments</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of the Corporate and Other segment</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Underwriting (loss) profit </w:t>
            </w:r>
            <w:r>
              <w:rPr>
                <w:rFonts w:ascii="Times New Roman;sans-serif" w:hAnsi="Times New Roman;sans-serif"/>
                <w:b w:val="false"/>
                <w:color w:val="000000"/>
                <w:sz w:val="16"/>
              </w:rPr>
              <w:t>(1)</w:t>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investment income</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gains on investments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and expenses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continuing operations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Times New Roman;sans-serif" w:hAnsi="Times New Roman;sans-serif"/>
          <w:b w:val="false"/>
          <w:i/>
          <w:color w:val="000000"/>
          <w:sz w:val="20"/>
        </w:rPr>
        <w:t>(1)Included in underwriting results for the three and nine months ended September 30, 2024 is gross fee income of $5.2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$16.1 million, respectively ($6.8 million and $18.3 million in the respective prior year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Reconciliation of Adjusted Net Operating Income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and e) severance costs associated with terminated employees. Adjusted net operating income should not be viewed as a substitute for net income calculated in accordance with GAAP, and our definition of adjusted net operating income may not be comparable to that of other companies.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(loss) income available to common shareholders reconciles to our adjusted net operating (loss) income as follows:</w:t>
      </w:r>
    </w:p>
    <w:tbl>
      <w:tblPr>
        <w:tblW w:w="10205" w:type="dxa"/>
        <w:jc w:val="left"/>
        <w:tblInd w:w="0" w:type="dxa"/>
        <w:tblLayout w:type="fixed"/>
        <w:tblCellMar>
          <w:top w:w="28" w:type="dxa"/>
          <w:left w:w="28" w:type="dxa"/>
          <w:bottom w:w="28" w:type="dxa"/>
          <w:right w:w="28" w:type="dxa"/>
        </w:tblCellMar>
      </w:tblPr>
      <w:tblGrid>
        <w:gridCol w:w="1765"/>
        <w:gridCol w:w="1549"/>
        <w:gridCol w:w="1556"/>
        <w:gridCol w:w="211"/>
        <w:gridCol w:w="792"/>
        <w:gridCol w:w="109"/>
        <w:gridCol w:w="109"/>
        <w:gridCol w:w="109"/>
        <w:gridCol w:w="109"/>
        <w:gridCol w:w="211"/>
        <w:gridCol w:w="792"/>
        <w:gridCol w:w="109"/>
        <w:gridCol w:w="109"/>
        <w:gridCol w:w="109"/>
        <w:gridCol w:w="109"/>
        <w:gridCol w:w="211"/>
        <w:gridCol w:w="721"/>
        <w:gridCol w:w="109"/>
        <w:gridCol w:w="109"/>
        <w:gridCol w:w="109"/>
        <w:gridCol w:w="109"/>
        <w:gridCol w:w="211"/>
        <w:gridCol w:w="721"/>
        <w:gridCol w:w="157"/>
      </w:tblGrid>
      <w:tr>
        <w:trPr/>
        <w:tc>
          <w:tcPr>
            <w:tcW w:w="176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discontinued operations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65"/>
        <w:gridCol w:w="1549"/>
        <w:gridCol w:w="1556"/>
        <w:gridCol w:w="211"/>
        <w:gridCol w:w="792"/>
        <w:gridCol w:w="109"/>
        <w:gridCol w:w="109"/>
        <w:gridCol w:w="109"/>
        <w:gridCol w:w="109"/>
        <w:gridCol w:w="211"/>
        <w:gridCol w:w="792"/>
        <w:gridCol w:w="109"/>
        <w:gridCol w:w="109"/>
        <w:gridCol w:w="109"/>
        <w:gridCol w:w="109"/>
        <w:gridCol w:w="211"/>
        <w:gridCol w:w="721"/>
        <w:gridCol w:w="109"/>
        <w:gridCol w:w="109"/>
        <w:gridCol w:w="109"/>
        <w:gridCol w:w="109"/>
        <w:gridCol w:w="211"/>
        <w:gridCol w:w="721"/>
        <w:gridCol w:w="157"/>
      </w:tblGrid>
      <w:tr>
        <w:trPr/>
        <w:tc>
          <w:tcPr>
            <w:tcW w:w="1765"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 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Income</w:t>
            </w:r>
          </w:p>
        </w:tc>
      </w:tr>
      <w:tr>
        <w:trPr/>
        <w:tc>
          <w:tcPr>
            <w:tcW w:w="4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3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w:t>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from discontinued operations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Losses and loss adjustment expenses - retroactive reinsurance</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and unrealized investment gains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intangible assets</w:t>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net operating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Tangible Equity and Tangible Equity per Share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Tangible equity is defined as shareholders' equity plus mezzanine Series A Preferred Shares and the unrecognized deferred retroactive reinsurance gain less goodwill and intangible assets, net of amortization. Tangible equity per share 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 Our definitions of tangible equity and tangible equity per share may not be comparable to that of other companies, and they should not be viewed as a substitute for shareholders’ equity and shareholders’ equity per share calculated in accordance with GAAP.</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shareholders’ equity to tangible equity as of September 30, 2024, December 31, 2023, and September 30, 2023:</w:t>
      </w:r>
    </w:p>
    <w:tbl>
      <w:tblPr>
        <w:tblW w:w="10205" w:type="dxa"/>
        <w:jc w:val="left"/>
        <w:tblInd w:w="0" w:type="dxa"/>
        <w:tblLayout w:type="fixed"/>
        <w:tblCellMar>
          <w:top w:w="28" w:type="dxa"/>
          <w:left w:w="28" w:type="dxa"/>
          <w:bottom w:w="28" w:type="dxa"/>
          <w:right w:w="28" w:type="dxa"/>
        </w:tblCellMar>
      </w:tblPr>
      <w:tblGrid>
        <w:gridCol w:w="778"/>
        <w:gridCol w:w="683"/>
        <w:gridCol w:w="685"/>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09"/>
        <w:gridCol w:w="109"/>
        <w:gridCol w:w="109"/>
        <w:gridCol w:w="109"/>
        <w:gridCol w:w="219"/>
        <w:gridCol w:w="862"/>
        <w:gridCol w:w="109"/>
        <w:gridCol w:w="109"/>
        <w:gridCol w:w="109"/>
        <w:gridCol w:w="109"/>
        <w:gridCol w:w="211"/>
        <w:gridCol w:w="616"/>
        <w:gridCol w:w="155"/>
      </w:tblGrid>
      <w:tr>
        <w:trPr/>
        <w:tc>
          <w:tcPr>
            <w:tcW w:w="7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Equity per</w:t>
              <w:br/>
              <w:t>Share</w:t>
            </w:r>
          </w:p>
        </w:tc>
      </w:tr>
      <w:tr>
        <w:trPr/>
        <w:tc>
          <w:tcPr>
            <w:tcW w:w="21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 in thousands, except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reinsurance gain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Tangible equity</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37,619,749 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from assumed conversion of Series A Preferred Shares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after assumed conversion of Series A Preferred Shares</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44,678,238 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43,612,747 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43,259,907 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market risk from the information provided in Item 7A of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quarterly report on Form 10-Q, our management carried out an evaluation, under the supervision and with the participation of our CEO and CFO, as of September 30, 2024,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September 30, 2024.</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Changes in Internal Controls over Financial Reporting</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under the Exchange Act) that occurred during our quarter ended September 30, 2024 that have materially affected, or are reasonably likely to materially affect, our internal control over financial reporting.</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involved in various legal proceedings, including commercial matters and litigation regarding insurance claims which arise in the ordinary course of business, as well as the matters specifically discussed below. In addition, the Company is involved from time to time in legal actions which seek extra-contractual damages, punitive damages or penalties, including claims alleging bad faith in the handling of insurance claims. We believe that the outcome of such matters, individually and in the aggregate, is not reasonably likely to have a material adverse effect on our consolidated financial position, results of operations or cash flows.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13, 2023, a purported class action lawsuit was filed in the U.S. District Court, Southern District of New York, on behalf of Paul Glantz against James River Group Holdings, Ltd. and certain of its officers, asserting claims under Sections 10(b) and 20(a) of the Securities Exchange Act of 1934. On January 12, 2024, both Mr. Glantz and Madhav Ghimire, another individual shareholder, filed an application with the court for appointment as Lead Plaintiff, and on January 26, 2024 Mr. Glantz filed a notice of non-opposition to Mr. Ghimire's competing motion for appointment as Lead Plaintiff. On March 25, 2024 the court entered an order appointing Mr. Ghimire as lead plaintiff. On May 24, 2024, Plaintiff filed its consolidated amended complaint alleging that he acquired the Company’s common stock at artificially inflated pricing between May 2, 2023 and November 7, 2023, inclusive, that the Company knew and/or recklessly disregarded that it had improperly accounted for reinsurance premiums and did not have effective internal control over financial reporting, and that as a result, he suffered unspecified damages, and seeking unspecified damages, costs, attorneys' fees and such other relief as the court may deem proper. On July 23, 2024 the Company filed a motion to dismiss the consolidated amended complaint. On September 6, 2024, the plaintiff filed its Opposition to Motion to Dismiss and on October 8, 2024, the Company filed its Reply to the plaintiff's Opposition to Motion to Dismiss. We believe that the claims are without merit and intend to vigorously defend this lawsuit.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11, 2024, the Company filed a complaint (the “Complaint”) in the Supreme Court of the State of New York, New York County, Commercial Division against Fleming Intermediate Holdings LLC (“Fleming”), a Cayman Islands limited liability company, relating to the previously announced Stock Purchase Agreement, dated as of November 8, 2023 (the “Stock Purchase Agreement”), pursuant to which Fleming agreed to purchase all of the outstanding common shares of JRG Re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both"/>
        <w:rPr>
          <w:color w:val="000000"/>
        </w:rPr>
      </w:pPr>
      <w:r>
        <w:rPr>
          <w:color w:val="000000"/>
        </w:rPr>
        <w:t>“</w:t>
      </w:r>
      <w:r>
        <w:rPr>
          <w:rFonts w:ascii="Times New Roman;sans-serif" w:hAnsi="Times New Roman;sans-serif"/>
          <w:b w:val="false"/>
          <w:color w:val="000000"/>
          <w:sz w:val="20"/>
        </w:rPr>
        <w:t xml:space="preserve">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arguments on the motion to dismiss.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15, 2024, Fleming filed a lawsuit in the U.S. District Court, Southern District of New York against James River Group Holdings, Ltd.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an amended complaint. The Company's motion to dismiss the amended complaint is due November 15, 2024, Fleming's opposition to the motion to dismiss is due December 23, 2024 and the Company's reply to the opposition is due January 17, 2025. We believe Fleming's claims are without merit and intend to vigorously defend this lawsuit.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risk factors in the quarter ended September 30, 2024 from those disclosed in our Annual Report on Form 10-K for the year ended December 31, 2023, except as follows:</w:t>
      </w:r>
    </w:p>
    <w:p>
      <w:pPr>
        <w:pStyle w:val="TextBody"/>
        <w:bidi w:val="0"/>
        <w:spacing w:lineRule="auto" w:line="288" w:before="0" w:after="12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We are involved in disputes relating to the Stock Purchase Agreement and the sale of JRG Re to Fleming, which closed on April 16, 2024. An adverse outcome to these matters may have a material adverse effect on our financial position</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 xml:space="preserve">In accordance </w:t>
      </w:r>
      <w:r>
        <w:rPr>
          <w:rFonts w:ascii="Times New Roman;sans-serif" w:hAnsi="Times New Roman;sans-serif"/>
          <w:b w:val="false"/>
          <w:color w:val="000000"/>
          <w:sz w:val="20"/>
          <w:shd w:fill="FFFFFF" w:val="clear"/>
        </w:rPr>
        <w:t xml:space="preserve">with the Stock Purchase Agreement, the cash portion of the purchase price (the "Closing Date Purchase Price") </w:t>
      </w:r>
      <w:r>
        <w:rPr>
          <w:rFonts w:ascii="Times New Roman;sans-serif" w:hAnsi="Times New Roman;sans-serif"/>
          <w:b w:val="false"/>
          <w:color w:val="000000"/>
          <w:sz w:val="20"/>
        </w:rPr>
        <w:t xml:space="preserve">received by the Company for the sale of JRG Re on April 16, 2024 (the “Closing Date”) was calculated based on an estimated closing statement, which in turn was based on an estimated balance sheet of JRG Re. Under the Stock Purchase Agreement, the estimated closing statement is subject to a post-closing adjustment process between the Company and Fleming to produce a final closing statement based on a final balance sheet of JRG Re as of the Closing Date.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Fleming delivered a closing statement to the Company, and pursuant to the procedures in the Stock Purchase Agreement, the Company has given notice of its disagreement with Fleming’s closing statement. In its notice of disagreement, the Company (i) agreed with an $11.4 million downward adjustment to the Closing Date Purchase Price due to the losses recorded on JRG Re's operations between the date of the balance sheet used to produce the estimated closing statement and the Closing Date, which downward adjustment was included in "Other Liabilities" on the Company's Balance Sheet at September 30, 2024 (and was paid to Fleming on October 18, 2024), and (ii) disputed $54.1 million in aggregate downward adjustments to the Closing Date Purchase Price claimed by Fleming, which the Company believes are unsupported by the facts known to the Company and the terms of the Stock Purchase Agreement. The Stock Purchase Agreement provides procedures for resolving disputes between the parties regarding the closing statement and it is possible that the resolution of these disputes could result in a significant reduction to the amount of the purchase price beyond the $11.4 million downward adjustment already paid by the Company to Fleming.</w:t>
      </w:r>
    </w:p>
    <w:p>
      <w:pPr>
        <w:pStyle w:val="TextBody"/>
        <w:bidi w:val="0"/>
        <w:spacing w:lineRule="auto" w:line="288" w:before="0" w:after="120"/>
        <w:ind w:left="0" w:right="0" w:firstLine="360"/>
        <w:jc w:val="both"/>
        <w:rPr/>
      </w:pPr>
      <w:r>
        <w:rPr>
          <w:rFonts w:ascii="Times New Roman;sans-serif" w:hAnsi="Times New Roman;sans-serif"/>
          <w:b w:val="false"/>
          <w:color w:val="000000"/>
          <w:sz w:val="20"/>
        </w:rPr>
        <w:t>As described in Part II, Item 1., Legal Proceedings, we are involved in litigation with Fleming regarding the Stock Purchase Agreement and related matters.</w:t>
      </w:r>
      <w:r>
        <w:rPr>
          <w:color w:val="000000"/>
        </w:rPr>
        <w:t xml:space="preserve"> </w:t>
      </w:r>
      <w:r>
        <w:rPr>
          <w:rFonts w:ascii="Times New Roman;sans-serif" w:hAnsi="Times New Roman;sans-serif"/>
          <w:b w:val="false"/>
          <w:color w:val="000000"/>
          <w:sz w:val="20"/>
        </w:rPr>
        <w:t>The outcome of the disputes over the post-closing adjustment and the litigation with Fleming cannot be predicted and, if determined adversely, could require us to repay a significant portion of the purchase price paid by Fleming on the Closing Date, as well as significant damage amounts, which could have a material adverse effect on our financial position.</w:t>
      </w:r>
    </w:p>
    <w:p>
      <w:pPr>
        <w:pStyle w:val="TextBody"/>
        <w:bidi w:val="0"/>
        <w:spacing w:lineRule="auto" w:line="288" w:before="0" w:after="120"/>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The Enstar common equity investment and adverse development cover transactions are subject to conditions to closing over which we do not have control</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11, 2024, the Company announced that an affiliate of Enstar Group Limited, Cavello Bay Reinsurance Limited (“Cavello Bay”), entered into (i) a subscription agreement to purchase $12.5 million of the Company’s common shares at a share price of $6.40, in addition to 637,640 shares Enstar previously purchased in the open market, and (ii) an adverse development cover reinsurance contract (the "ADC”) with James River Insurance Company and James River Casualty Company, pursuant to which, in exchange for a premium of $52.8 million (less an amount equal to the federal excise tax payable on the premium) to be paid by the ceding companies, Cavello Bay will reinsure, effective January 1, 2024, 100%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losses associated with the ceding companies’ Excess &amp; Surplus Lines segment portfolio losses attaching to premium earned during 2010-2023 (both years inclusive), excluding, among others, losses related to commercial auto policies issued to a former large insured or its affiliates, subject to a retention by the ceding companies of $1,183.7 million (the limit of the E&amp;S ADC executed on July 2, 2024) and up to an aggregate limit of $75.0 million (such transactions together, the “Enstar Transactions”). The Enstar Transactions are subject to a number of closing conditions, including the approval by the Bermuda Monetary Authority of the ADC, and there can be no assurance that these conditions will be satisfied on the timeline we expect or at all. The Enstar Transactions may also be terminated in certain circumstances, including termination by either the Company or Enstar if the Enstar Transactions are not completed by February 9, 2025 (subject to one 60-day extension in the event closing has not occurred solely because one or more required governmental approvals have not been obtained). </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While the Enstar Transactions are pending or if the Enstar Transactions are not completed, we may be subject to several risks including:</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current trading price of our common shares may reflect a market assumption that the Enstar Transactions will be completed, and may decline if the Enstar Transactions are not completed;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We have incurred and expect to incur significant transaction costs in connection with the Enstar Transactions whether or not the Enstar Transactions are completed;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negative perception of investors, vendors, trading partners, or employees if the Enstar Transactions are not completed; and</w:t>
      </w:r>
    </w:p>
    <w:p>
      <w:pPr>
        <w:pStyle w:val="TextBody"/>
        <w:bidi w:val="0"/>
        <w:spacing w:lineRule="auto" w:line="288" w:before="0" w:after="60"/>
        <w:ind w:left="0" w:right="0" w:hanging="360"/>
        <w:jc w:val="both"/>
        <w:rPr/>
      </w:pPr>
      <w:r>
        <w:rPr>
          <w:color w:val="000000"/>
        </w:rPr>
        <w:t>•</w:t>
      </w:r>
      <w:r>
        <w:rPr>
          <w:rFonts w:ascii="Times New Roman;sans-serif" w:hAnsi="Times New Roman;sans-serif"/>
          <w:b w:val="false"/>
          <w:color w:val="000000"/>
          <w:sz w:val="20"/>
        </w:rPr>
        <w:t>The attention of our management may be directed toward the completion of the pending Enstar Transactions and related matters, and their focus may be diverted from our day-to-day business operations.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risks could have a material adverse effect on our business, financial condition, results of operations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0"/>
        <w:gridCol w:w="238"/>
        <w:gridCol w:w="239"/>
        <w:gridCol w:w="109"/>
        <w:gridCol w:w="109"/>
        <w:gridCol w:w="109"/>
        <w:gridCol w:w="2754"/>
        <w:gridCol w:w="2620"/>
        <w:gridCol w:w="3757"/>
      </w:tblGrid>
      <w:tr>
        <w:trPr/>
        <w:tc>
          <w:tcPr>
            <w:tcW w:w="27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620"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Combined Loss Portfolio Transfer and Adverse Development Cover Reinsurance Contract dated July 2, 2024 between James River Insurance Company and James River Casualty Company and State National Insurance Company, Inc. (incorporated by reference to Exhibit 10.1 to the Registrant’s Current Report on Form 8-K filed with the Commission on July 9, 2024) (File No. 001-36777)*</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Form of Retention Award Letter (incorporated by reference to Exhibit 10.1 to the Registrant’s Current Report on Form 8-K filed with the Commission on July 31, 2024) (File No. 001-36777)</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Amended and Restated Employment Agreement, dated as of July 30, 2024, by and between Frank D’Orazio, James River Group Holdings, Ltd. and James River Group Inc. (incorporated by reference to Exhibit 10.2 to the Registrant’s Current Report on Form 8-K filed with the Commission on July 31, 2024) (File No. 001-36777)</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Third Amendment to the James River Group Holdings, Ltd. 2014 Long-Term Incentive Plan (incorporated by reference to Exhibit 10.1 to the Registrant’s Current Report on Form 8-K filed with the Commission on October 25, 2024) (File No. 001-36777)</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Second Amendment to the James River Group Holdings, Ltd. 2014 Non-Employee Director Incentive Plan (incorporated by reference to Exhibit 10.2 to the Registrant’s Current Report on Form 8-K filed with the Commission on October 25, 2024) (File No. 001-36777)</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4jrvrex311.htm">
              <w:r>
                <w:rPr>
                  <w:rStyle w:val="InternetLink"/>
                  <w:rFonts w:ascii="Times New Roman;sans-serif" w:hAnsi="Times New Roman;sans-serif"/>
                  <w:b w:val="false"/>
                  <w:color w:val="0000FF"/>
                  <w:sz w:val="20"/>
                  <w:u w:val="single"/>
                </w:rPr>
                <w:t>Chief Executive Officer Certification pursuant to Rule 13a-14(a)/15d-14(a)</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q24jrvrex312.htm">
              <w:r>
                <w:rPr>
                  <w:rStyle w:val="InternetLink"/>
                  <w:rFonts w:ascii="Times New Roman;sans-serif" w:hAnsi="Times New Roman;sans-serif"/>
                  <w:b w:val="false"/>
                  <w:color w:val="0000FF"/>
                  <w:sz w:val="20"/>
                  <w:u w:val="single"/>
                </w:rPr>
                <w:t>Chief Financial Officer Certification pursuant to Rule 13a-14(a)/15d-14(a)</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3q24jrvrex32.htm">
              <w:r>
                <w:rPr>
                  <w:rStyle w:val="InternetLink"/>
                  <w:rFonts w:ascii="Times New Roman;sans-serif" w:hAnsi="Times New Roman;sans-serif"/>
                  <w:b w:val="false"/>
                  <w:color w:val="0000FF"/>
                  <w:sz w:val="20"/>
                  <w:u w:val="single"/>
                </w:rPr>
                <w:t>Chief Executive Officer and Chief Financial Officer Certification pursuant to 18 U.S.C. Section 1350, as adopted pursuant to Section 906 of the Sarbanes-Oxley Act of 2002</w:t>
              </w:r>
            </w:hyperlink>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 in Exhibit 101.</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601(a)(5) of Regulation S-K, the Schedules to this Exhibit have been omitted. A copy of the omitted schedules will be furnished to the Securities and Exchange Commission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d3da4ccfa6e48beadf892ffc9ae7c6e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734" w:type="dxa"/>
        <w:jc w:val="left"/>
        <w:tblInd w:w="0" w:type="dxa"/>
        <w:tblLayout w:type="fixed"/>
        <w:tblCellMar>
          <w:top w:w="28" w:type="dxa"/>
          <w:left w:w="28" w:type="dxa"/>
          <w:bottom w:w="28" w:type="dxa"/>
          <w:right w:w="28" w:type="dxa"/>
        </w:tblCellMar>
      </w:tblPr>
      <w:tblGrid>
        <w:gridCol w:w="200"/>
        <w:gridCol w:w="177"/>
        <w:gridCol w:w="178"/>
        <w:gridCol w:w="569"/>
        <w:gridCol w:w="569"/>
        <w:gridCol w:w="571"/>
        <w:gridCol w:w="450"/>
        <w:gridCol w:w="450"/>
        <w:gridCol w:w="450"/>
        <w:gridCol w:w="909"/>
        <w:gridCol w:w="909"/>
        <w:gridCol w:w="13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7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James River Group Holdings, Ltd.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Frank N. D’Orazio,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12, 2024 </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886"/>
        <w:gridCol w:w="776"/>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 Sarah C. Doran, certify that: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James River Group Holdings, Ltd.;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November 12, 2024 </w:t>
      </w:r>
    </w:p>
    <w:p>
      <w:pPr>
        <w:pStyle w:val="TextBody"/>
        <w:bidi w:val="0"/>
        <w:spacing w:before="100" w:after="283"/>
        <w:jc w:val="left"/>
        <w:rPr/>
      </w:pPr>
      <w:r>
        <w:rPr/>
      </w:r>
    </w:p>
    <w:tbl>
      <w:tblPr>
        <w:tblW w:w="2757" w:type="dxa"/>
        <w:jc w:val="center"/>
        <w:tblInd w:w="0" w:type="dxa"/>
        <w:tblLayout w:type="fixed"/>
        <w:tblCellMar>
          <w:top w:w="28" w:type="dxa"/>
          <w:left w:w="28" w:type="dxa"/>
          <w:bottom w:w="28" w:type="dxa"/>
          <w:right w:w="28" w:type="dxa"/>
        </w:tblCellMar>
      </w:tblPr>
      <w:tblGrid>
        <w:gridCol w:w="863"/>
        <w:gridCol w:w="759"/>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James River Group Holdings, Ltd. (the “Company”) on Form 10-Q for the period ended September 30, 2024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bidi w:val="0"/>
        <w:spacing w:lineRule="auto" w:line="288" w:before="120" w:after="12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The Report fully complies with the requirements of Section 13(a) or 15(d) of the Securities Exchange Act of 1934, and</w:t>
      </w:r>
    </w:p>
    <w:p>
      <w:pPr>
        <w:pStyle w:val="TextBody"/>
        <w:bidi w:val="0"/>
        <w:spacing w:lineRule="auto" w:line="288" w:before="12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12, 2024</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459/000162045924000095/exhibit101-combinedlptanda.htm" TargetMode="External"/><Relationship Id="rId3" Type="http://schemas.openxmlformats.org/officeDocument/2006/relationships/hyperlink" Target="https://www.sec.gov/Archives/edgar/data/1620459/000162045924000104/jrvrex101-formofretentiona.htm" TargetMode="External"/><Relationship Id="rId4" Type="http://schemas.openxmlformats.org/officeDocument/2006/relationships/hyperlink" Target="https://www.sec.gov/Archives/edgar/data/1620459/000162045924000104/jrvrex102-amendedandrestat.htm" TargetMode="External"/><Relationship Id="rId5" Type="http://schemas.openxmlformats.org/officeDocument/2006/relationships/hyperlink" Target="https://www.sec.gov/Archives/edgar/data/1620459/000162045924000111/ex101-3rdamendmentto2014lt.htm" TargetMode="External"/><Relationship Id="rId6" Type="http://schemas.openxmlformats.org/officeDocument/2006/relationships/hyperlink" Target="https://www.sec.gov/Archives/edgar/data/1620459/000162045924000111/ex102-2ndamendmenttononxem.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39182</Words>
  <Characters>216209</Characters>
  <CharactersWithSpaces>253121</CharactersWithSpaces>
  <Paragraphs>5452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