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518" w:type="dxa"/>
        <w:jc w:val="left"/>
        <w:tblInd w:w="0" w:type="dxa"/>
        <w:tblLayout w:type="fixed"/>
        <w:tblCellMar>
          <w:top w:w="28" w:type="dxa"/>
          <w:left w:w="28" w:type="dxa"/>
          <w:bottom w:w="28" w:type="dxa"/>
          <w:right w:w="28" w:type="dxa"/>
        </w:tblCellMar>
      </w:tblPr>
      <w:tblGrid>
        <w:gridCol w:w="1433"/>
        <w:gridCol w:w="1258"/>
        <w:gridCol w:w="1268"/>
        <w:gridCol w:w="456"/>
        <w:gridCol w:w="456"/>
        <w:gridCol w:w="647"/>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22, 2026</w:t>
            </w:r>
          </w:p>
        </w:tc>
      </w:tr>
    </w:tbl>
    <w:tbl>
      <w:tblPr>
        <w:tblW w:w="4545" w:type="dxa"/>
        <w:jc w:val="center"/>
        <w:tblInd w:w="0" w:type="dxa"/>
        <w:tblLayout w:type="fixed"/>
        <w:tblCellMar>
          <w:top w:w="28" w:type="dxa"/>
          <w:left w:w="28" w:type="dxa"/>
          <w:bottom w:w="28" w:type="dxa"/>
          <w:right w:w="28" w:type="dxa"/>
        </w:tblCellMar>
      </w:tblPr>
      <w:tblGrid>
        <w:gridCol w:w="1456"/>
        <w:gridCol w:w="1278"/>
        <w:gridCol w:w="1811"/>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36" w:before="240" w:after="283"/>
              <w:jc w:val="center"/>
              <w:rPr>
                <w:rFonts w:ascii="Times New Roman;serif" w:hAnsi="Times New Roman;serif"/>
                <w:b w:val="false"/>
                <w:color w:val="000000"/>
                <w:sz w:val="24"/>
              </w:rPr>
            </w:pPr>
            <w:r>
              <w:rPr>
                <w:rFonts w:ascii="Times New Roman;serif" w:hAnsi="Times New Roman;serif"/>
                <w:b w:val="false"/>
                <w:color w:val="000000"/>
                <w:sz w:val="24"/>
              </w:rPr>
              <w:t>JAMES RIVER GROUP HOLDINGS, INC.</w:t>
            </w:r>
          </w:p>
        </w:tc>
      </w:tr>
      <w:tr>
        <w:trPr/>
        <w:tc>
          <w:tcPr>
            <w:tcW w:w="45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86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001-36777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98-0585280</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1414 Raleigh Road, Suite 405, Chapel Hill, North Carolina 27517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(919) 900-1200 </w:t>
      </w:r>
    </w:p>
    <w:p>
      <w:pPr>
        <w:pStyle w:val="TextBody"/>
        <w:bidi w:val="0"/>
        <w:spacing w:lineRule="auto" w:line="288" w:before="0" w:after="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w:t>
        <w:noBreakHyphen/>
        <w:t>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Soliciting material pursuant to Rule 14a</w:t>
        <w:noBreakHyphen/>
        <w:t>12 under the Exchange Act (17 CFR 240.14a</w:t>
        <w:noBreakHyphen/>
        <w:t>12)</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Pre-commencement communications pursuant to Rule 14d</w:t>
        <w:noBreakHyphen/>
        <w:t>2(b) under the Exchange Act (17 CFR 240.14d</w:t>
        <w:noBreakHyphen/>
        <w:t>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w:t>
        <w:noBreakHyphen/>
        <w:t>4(c) under the Exchange Act (17 CFR 240.13e</w:t>
        <w:noBreakHyphen/>
        <w:t>4(c))</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center"/>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both"/>
        <w:rPr/>
      </w:pPr>
      <w:r>
        <w:rPr>
          <w:rFonts w:ascii="Times New Roman;serif" w:hAnsi="Times New Roman;serif"/>
          <w:b w:val="false"/>
          <w:color w:val="000000"/>
          <w:sz w:val="20"/>
        </w:rPr>
        <w:t>Emerging growth company</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October 22, 2026, James River Group Holdings, Inc. (the “Company”) held its annual meeting of shareholders (the “Annual Meeting”). At the Annual Meeting, the Company’s shareholders elected each of Rajiv Basu, Matthew B. Botein, Joel D. Cavaness, Frank N. D’Orazio, Christine LaSala and Peter B. Migliorato for a one-year term to hold office until the 2027 annual meeting of shareholders. The Company’s shareholders also (i) ratified the appointment of Ernst &amp; Young LLP, an independent registered public accounting firm, as our independent auditor to serve until the 2027 annual meeting of shareholders and (ii) approved the 2025 compensation of the Company’s named executive officers on a non-binding, advisory basis.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voting results for each matter presented to the shareholders at the Annual Meeting:</w:t>
      </w:r>
    </w:p>
    <w:p>
      <w:pPr>
        <w:pStyle w:val="TextBody"/>
        <w:bidi w:val="0"/>
        <w:spacing w:lineRule="auto" w:line="288" w:before="0" w:after="240"/>
        <w:jc w:val="both"/>
        <w:rPr/>
      </w:pPr>
      <w:r>
        <w:rPr>
          <w:rFonts w:ascii="Times New Roman;serif" w:hAnsi="Times New Roman;serif"/>
          <w:b/>
          <w:color w:val="000000"/>
          <w:sz w:val="20"/>
        </w:rPr>
        <w:t xml:space="preserve">Proposal 1 – </w:t>
      </w:r>
      <w:r>
        <w:rPr>
          <w:rFonts w:ascii="Times New Roman;serif" w:hAnsi="Times New Roman;serif"/>
          <w:b w:val="false"/>
          <w:color w:val="000000"/>
          <w:sz w:val="20"/>
        </w:rPr>
        <w:t>Election of Directors:</w:t>
      </w:r>
    </w:p>
    <w:tbl>
      <w:tblPr>
        <w:tblW w:w="6690"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344"/>
        <w:gridCol w:w="344"/>
        <w:gridCol w:w="348"/>
        <w:gridCol w:w="308"/>
        <w:gridCol w:w="308"/>
        <w:gridCol w:w="315"/>
        <w:gridCol w:w="250"/>
        <w:gridCol w:w="250"/>
        <w:gridCol w:w="251"/>
        <w:gridCol w:w="492"/>
        <w:gridCol w:w="492"/>
        <w:gridCol w:w="696"/>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0"/>
              <w:jc w:val="left"/>
              <w:rPr>
                <w:rFonts w:ascii="Times New Roman;serif" w:hAnsi="Times New Roman;serif"/>
                <w:b/>
                <w:color w:val="000000"/>
                <w:sz w:val="20"/>
                <w:u w:val="single"/>
              </w:rPr>
            </w:pPr>
            <w:r>
              <w:rPr>
                <w:rFonts w:ascii="Times New Roman;serif" w:hAnsi="Times New Roman;serif"/>
                <w:b/>
                <w:color w:val="000000"/>
                <w:sz w:val="20"/>
                <w:u w:val="single"/>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283"/>
              <w:jc w:val="both"/>
              <w:rPr>
                <w:rFonts w:ascii="Times New Roman;serif" w:hAnsi="Times New Roman;serif"/>
                <w:b w:val="false"/>
                <w:color w:val="000000"/>
                <w:sz w:val="20"/>
              </w:rPr>
            </w:pPr>
            <w:r>
              <w:rPr>
                <w:rFonts w:ascii="Times New Roman;serif" w:hAnsi="Times New Roman;serif"/>
                <w:b w:val="false"/>
                <w:color w:val="000000"/>
                <w:sz w:val="20"/>
              </w:rPr>
              <w:t>1a. Rajiv Basu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33,160,035</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684,848</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39,408</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283"/>
              <w:jc w:val="both"/>
              <w:rPr>
                <w:rFonts w:ascii="Times New Roman;serif" w:hAnsi="Times New Roman;serif"/>
                <w:b w:val="false"/>
                <w:color w:val="000000"/>
                <w:sz w:val="20"/>
              </w:rPr>
            </w:pPr>
            <w:r>
              <w:rPr>
                <w:rFonts w:ascii="Times New Roman;serif" w:hAnsi="Times New Roman;serif"/>
                <w:b w:val="false"/>
                <w:color w:val="000000"/>
                <w:sz w:val="20"/>
              </w:rPr>
              <w:t>1b. Matthew B. Botein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33,237,685</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607,198</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39,408</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283"/>
              <w:jc w:val="both"/>
              <w:rPr>
                <w:rFonts w:ascii="Times New Roman;serif" w:hAnsi="Times New Roman;serif"/>
                <w:b w:val="false"/>
                <w:color w:val="000000"/>
                <w:sz w:val="20"/>
              </w:rPr>
            </w:pPr>
            <w:r>
              <w:rPr>
                <w:rFonts w:ascii="Times New Roman;serif" w:hAnsi="Times New Roman;serif"/>
                <w:b w:val="false"/>
                <w:color w:val="000000"/>
                <w:sz w:val="20"/>
              </w:rPr>
              <w:t>1c. Joel D. Cavaness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28,661,603</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5,183,280</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39,408</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283"/>
              <w:jc w:val="both"/>
              <w:rPr>
                <w:rFonts w:ascii="Times New Roman;serif" w:hAnsi="Times New Roman;serif"/>
                <w:b w:val="false"/>
                <w:color w:val="000000"/>
                <w:sz w:val="20"/>
              </w:rPr>
            </w:pPr>
            <w:r>
              <w:rPr>
                <w:rFonts w:ascii="Times New Roman;serif" w:hAnsi="Times New Roman;serif"/>
                <w:b w:val="false"/>
                <w:color w:val="000000"/>
                <w:sz w:val="20"/>
              </w:rPr>
              <w:t>1d. Frank N. D’Orazio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32,927,466</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917,317</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39,508</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283"/>
              <w:jc w:val="both"/>
              <w:rPr>
                <w:rFonts w:ascii="Times New Roman;serif" w:hAnsi="Times New Roman;serif"/>
                <w:b w:val="false"/>
                <w:color w:val="000000"/>
                <w:sz w:val="20"/>
              </w:rPr>
            </w:pPr>
            <w:r>
              <w:rPr>
                <w:rFonts w:ascii="Times New Roman;serif" w:hAnsi="Times New Roman;serif"/>
                <w:b w:val="false"/>
                <w:color w:val="000000"/>
                <w:sz w:val="20"/>
              </w:rPr>
              <w:t>1e. Christine LaSala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27,035,373</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6,800,738</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48,180</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r>
        <w:trPr/>
        <w:tc>
          <w:tcPr>
            <w:tcW w:w="1965" w:type="dxa"/>
            <w:gridSpan w:val="3"/>
            <w:tcBorders/>
            <w:tcMar>
              <w:top w:w="0" w:type="dxa"/>
              <w:left w:w="0" w:type="dxa"/>
              <w:bottom w:w="0" w:type="dxa"/>
              <w:right w:w="0" w:type="dxa"/>
            </w:tcMar>
            <w:vAlign w:val="center"/>
          </w:tcPr>
          <w:p>
            <w:pPr>
              <w:pStyle w:val="TableContents"/>
              <w:bidi w:val="0"/>
              <w:spacing w:lineRule="auto" w:line="280" w:before="0" w:after="283"/>
              <w:jc w:val="both"/>
              <w:rPr>
                <w:rFonts w:ascii="Times New Roman;serif" w:hAnsi="Times New Roman;serif"/>
                <w:b w:val="false"/>
                <w:color w:val="000000"/>
                <w:sz w:val="20"/>
              </w:rPr>
            </w:pPr>
            <w:r>
              <w:rPr>
                <w:rFonts w:ascii="Times New Roman;serif" w:hAnsi="Times New Roman;serif"/>
                <w:b w:val="false"/>
                <w:color w:val="000000"/>
                <w:sz w:val="20"/>
              </w:rPr>
              <w:t>1f. Peter B. Migliorato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28,425,072</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5,419,711</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39,508</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bl>
    <w:p>
      <w:pPr>
        <w:pStyle w:val="TextBody"/>
        <w:bidi w:val="0"/>
        <w:spacing w:lineRule="auto" w:line="288" w:before="0" w:after="240"/>
        <w:jc w:val="both"/>
        <w:rPr/>
      </w:pPr>
      <w:r>
        <w:rPr>
          <w:rFonts w:ascii="Times New Roman;serif" w:hAnsi="Times New Roman;serif"/>
          <w:b/>
          <w:color w:val="000000"/>
          <w:sz w:val="20"/>
        </w:rPr>
        <w:t>Proposal 2</w:t>
      </w:r>
      <w:r>
        <w:rPr>
          <w:color w:val="000000"/>
        </w:rPr>
        <w:t xml:space="preserve"> </w:t>
      </w:r>
      <w:r>
        <w:rPr>
          <w:rFonts w:ascii="Times New Roman;serif" w:hAnsi="Times New Roman;serif"/>
          <w:b w:val="false"/>
          <w:color w:val="000000"/>
          <w:sz w:val="20"/>
        </w:rPr>
        <w:t>- Ratification of the appointment of Ernst &amp; Young LLP.</w:t>
      </w:r>
    </w:p>
    <w:tbl>
      <w:tblPr>
        <w:tblW w:w="4263" w:type="dxa"/>
        <w:jc w:val="left"/>
        <w:tblInd w:w="0" w:type="dxa"/>
        <w:tblLayout w:type="fixed"/>
        <w:tblCellMar>
          <w:top w:w="28" w:type="dxa"/>
          <w:left w:w="28" w:type="dxa"/>
          <w:bottom w:w="28" w:type="dxa"/>
          <w:right w:w="28" w:type="dxa"/>
        </w:tblCellMar>
      </w:tblPr>
      <w:tblGrid>
        <w:gridCol w:w="380"/>
        <w:gridCol w:w="332"/>
        <w:gridCol w:w="339"/>
        <w:gridCol w:w="259"/>
        <w:gridCol w:w="259"/>
        <w:gridCol w:w="26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78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37,886,263</w:t>
            </w:r>
          </w:p>
        </w:tc>
        <w:tc>
          <w:tcPr>
            <w:tcW w:w="78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444,043</w:t>
            </w:r>
          </w:p>
        </w:tc>
        <w:tc>
          <w:tcPr>
            <w:tcW w:w="7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51,090</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0" w:after="240"/>
        <w:jc w:val="both"/>
        <w:rPr/>
      </w:pPr>
      <w:r>
        <w:rPr>
          <w:rFonts w:ascii="Times New Roman;serif" w:hAnsi="Times New Roman;serif"/>
          <w:b/>
          <w:color w:val="000000"/>
          <w:sz w:val="20"/>
        </w:rPr>
        <w:t>Proposal 3</w:t>
      </w:r>
      <w:r>
        <w:rPr>
          <w:color w:val="000000"/>
        </w:rPr>
        <w:t xml:space="preserve"> </w:t>
      </w:r>
      <w:r>
        <w:rPr>
          <w:rFonts w:ascii="Times New Roman;serif" w:hAnsi="Times New Roman;serif"/>
          <w:b w:val="false"/>
          <w:color w:val="000000"/>
          <w:sz w:val="20"/>
        </w:rPr>
        <w:t>- The approval of the 2025 compensation of our named executive officers.</w:t>
      </w:r>
    </w:p>
    <w:tbl>
      <w:tblPr>
        <w:tblW w:w="4443"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59"/>
        <w:gridCol w:w="259"/>
        <w:gridCol w:w="263"/>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81"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23,979,580</w:t>
            </w:r>
          </w:p>
        </w:tc>
        <w:tc>
          <w:tcPr>
            <w:tcW w:w="93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9,671,819</w:t>
            </w:r>
          </w:p>
        </w:tc>
        <w:tc>
          <w:tcPr>
            <w:tcW w:w="781"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232,892</w:t>
            </w:r>
          </w:p>
        </w:tc>
        <w:tc>
          <w:tcPr>
            <w:tcW w:w="1680" w:type="dxa"/>
            <w:gridSpan w:val="3"/>
            <w:tcBorders/>
            <w:tcMar>
              <w:top w:w="0" w:type="dxa"/>
              <w:left w:w="0" w:type="dxa"/>
              <w:bottom w:w="0" w:type="dxa"/>
              <w:right w:w="0" w:type="dxa"/>
            </w:tcMar>
            <w:vAlign w:val="center"/>
          </w:tcPr>
          <w:p>
            <w:pPr>
              <w:pStyle w:val="TableContents"/>
              <w:bidi w:val="0"/>
              <w:spacing w:lineRule="auto" w:line="280" w:before="0" w:after="283"/>
              <w:jc w:val="center"/>
              <w:rPr>
                <w:rFonts w:ascii="Times New Roman;serif" w:hAnsi="Times New Roman;serif"/>
                <w:b w:val="false"/>
                <w:color w:val="000000"/>
                <w:sz w:val="20"/>
              </w:rPr>
            </w:pPr>
            <w:r>
              <w:rPr>
                <w:rFonts w:ascii="Times New Roman;serif" w:hAnsi="Times New Roman;serif"/>
                <w:b w:val="false"/>
                <w:color w:val="000000"/>
                <w:sz w:val="20"/>
              </w:rPr>
              <w:t>4,497,105</w:t>
            </w:r>
          </w:p>
        </w:tc>
      </w:tr>
    </w:tbl>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80" w:type="dxa"/>
        <w:jc w:val="left"/>
        <w:tblInd w:w="0" w:type="dxa"/>
        <w:tblLayout w:type="fixed"/>
        <w:tblCellMar>
          <w:top w:w="28" w:type="dxa"/>
          <w:left w:w="28" w:type="dxa"/>
          <w:bottom w:w="28" w:type="dxa"/>
          <w:right w:w="28" w:type="dxa"/>
        </w:tblCellMar>
      </w:tblPr>
      <w:tblGrid>
        <w:gridCol w:w="765"/>
        <w:gridCol w:w="672"/>
        <w:gridCol w:w="678"/>
        <w:gridCol w:w="1101"/>
        <w:gridCol w:w="1101"/>
        <w:gridCol w:w="1563"/>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RIVER GROUP HOLDINGS,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23, 2026</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Jeanette Miller </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Jeanette Miller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3367</Characters>
  <CharactersWithSpaces>3882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