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-224155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41275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-232410</wp:posOffset>
            </wp:positionV>
            <wp:extent cx="269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93"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49"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ended March 31, 2019</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4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from _______ to _______</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16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40" w:type="dxa"/>
            <w:vAlign w:val="bottom"/>
          </w:tcPr>
          <w:p>
            <w:pPr>
              <w:ind w:left="540"/>
              <w:spacing w:after="0"/>
              <w:rPr>
                <w:sz w:val="20"/>
                <w:szCs w:val="20"/>
                <w:color w:val="auto"/>
              </w:rPr>
            </w:pPr>
            <w:r>
              <w:rPr>
                <w:rFonts w:ascii="Arial" w:cs="Arial" w:eastAsia="Arial" w:hAnsi="Arial"/>
                <w:sz w:val="18"/>
                <w:szCs w:val="18"/>
                <w:b w:val="1"/>
                <w:bCs w:val="1"/>
                <w:color w:val="auto"/>
              </w:rPr>
              <w:t>Bermuda</w:t>
            </w:r>
          </w:p>
        </w:tc>
        <w:tc>
          <w:tcPr>
            <w:tcW w:w="3380" w:type="dxa"/>
            <w:vAlign w:val="bottom"/>
          </w:tcPr>
          <w:p>
            <w:pPr>
              <w:jc w:val="right"/>
              <w:ind w:right="62"/>
              <w:spacing w:after="0"/>
              <w:rPr>
                <w:sz w:val="20"/>
                <w:szCs w:val="20"/>
                <w:color w:val="auto"/>
              </w:rPr>
            </w:pPr>
            <w:r>
              <w:rPr>
                <w:rFonts w:ascii="Arial" w:cs="Arial" w:eastAsia="Arial" w:hAnsi="Arial"/>
                <w:sz w:val="18"/>
                <w:szCs w:val="18"/>
                <w:b w:val="1"/>
                <w:bCs w:val="1"/>
                <w:color w:val="auto"/>
              </w:rPr>
              <w:t>98-0585280</w:t>
            </w:r>
          </w:p>
        </w:tc>
      </w:tr>
      <w:tr>
        <w:trPr>
          <w:trHeight w:val="180"/>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left="420" w:right="274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28"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38"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40"/>
        <w:spacing w:after="0"/>
        <w:tabs>
          <w:tab w:leader="none" w:pos="2640" w:val="left"/>
          <w:tab w:leader="none" w:pos="4400" w:val="left"/>
          <w:tab w:leader="none" w:pos="6200" w:val="left"/>
          <w:tab w:leader="none" w:pos="940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5"/>
          <w:szCs w:val="15"/>
          <w:color w:val="auto"/>
        </w:rPr>
        <w:t>Emerging Growth Company o</w:t>
      </w:r>
    </w:p>
    <w:p>
      <w:pPr>
        <w:spacing w:after="0" w:line="95" w:lineRule="exact"/>
        <w:rPr>
          <w:sz w:val="24"/>
          <w:szCs w:val="24"/>
          <w:color w:val="auto"/>
        </w:rPr>
      </w:pPr>
    </w:p>
    <w:p>
      <w:pPr>
        <w:ind w:right="120" w:firstLine="221"/>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7"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540" w:type="dxa"/>
            <w:vAlign w:val="bottom"/>
          </w:tcPr>
          <w:p>
            <w:pPr>
              <w:spacing w:after="0"/>
              <w:rPr>
                <w:sz w:val="17"/>
                <w:szCs w:val="17"/>
                <w:color w:val="auto"/>
              </w:rPr>
            </w:pPr>
          </w:p>
        </w:tc>
        <w:tc>
          <w:tcPr>
            <w:tcW w:w="288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Names of each exchange on 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1"/>
        </w:trPr>
        <w:tc>
          <w:tcPr>
            <w:tcW w:w="384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Common Shares, par value $0.0002 per share</w:t>
            </w:r>
          </w:p>
        </w:tc>
        <w:tc>
          <w:tcPr>
            <w:tcW w:w="580" w:type="dxa"/>
            <w:vAlign w:val="bottom"/>
          </w:tcPr>
          <w:p>
            <w:pPr>
              <w:spacing w:after="0"/>
              <w:rPr>
                <w:sz w:val="24"/>
                <w:szCs w:val="24"/>
                <w:color w:val="auto"/>
              </w:rPr>
            </w:pPr>
          </w:p>
        </w:tc>
        <w:tc>
          <w:tcPr>
            <w:tcW w:w="2300" w:type="dxa"/>
            <w:vAlign w:val="bottom"/>
            <w:gridSpan w:val="2"/>
          </w:tcPr>
          <w:p>
            <w:pPr>
              <w:jc w:val="center"/>
              <w:ind w:right="960"/>
              <w:spacing w:after="0"/>
              <w:rPr>
                <w:sz w:val="20"/>
                <w:szCs w:val="20"/>
                <w:color w:val="auto"/>
              </w:rPr>
            </w:pPr>
            <w:r>
              <w:rPr>
                <w:rFonts w:ascii="Arial" w:cs="Arial" w:eastAsia="Arial" w:hAnsi="Arial"/>
                <w:sz w:val="18"/>
                <w:szCs w:val="18"/>
                <w:color w:val="auto"/>
                <w:w w:val="89"/>
              </w:rPr>
              <w:t>JRVR</w:t>
            </w: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May 1, 2019: 30,163,234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5"/>
          </w:tcPr>
          <w:p>
            <w:pPr>
              <w:jc w:val="center"/>
              <w:ind w:left="32"/>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5"/>
          </w:tcPr>
          <w:p>
            <w:pPr>
              <w:jc w:val="center"/>
              <w:ind w:left="32"/>
              <w:spacing w:after="0"/>
              <w:rPr>
                <w:sz w:val="20"/>
                <w:szCs w:val="20"/>
                <w:color w:val="auto"/>
              </w:rPr>
            </w:pPr>
            <w:r>
              <w:rPr>
                <w:rFonts w:ascii="Arial" w:cs="Arial" w:eastAsia="Arial" w:hAnsi="Arial"/>
                <w:sz w:val="14"/>
                <w:szCs w:val="14"/>
                <w:b w:val="1"/>
                <w:bCs w:val="1"/>
                <w:color w:val="auto"/>
                <w:w w:val="98"/>
              </w:rPr>
              <w:t>Number</w:t>
            </w:r>
          </w:p>
        </w:tc>
      </w:tr>
      <w:tr>
        <w:trPr>
          <w:trHeight w:val="256"/>
        </w:trPr>
        <w:tc>
          <w:tcPr>
            <w:tcW w:w="10500" w:type="dxa"/>
            <w:vAlign w:val="bottom"/>
            <w:gridSpan w:val="26"/>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Sheets—March 31, 2019 and December 31, 2018</w:t>
              </w:r>
            </w:hyperlink>
          </w:p>
        </w:tc>
        <w:tc>
          <w:tcPr>
            <w:tcW w:w="620" w:type="dxa"/>
            <w:vAlign w:val="bottom"/>
            <w:gridSpan w:val="4"/>
            <w:shd w:val="clear" w:color="auto" w:fill="CCEEFF"/>
          </w:tcPr>
          <w:p>
            <w:pPr>
              <w:jc w:val="center"/>
              <w:ind w:left="332"/>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Income and Comprehensive Income (Loss)—Three Months Ended March 31, 2019 and</w:t>
              </w:r>
            </w:hyperlink>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2018</w:t>
              </w:r>
            </w:hyperlink>
          </w:p>
        </w:tc>
        <w:tc>
          <w:tcPr>
            <w:tcW w:w="30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760" w:type="dxa"/>
            <w:vAlign w:val="bottom"/>
            <w:tcBorders>
              <w:top w:val="single" w:sz="8" w:color="0000EE"/>
            </w:tcBorders>
            <w:shd w:val="clear" w:color="auto" w:fill="CCEEFF"/>
          </w:tcPr>
          <w:p>
            <w:pPr>
              <w:spacing w:after="0"/>
              <w:rPr>
                <w:sz w:val="21"/>
                <w:szCs w:val="21"/>
                <w:color w:val="auto"/>
              </w:rPr>
            </w:pPr>
          </w:p>
        </w:tc>
        <w:tc>
          <w:tcPr>
            <w:tcW w:w="900" w:type="dxa"/>
            <w:vAlign w:val="bottom"/>
            <w:tcBorders>
              <w:top w:val="single" w:sz="8" w:color="0000EE"/>
            </w:tcBorders>
            <w:shd w:val="clear" w:color="auto" w:fill="CCEEFF"/>
          </w:tcPr>
          <w:p>
            <w:pPr>
              <w:spacing w:after="0"/>
              <w:rPr>
                <w:sz w:val="21"/>
                <w:szCs w:val="21"/>
                <w:color w:val="auto"/>
              </w:rPr>
            </w:pPr>
          </w:p>
        </w:tc>
        <w:tc>
          <w:tcPr>
            <w:tcW w:w="36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66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0000EE"/>
            </w:tcBorders>
            <w:shd w:val="clear" w:color="auto" w:fill="CCEEFF"/>
          </w:tcPr>
          <w:p>
            <w:pPr>
              <w:spacing w:after="0"/>
              <w:rPr>
                <w:sz w:val="21"/>
                <w:szCs w:val="21"/>
                <w:color w:val="auto"/>
              </w:rPr>
            </w:pPr>
          </w:p>
        </w:tc>
        <w:tc>
          <w:tcPr>
            <w:tcW w:w="15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gridSpan w:val="4"/>
            <w:shd w:val="clear" w:color="auto" w:fill="CCEEFF"/>
          </w:tcPr>
          <w:p>
            <w:pPr>
              <w:jc w:val="center"/>
              <w:ind w:left="332"/>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30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Changes in Shareholders’ Equity—Three Months Ended March 31, 2019 and 2018</w:t>
              </w:r>
            </w:hyperlink>
          </w:p>
        </w:tc>
        <w:tc>
          <w:tcPr>
            <w:tcW w:w="620" w:type="dxa"/>
            <w:vAlign w:val="bottom"/>
            <w:gridSpan w:val="4"/>
            <w:shd w:val="clear" w:color="auto" w:fill="CCEEFF"/>
          </w:tcPr>
          <w:p>
            <w:pPr>
              <w:jc w:val="center"/>
              <w:ind w:left="332"/>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154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Flows—Three Months Ended March 31, 2019 and 2018</w:t>
              </w:r>
            </w:hyperlink>
          </w:p>
        </w:tc>
        <w:tc>
          <w:tcPr>
            <w:tcW w:w="620" w:type="dxa"/>
            <w:vAlign w:val="bottom"/>
            <w:gridSpan w:val="4"/>
            <w:shd w:val="clear" w:color="auto" w:fill="CCEEFF"/>
          </w:tcPr>
          <w:p>
            <w:pPr>
              <w:jc w:val="center"/>
              <w:ind w:left="332"/>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Critical Accounting Policies and Estimates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26"/>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PART II. OTHER INFORMATION</w:t>
              </w:r>
            </w:hyperlink>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9420" w:type="dxa"/>
            <w:vAlign w:val="bottom"/>
            <w:gridSpan w:val="2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20" w:type="dxa"/>
            <w:vAlign w:val="bottom"/>
            <w:gridSpan w:val="4"/>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420" w:type="dxa"/>
            <w:vAlign w:val="bottom"/>
            <w:gridSpan w:val="2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20" w:type="dxa"/>
            <w:vAlign w:val="bottom"/>
            <w:gridSpan w:val="4"/>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9420" w:type="dxa"/>
            <w:vAlign w:val="bottom"/>
            <w:gridSpan w:val="2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20" w:type="dxa"/>
            <w:vAlign w:val="bottom"/>
            <w:gridSpan w:val="4"/>
          </w:tcPr>
          <w:p>
            <w:pPr>
              <w:jc w:val="center"/>
              <w:ind w:left="352"/>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9420" w:type="dxa"/>
            <w:vAlign w:val="bottom"/>
            <w:gridSpan w:val="21"/>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gridSpan w:val="4"/>
            <w:shd w:val="clear" w:color="auto" w:fill="CCEEFF"/>
          </w:tcPr>
          <w:p>
            <w:pPr>
              <w:jc w:val="center"/>
              <w:ind w:left="352"/>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20" w:type="dxa"/>
            <w:vAlign w:val="bottom"/>
            <w:tcBorders>
              <w:top w:val="single" w:sz="8" w:color="CCEEFF"/>
            </w:tcBorders>
            <w:gridSpan w:val="16"/>
          </w:tcPr>
          <w:p>
            <w:pPr>
              <w:ind w:left="4580"/>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28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90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40" w:hanging="488"/>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7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3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62" w:lineRule="exact"/>
        <w:rPr>
          <w:rFonts w:ascii="Arial" w:cs="Arial" w:eastAsia="Arial" w:hAnsi="Arial"/>
          <w:sz w:val="18"/>
          <w:szCs w:val="18"/>
          <w:color w:val="auto"/>
        </w:rPr>
      </w:pPr>
    </w:p>
    <w:p>
      <w:pPr>
        <w:ind w:left="820" w:right="260" w:hanging="488"/>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7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89" w:lineRule="exact"/>
        <w:rPr>
          <w:rFonts w:ascii="Arial" w:cs="Arial" w:eastAsia="Arial" w:hAnsi="Arial"/>
          <w:sz w:val="18"/>
          <w:szCs w:val="18"/>
          <w:color w:val="auto"/>
        </w:rPr>
      </w:pPr>
    </w:p>
    <w:p>
      <w:pPr>
        <w:ind w:left="820" w:right="40" w:hanging="488"/>
        <w:spacing w:after="0" w:line="34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which substantially exceed our expectations and/or exceed the amount of reinsurance we have purchased to protect us from such events;</w:t>
      </w:r>
    </w:p>
    <w:p>
      <w:pPr>
        <w:spacing w:after="0" w:line="21"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right="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30"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February 27, 2019.</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89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Fixed maturity securities, available-for-sale, at fair value (amortized cost: 2019 – $1,244,427; 2018 – $1,199,409)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securities, at fair value (cost: 2019 – $79,623; 2018 – $77,152)</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84,405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 at amortized cost,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92,134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72,321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1,765,248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1,677,846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132,552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351,724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307,899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unpaid losses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467,371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recoverable on paid losses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54,450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95,433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3,299,251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3,136,776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jc w:val="right"/>
              <w:ind w:right="212"/>
              <w:spacing w:after="0"/>
              <w:rPr>
                <w:sz w:val="20"/>
                <w:szCs w:val="20"/>
                <w:color w:val="auto"/>
              </w:rPr>
            </w:pPr>
            <w:r>
              <w:rPr>
                <w:rFonts w:ascii="Arial" w:cs="Arial" w:eastAsia="Arial" w:hAnsi="Arial"/>
                <w:sz w:val="14"/>
                <w:szCs w:val="14"/>
                <w:b w:val="1"/>
                <w:bCs w:val="1"/>
                <w:i w:val="1"/>
                <w:iCs w:val="1"/>
                <w:color w:val="auto"/>
                <w:w w:val="92"/>
              </w:rPr>
              <w:t>(in thousands, except share amounts)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1,661,459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420,601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386,473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reinsurers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61,662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118,300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48,903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51,792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43,794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2,544,954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2,427,535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Shares – 2019 and 2018: $0.0002 par value; 200,000,000 shares authorized; 30,162,045 and 29,988,460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6"/>
              </w:rPr>
              <w:t>Preferred Shares – 2019 and 2018: $0.00125 par value; 20,000,000 shares authorized; no shares issued and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645,310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101,617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79,753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754,297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709,241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3,299,251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3,136,776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4"/>
                <w:szCs w:val="14"/>
                <w:b w:val="1"/>
                <w:bCs w:val="1"/>
                <w:i w:val="1"/>
                <w:iCs w:val="1"/>
                <w:color w:val="auto"/>
                <w:w w:val="93"/>
              </w:rPr>
              <w:t>(in thousands, except share amounts)</w:t>
            </w:r>
          </w:p>
        </w:tc>
        <w:tc>
          <w:tcPr>
            <w:tcW w:w="0" w:type="dxa"/>
            <w:vAlign w:val="bottom"/>
          </w:tcPr>
          <w:p>
            <w:pPr>
              <w:spacing w:after="0"/>
              <w:rPr>
                <w:sz w:val="1"/>
                <w:szCs w:val="1"/>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327,334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298,116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(87,138)</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207,741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210,978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190,152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13,256</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214,127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218,344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139,927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143,772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54,783</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201,230</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unrealized gains (losses), net of taxes of $1,446 in 2019 and $(544) in 2018</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30,059,398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29,764,320</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30,472,304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30,193,303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Shares (Par)</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7"/>
          </w:tcPr>
          <w:p>
            <w:pPr>
              <w:ind w:left="38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29,696,682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636,149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42,827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Compensation expense under share incentive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Cumulative effect of adoption of ASU No.</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2016-01, net of taxes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Cumulative effect of adoption of ASU No.</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2018-02</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Balances at March 31, 2018</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29,866,705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639,183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58,753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685,770</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29,988,460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645,310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709,241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98,975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74,610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Compensation expense under share incentive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Adoption of ASU No. 2016-02,</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rPr>
              <w:t>derecognition of build-to-suit lease, (see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Note 1)</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March 31, 2019</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30,162,045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101,617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754,297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96"/>
        </w:trPr>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35,450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48,461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available-for-sale: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(118,652)</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 – fixed maturity securities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45,466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26,392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 and calls –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45,245</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Purchases – equity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(66,059)</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35,708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11,427</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Return of capital</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receivable or payable,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12,576</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(53,244)</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Senior debt repayment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Issuance of common shares under equity incentive plans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2,862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172,457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163,495</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132,552</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151,046</w:t>
            </w: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64"/>
        </w:trPr>
        <w:tc>
          <w:tcPr>
            <w:tcW w:w="856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2,509</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right="9600" w:firstLine="8"/>
        <w:spacing w:after="0" w:line="400" w:lineRule="auto"/>
        <w:tabs>
          <w:tab w:leader="none" w:pos="30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is authorized to write business in every state and the District of Columbia.</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2018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2018 was derived from the Company’s audited annual consolidated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purpose, and the Company’s relative exposure to the related risks of the VIE on the date it becomes initially involved in the VIE. The Company reassesses its VIE determination with respect to an entity on an ongoing basis.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$30.5 million and $29.8 million as of March 31, 2019 and December 31, 2018, respectively, representing the Company’s maximum exposure to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the three months ended March 31, 2019 and 2018, our U.S. federal income tax expense was 10.8% and 8.7% of income before taxes, respectively.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 xml:space="preserve">Effective January 1, 2018, the Company adopted ASU </w:t>
      </w:r>
      <w:r>
        <w:rPr>
          <w:rFonts w:ascii="Arial" w:cs="Arial" w:eastAsia="Arial" w:hAnsi="Arial"/>
          <w:sz w:val="16"/>
          <w:szCs w:val="16"/>
          <w:color w:val="000000"/>
        </w:rPr>
        <w:t>2018-02,</w:t>
      </w:r>
      <w:r>
        <w:rPr>
          <w:rFonts w:ascii="Arial" w:cs="Arial" w:eastAsia="Arial" w:hAnsi="Arial"/>
          <w:sz w:val="16"/>
          <w:szCs w:val="16"/>
          <w:color w:val="231F20"/>
        </w:rPr>
        <w:t xml:space="preserve"> </w:t>
      </w:r>
      <w:r>
        <w:rPr>
          <w:rFonts w:ascii="Arial" w:cs="Arial" w:eastAsia="Arial" w:hAnsi="Arial"/>
          <w:sz w:val="16"/>
          <w:szCs w:val="16"/>
          <w:i w:val="1"/>
          <w:iCs w:val="1"/>
          <w:color w:val="000000"/>
        </w:rPr>
        <w:t>Income Statement - Reporting Comprehensive Income (Topic 220): Reclassification of</w:t>
      </w:r>
      <w:r>
        <w:rPr>
          <w:rFonts w:ascii="Arial" w:cs="Arial" w:eastAsia="Arial" w:hAnsi="Arial"/>
          <w:sz w:val="16"/>
          <w:szCs w:val="16"/>
          <w:color w:val="231F20"/>
        </w:rPr>
        <w:t xml:space="preserve"> </w:t>
      </w:r>
      <w:r>
        <w:rPr>
          <w:rFonts w:ascii="Arial" w:cs="Arial" w:eastAsia="Arial" w:hAnsi="Arial"/>
          <w:sz w:val="16"/>
          <w:szCs w:val="16"/>
          <w:i w:val="1"/>
          <w:iCs w:val="1"/>
          <w:color w:val="000000"/>
        </w:rPr>
        <w:t xml:space="preserve">Certain Tax Effects from Accumulated Other Comprehensive Income. </w:t>
      </w:r>
      <w:r>
        <w:rPr>
          <w:rFonts w:ascii="Arial" w:cs="Arial" w:eastAsia="Arial" w:hAnsi="Arial"/>
          <w:sz w:val="16"/>
          <w:szCs w:val="16"/>
          <w:color w:val="000000"/>
        </w:rPr>
        <w:t>This update was issued as a result of the enactment of the Tax Cuts and Jobs Act of</w:t>
      </w:r>
      <w:r>
        <w:rPr>
          <w:rFonts w:ascii="Arial" w:cs="Arial" w:eastAsia="Arial" w:hAnsi="Arial"/>
          <w:sz w:val="16"/>
          <w:szCs w:val="16"/>
          <w:i w:val="1"/>
          <w:iCs w:val="1"/>
          <w:color w:val="000000"/>
        </w:rPr>
        <w:t xml:space="preserve"> </w:t>
      </w:r>
      <w:r>
        <w:rPr>
          <w:rFonts w:ascii="Arial" w:cs="Arial" w:eastAsia="Arial" w:hAnsi="Arial"/>
          <w:sz w:val="16"/>
          <w:szCs w:val="16"/>
          <w:color w:val="000000"/>
        </w:rPr>
        <w:t>2017 ("TCJA"). The ASU allows for the option to reclassify the stranded tax effects resulting from the implementation of the TCJA out of accumulated other comprehensive income and into retained earnings. The reclassification resulted in a $711,000 decrease to the Company's retained earnings with a corresponding increase to accumulated other comprehensive income in the first quarter of 2018 in connection with the Company's adoption of this ASU.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 xml:space="preserve">Effective January 1, 2019, the Company adopted ASU 2016-02, </w:t>
      </w:r>
      <w:r>
        <w:rPr>
          <w:rFonts w:ascii="Arial" w:cs="Arial" w:eastAsia="Arial" w:hAnsi="Arial"/>
          <w:sz w:val="16"/>
          <w:szCs w:val="16"/>
          <w:i w:val="1"/>
          <w:iCs w:val="1"/>
          <w:color w:val="231F20"/>
        </w:rPr>
        <w:t>Leases (Topic 842)</w:t>
      </w:r>
      <w:r>
        <w:rPr>
          <w:rFonts w:ascii="Arial" w:cs="Arial" w:eastAsia="Arial" w:hAnsi="Arial"/>
          <w:sz w:val="16"/>
          <w:szCs w:val="16"/>
          <w:color w:val="231F20"/>
        </w:rPr>
        <w:t xml:space="preserve">. This update requires the recognition of a right-of-use asset and a corresponding lease liability, discounted to the present value, for all leases that extend beyond 12 months. </w:t>
      </w:r>
      <w:r>
        <w:rPr>
          <w:rFonts w:ascii="Arial" w:cs="Arial" w:eastAsia="Arial" w:hAnsi="Arial"/>
          <w:sz w:val="16"/>
          <w:szCs w:val="16"/>
          <w:color w:val="000000"/>
        </w:rPr>
        <w:t>The Company adopted the new standard using a</w:t>
      </w:r>
      <w:r>
        <w:rPr>
          <w:rFonts w:ascii="Arial" w:cs="Arial" w:eastAsia="Arial" w:hAnsi="Arial"/>
          <w:sz w:val="16"/>
          <w:szCs w:val="16"/>
          <w:color w:val="231F20"/>
        </w:rPr>
        <w:t xml:space="preserve"> </w:t>
      </w:r>
      <w:r>
        <w:rPr>
          <w:rFonts w:ascii="Arial" w:cs="Arial" w:eastAsia="Arial" w:hAnsi="Arial"/>
          <w:sz w:val="16"/>
          <w:szCs w:val="16"/>
          <w:color w:val="000000"/>
        </w:rPr>
        <w:t>modified retrospective transition method, applying the transition provisions at the beginning of the period of adoption. The Company elected the package of practical expedients permitted under the transition guidance within the new standard and did not elect to use hindsight in determining the lease term. Upon adoption of the new standard, the Company derecognized assets of $22.6 million and liabilities of $30.9 million associated with a lease that was designated as build-to-suit under the previous guidance, and recorded a cumulative-effect adjustment to retained earnings of $8.3 million.</w:t>
      </w:r>
    </w:p>
    <w:p>
      <w:pPr>
        <w:spacing w:after="0" w:line="3"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The Company recorded right-of-use assets of $17.2 million and lease liabilities of $17.8 million at adoption of the new standard associated with operating leases for office space in Bermuda, North Carolina, Virginia, Arizona, and Georgia. The new standard did not materially impact the Company's results of operations, earnings per share, or cash flows, and did not impact compliance under the covenants of our current credit agreements.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At March 31, 2019, right-of-use assets and lease liabilities were $16.4 million and $17.3 million, respectively. Operating lease costs were $1.2 million in the </w:t>
      </w:r>
      <w:r>
        <w:rPr>
          <w:rFonts w:ascii="Arial" w:cs="Arial" w:eastAsia="Arial" w:hAnsi="Arial"/>
          <w:sz w:val="18"/>
          <w:szCs w:val="18"/>
          <w:color w:val="231F20"/>
        </w:rPr>
        <w:t>three months ended March 31, 2019 compared to $1.0 million in the prior year period.</w:t>
      </w:r>
      <w:r>
        <w:rPr>
          <w:rFonts w:ascii="Arial" w:cs="Arial" w:eastAsia="Arial" w:hAnsi="Arial"/>
          <w:sz w:val="18"/>
          <w:szCs w:val="18"/>
          <w:color w:val="auto"/>
        </w:rPr>
        <w:t xml:space="preserve"> The weighted-average discount rate and weighted average remaining lease term for operating leases was 4.3% and 6.0 years, respectively, as of March 31, 2019.</w:t>
      </w:r>
    </w:p>
    <w:p>
      <w:pPr>
        <w:spacing w:after="0" w:line="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summarizes maturities of the Company’s operating lease liabilities as of March 31, 2019, which reconciles to total lease liabilities included in other liabilities on the Company’s condensed consolidated balance sheet.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7560" w:type="dxa"/>
            <w:vAlign w:val="bottom"/>
            <w:gridSpan w:val="2"/>
          </w:tcPr>
          <w:p>
            <w:pPr>
              <w:jc w:val="right"/>
              <w:ind w:right="1910"/>
              <w:spacing w:after="0"/>
              <w:rPr>
                <w:sz w:val="20"/>
                <w:szCs w:val="20"/>
                <w:color w:val="auto"/>
              </w:rPr>
            </w:pPr>
            <w:r>
              <w:rPr>
                <w:rFonts w:ascii="Arial" w:cs="Arial" w:eastAsia="Arial" w:hAnsi="Arial"/>
                <w:sz w:val="18"/>
                <w:szCs w:val="18"/>
                <w:b w:val="1"/>
                <w:bCs w:val="1"/>
                <w:color w:val="auto"/>
              </w:rPr>
              <w:t>JAMES RIVER GROUP HOLDING, LTD. AND SUBSIDIARIES</w:t>
            </w:r>
          </w:p>
        </w:tc>
        <w:tc>
          <w:tcPr>
            <w:tcW w:w="116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p>
        </w:tc>
        <w:tc>
          <w:tcPr>
            <w:tcW w:w="75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w w:val="95"/>
              </w:rPr>
              <w:t>Notes to Condensed Consolidated Financial Statements (continued)</w:t>
            </w:r>
          </w:p>
        </w:tc>
        <w:tc>
          <w:tcPr>
            <w:tcW w:w="1160" w:type="dxa"/>
            <w:vAlign w:val="bottom"/>
          </w:tcPr>
          <w:p>
            <w:pPr>
              <w:spacing w:after="0"/>
              <w:rPr>
                <w:sz w:val="20"/>
                <w:szCs w:val="20"/>
                <w:color w:val="auto"/>
              </w:rPr>
            </w:pPr>
          </w:p>
        </w:tc>
      </w:tr>
      <w:tr>
        <w:trPr>
          <w:trHeight w:val="594"/>
        </w:trPr>
        <w:tc>
          <w:tcPr>
            <w:tcW w:w="27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b w:val="1"/>
                <w:bCs w:val="1"/>
                <w:i w:val="1"/>
                <w:iCs w:val="1"/>
                <w:color w:val="auto"/>
                <w:w w:val="94"/>
              </w:rPr>
              <w:t>(in thousands)</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2019</w:t>
            </w:r>
          </w:p>
        </w:tc>
        <w:tc>
          <w:tcPr>
            <w:tcW w:w="7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2,863</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2021</w:t>
            </w:r>
          </w:p>
        </w:tc>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3,432</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2,639</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2023</w:t>
            </w:r>
          </w:p>
        </w:tc>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2,376</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w:t>
            </w:r>
          </w:p>
        </w:tc>
      </w:tr>
      <w:tr>
        <w:trPr>
          <w:trHeight w:val="237"/>
        </w:trPr>
        <w:tc>
          <w:tcPr>
            <w:tcW w:w="270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7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19,638</w:t>
            </w:r>
          </w:p>
        </w:tc>
      </w:tr>
      <w:tr>
        <w:trPr>
          <w:trHeight w:val="27"/>
        </w:trPr>
        <w:tc>
          <w:tcPr>
            <w:tcW w:w="2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7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57"/>
        </w:trPr>
        <w:tc>
          <w:tcPr>
            <w:tcW w:w="2700" w:type="dxa"/>
            <w:vAlign w:val="bottom"/>
          </w:tcPr>
          <w:p>
            <w:pPr>
              <w:ind w:left="40"/>
              <w:spacing w:after="0"/>
              <w:rPr>
                <w:sz w:val="20"/>
                <w:szCs w:val="20"/>
                <w:color w:val="auto"/>
              </w:rPr>
            </w:pPr>
            <w:r>
              <w:rPr>
                <w:rFonts w:ascii="Arial" w:cs="Arial" w:eastAsia="Arial" w:hAnsi="Arial"/>
                <w:sz w:val="18"/>
                <w:szCs w:val="18"/>
                <w:color w:val="auto"/>
              </w:rPr>
              <w:t>Total operating lease liabilities</w:t>
            </w:r>
          </w:p>
        </w:tc>
        <w:tc>
          <w:tcPr>
            <w:tcW w:w="73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17,308</w:t>
            </w:r>
          </w:p>
        </w:tc>
      </w:tr>
      <w:tr>
        <w:trPr>
          <w:trHeight w:val="20"/>
        </w:trPr>
        <w:tc>
          <w:tcPr>
            <w:tcW w:w="27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June 2016, the FASB issued ASU 2016-13, </w:t>
      </w:r>
      <w:r>
        <w:rPr>
          <w:rFonts w:ascii="Arial" w:cs="Arial" w:eastAsia="Arial" w:hAnsi="Arial"/>
          <w:sz w:val="17"/>
          <w:szCs w:val="17"/>
          <w:i w:val="1"/>
          <w:iCs w:val="1"/>
          <w:color w:val="231F20"/>
        </w:rPr>
        <w:t>Financial Instruments - Credit Losses (Topic 326): Measurement of Credit Losses on Financial</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Instruments. </w:t>
      </w:r>
      <w:r>
        <w:rPr>
          <w:rFonts w:ascii="Arial" w:cs="Arial" w:eastAsia="Arial" w:hAnsi="Arial"/>
          <w:sz w:val="17"/>
          <w:szCs w:val="17"/>
          <w:color w:val="231F20"/>
        </w:rPr>
        <w:t>Current GAAP delays the recognition of credit losses until it is probable a loss has been incurred. The update will require financial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measured at amortized cost, such as bank loan participations held for investment, to be presented at the net amount expected to be collected by means of an allowance for credit losses that runs through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has not yet completed the analysis of how adopting this ASU will affect the Company’s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141,342</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225,702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223,544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552,494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204,612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204,517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126,995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1,244,427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14,766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1,250,926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147,160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204,109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534,024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524,768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197,025</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107,193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1,199,409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March 31, 2019 are summarized, by contractual maturity,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438,067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440,339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229,483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231,221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105,044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109,824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223,544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204,612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204,517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1,244,427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1,250,926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131,841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137,994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127,465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83,063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471,810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554,873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49,180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106,423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438,150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414,704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852,854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held securities of 163 issuers that were in an unrealized loss position at March 31, 2019 with a total fair value of $554.9 million and gross unrealized losses of $8.3 million. None of the fixed maturity securities with unrealized losses has ever missed, or been delinquent on, a scheduled principal or interest payment.</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2019, 99.5%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2019 had an aggregate fair value of $6.8 million and an aggregate net unrealized gain of $23,000.</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Management concluded that three fixed maturity securities from one issuer that we intend to sell at a loss in the second quarter were impaired as of March 31, 2019. The Company recorded impairment losses on these securities of $271,000 in the three months ended March 31, 2019. Management concluded that none of the fixed maturity securities with an unrealized loss at December 31, 2018 experienced an other-than-temporary impairment. For fixed maturity securities available-for-sale that are not other-than-temporarily impaired at March 31, 2019, 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Management concluded that two of the loans in the Company's bank loan portfolio were impaired at March 31, 2019. At March 31, 2019, the impaired loans had a carrying value of $4.4 million, unpaid principal of $5.9 million, and an allowance for credit losses of $1.5 million. Management concluded that none of the loans in the Company's bank loan portfolio were impaired at December 31, 2018. The aggregate allowance for credit losses on impaired loans was $300,000 at March 31, 2018 and $3.2 million at December 31, 2017.</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At December 31, 2017, the Company held a participation in a loan with unpaid principal of $807,000 issued by a company that produces and supplies power to Puerto Rico through a power purchase agreement with Puerto Rico Electric Power Authority, a public corporation and governmental agency of the Commonwealth of Puerto Rico. Management concluded that an allowance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for credit losses should be established on the loan at December 31, 2017 to reduce its carrying value to $0. In the first quarter of 2018, the full outstanding principal on the loan was repaid and the Company recognized a realized gain of $807,000 on the repayment.</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2019 or December 31, 2018.</w:t>
      </w:r>
    </w:p>
    <w:p>
      <w:pPr>
        <w:spacing w:after="0" w:line="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The allowance for credit losses is maintained at a level believed adequate by management to absorb estimated probable credit losses. Management’s periodic evaluation of the adequacy of the allowance is based on consultations and a</w:t>
      </w:r>
      <w:r>
        <w:rPr>
          <w:rFonts w:ascii="Arial" w:cs="Arial" w:eastAsia="Arial" w:hAnsi="Arial"/>
          <w:sz w:val="17"/>
          <w:szCs w:val="17"/>
          <w:color w:val="000000"/>
        </w:rPr>
        <w:t>dvice</w:t>
      </w:r>
      <w:r>
        <w:rPr>
          <w:rFonts w:ascii="Arial" w:cs="Arial" w:eastAsia="Arial" w:hAnsi="Arial"/>
          <w:sz w:val="17"/>
          <w:szCs w:val="17"/>
          <w:color w:val="231F20"/>
        </w:rPr>
        <w:t xml:space="preserve"> of the Company’s independent investment manager, known and inherent risks in the portfolio, adverse situations that may affect the borrower’s ability to repay, the estimated value of any underlying collateral, current economic conditions, and other relevant factors. When an observable market price for a loan is available, the Company has recorded an allowance equal to the difference between the fair value and the amortized cost of bank loans that it has determined to be impaired as a practical expedient for an estimate of probable future cash flows to be collected on those bank loans. Bank loans are charged off against the allowance after all means of collection have been exhausted and the potential for recovery is considered remote.</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average recorded investment in impaired bank loans was $2.2 million and $3.4 million during the three months ended March 31, 2019 and 2018, respectively. Investment income of $0 and $20,000, respectively, was recognized during the time within those periods that the loans were impaired. The Company recorded net realized investment losses of $1.5 million and net realized investment gains of $3,000 in the three months ended March 31, 2019 and 2018, respectively, for changes in the fair value of impaired bank loans.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27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Changes in fair values of equity securities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3"/>
              </w:rPr>
              <w:t>Investment Income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3"/>
                <w:szCs w:val="13"/>
                <w:color w:val="auto"/>
              </w:rPr>
            </w:pPr>
          </w:p>
        </w:tc>
        <w:tc>
          <w:tcPr>
            <w:tcW w:w="2580" w:type="dxa"/>
            <w:vAlign w:val="bottom"/>
            <w:gridSpan w:val="4"/>
          </w:tcPr>
          <w:p>
            <w:pPr>
              <w:jc w:val="center"/>
              <w:ind w:right="373"/>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29,795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74,465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72,321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02"/>
        <w:spacing w:after="0" w:line="272" w:lineRule="auto"/>
        <w:rPr>
          <w:sz w:val="20"/>
          <w:szCs w:val="20"/>
          <w:color w:val="auto"/>
        </w:rPr>
      </w:pPr>
      <w:r>
        <w:rPr>
          <w:rFonts w:ascii="Arial" w:cs="Arial" w:eastAsia="Arial" w:hAnsi="Arial"/>
          <w:sz w:val="17"/>
          <w:szCs w:val="17"/>
          <w:color w:val="auto"/>
        </w:rPr>
        <w:t>(a)The Company’s Corporate and Other segment owns equity interests ranging from 2.6% to 32.2% in various LLCs whose principal objective is capital appreciation and income generation from owning and operating renewable energy production facilities (wind and solar). The LLCs are managed by an entity for which two of our directors serve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$253,000 and $1.2 million in the three months ended March 31, 2019 and 2018, respectively.</w:t>
      </w:r>
    </w:p>
    <w:p>
      <w:pPr>
        <w:spacing w:after="0" w:line="70" w:lineRule="exact"/>
        <w:rPr>
          <w:sz w:val="20"/>
          <w:szCs w:val="20"/>
          <w:color w:val="auto"/>
        </w:rPr>
      </w:pPr>
    </w:p>
    <w:p>
      <w:pPr>
        <w:jc w:val="both"/>
        <w:ind w:left="220" w:hanging="215"/>
        <w:spacing w:after="0" w:line="277" w:lineRule="auto"/>
        <w:rPr>
          <w:sz w:val="20"/>
          <w:szCs w:val="20"/>
          <w:color w:val="auto"/>
        </w:rPr>
      </w:pPr>
      <w:r>
        <w:rPr>
          <w:rFonts w:ascii="Arial" w:cs="Arial" w:eastAsia="Arial" w:hAnsi="Arial"/>
          <w:sz w:val="18"/>
          <w:szCs w:val="18"/>
          <w:color w:val="auto"/>
        </w:rPr>
        <w:t>(b)</w:t>
      </w:r>
      <w:r>
        <w:rPr>
          <w:rFonts w:ascii="Arial" w:cs="Arial" w:eastAsia="Arial" w:hAnsi="Arial"/>
          <w:sz w:val="18"/>
          <w:szCs w:val="18"/>
          <w:color w:val="231F20"/>
        </w:rPr>
        <w:t>The Company's Corporate and Other segment has invested in notes receivable for renewable energy projects. At</w:t>
      </w:r>
      <w:r>
        <w:rPr>
          <w:rFonts w:ascii="Arial" w:cs="Arial" w:eastAsia="Arial" w:hAnsi="Arial"/>
          <w:sz w:val="18"/>
          <w:szCs w:val="18"/>
          <w:color w:val="auto"/>
        </w:rPr>
        <w:t xml:space="preserve"> March 31, 2019</w:t>
      </w:r>
      <w:r>
        <w:rPr>
          <w:rFonts w:ascii="Arial" w:cs="Arial" w:eastAsia="Arial" w:hAnsi="Arial"/>
          <w:sz w:val="18"/>
          <w:szCs w:val="18"/>
          <w:color w:val="231F20"/>
        </w:rPr>
        <w:t>, the Company holds an</w:t>
      </w:r>
      <w:r>
        <w:rPr>
          <w:rFonts w:ascii="Arial" w:cs="Arial" w:eastAsia="Arial" w:hAnsi="Arial"/>
          <w:sz w:val="18"/>
          <w:szCs w:val="18"/>
          <w:color w:val="auto"/>
        </w:rPr>
        <w:t xml:space="preserve"> </w:t>
      </w:r>
      <w:r>
        <w:rPr>
          <w:rFonts w:ascii="Arial" w:cs="Arial" w:eastAsia="Arial" w:hAnsi="Arial"/>
          <w:sz w:val="18"/>
          <w:szCs w:val="18"/>
          <w:color w:val="231F20"/>
        </w:rPr>
        <w:t xml:space="preserve">$8.8 million note issued by an </w:t>
      </w:r>
      <w:r>
        <w:rPr>
          <w:rFonts w:ascii="Arial" w:cs="Arial" w:eastAsia="Arial" w:hAnsi="Arial"/>
          <w:sz w:val="18"/>
          <w:szCs w:val="18"/>
          <w:color w:val="000000"/>
        </w:rPr>
        <w:t>entity for which two of our directors serve as officers</w:t>
      </w:r>
      <w:r>
        <w:rPr>
          <w:rFonts w:ascii="Arial" w:cs="Arial" w:eastAsia="Arial" w:hAnsi="Arial"/>
          <w:sz w:val="18"/>
          <w:szCs w:val="18"/>
          <w:color w:val="231F20"/>
        </w:rPr>
        <w:t>. Interest on</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180"/>
        <w:spacing w:after="0" w:line="324" w:lineRule="auto"/>
        <w:rPr>
          <w:sz w:val="20"/>
          <w:szCs w:val="20"/>
          <w:color w:val="auto"/>
        </w:rPr>
      </w:pPr>
      <w:r>
        <w:rPr>
          <w:rFonts w:ascii="Arial" w:cs="Arial" w:eastAsia="Arial" w:hAnsi="Arial"/>
          <w:sz w:val="18"/>
          <w:szCs w:val="18"/>
          <w:color w:val="231F20"/>
        </w:rPr>
        <w:t>the note, which matures in 2021, is fixed at 15.0%. Interest income on the note was $328,000 and $297,000 for the three months ended March 31, 2019 and 2018, respectively.</w:t>
      </w:r>
    </w:p>
    <w:p>
      <w:pPr>
        <w:spacing w:after="0" w:line="35" w:lineRule="exact"/>
        <w:rPr>
          <w:sz w:val="20"/>
          <w:szCs w:val="20"/>
          <w:color w:val="auto"/>
        </w:rPr>
      </w:pPr>
    </w:p>
    <w:p>
      <w:pPr>
        <w:jc w:val="both"/>
        <w:ind w:left="220" w:hanging="202"/>
        <w:spacing w:after="0" w:line="271" w:lineRule="auto"/>
        <w:rPr>
          <w:sz w:val="20"/>
          <w:szCs w:val="20"/>
          <w:color w:val="auto"/>
        </w:rPr>
      </w:pPr>
      <w:r>
        <w:rPr>
          <w:rFonts w:ascii="Arial" w:cs="Arial" w:eastAsia="Arial" w:hAnsi="Arial"/>
          <w:sz w:val="17"/>
          <w:szCs w:val="17"/>
          <w:color w:val="auto"/>
        </w:rPr>
        <w:t>(c)The Company owns investments in limited partnerships that invest in concentrated portfolios including publicly-traded small cap equities, loans of middle market private equity sponsored companies, equity tranches of collateralized loan obligations (</w:t>
      </w:r>
      <w:r>
        <w:rPr>
          <w:rFonts w:ascii="Arial" w:cs="Arial" w:eastAsia="Arial" w:hAnsi="Arial"/>
          <w:sz w:val="17"/>
          <w:szCs w:val="17"/>
          <w:color w:val="231F20"/>
        </w:rPr>
        <w:t>“</w:t>
      </w:r>
      <w:r>
        <w:rPr>
          <w:rFonts w:ascii="Arial" w:cs="Arial" w:eastAsia="Arial" w:hAnsi="Arial"/>
          <w:sz w:val="17"/>
          <w:szCs w:val="17"/>
          <w:color w:val="auto"/>
        </w:rPr>
        <w:t>CLOs</w:t>
      </w:r>
      <w:r>
        <w:rPr>
          <w:rFonts w:ascii="Arial" w:cs="Arial" w:eastAsia="Arial" w:hAnsi="Arial"/>
          <w:sz w:val="17"/>
          <w:szCs w:val="17"/>
          <w:color w:val="231F20"/>
        </w:rPr>
        <w:t>”</w:t>
      </w:r>
      <w:r>
        <w:rPr>
          <w:rFonts w:ascii="Arial" w:cs="Arial" w:eastAsia="Arial" w:hAnsi="Arial"/>
          <w:sz w:val="17"/>
          <w:szCs w:val="17"/>
          <w:color w:val="auto"/>
        </w:rPr>
        <w:t xml:space="preserve">), and tranches of distressed home loans. </w:t>
      </w:r>
      <w:r>
        <w:rPr>
          <w:rFonts w:ascii="Arial" w:cs="Arial" w:eastAsia="Arial" w:hAnsi="Arial"/>
          <w:sz w:val="17"/>
          <w:szCs w:val="17"/>
          <w:color w:val="231F20"/>
        </w:rPr>
        <w:t>Income</w:t>
      </w:r>
      <w:r>
        <w:rPr>
          <w:rFonts w:ascii="Arial" w:cs="Arial" w:eastAsia="Arial" w:hAnsi="Arial"/>
          <w:sz w:val="17"/>
          <w:szCs w:val="17"/>
          <w:color w:val="auto"/>
        </w:rPr>
        <w:t xml:space="preserve"> </w:t>
      </w:r>
      <w:r>
        <w:rPr>
          <w:rFonts w:ascii="Arial" w:cs="Arial" w:eastAsia="Arial" w:hAnsi="Arial"/>
          <w:sz w:val="17"/>
          <w:szCs w:val="17"/>
          <w:color w:val="231F20"/>
        </w:rPr>
        <w:t>f</w:t>
      </w:r>
      <w:r>
        <w:rPr>
          <w:rFonts w:ascii="Arial" w:cs="Arial" w:eastAsia="Arial" w:hAnsi="Arial"/>
          <w:sz w:val="17"/>
          <w:szCs w:val="17"/>
          <w:color w:val="000000"/>
        </w:rPr>
        <w:t>rom the partnerships is recognized under the equity method of accounting. The Company’s Corporate and Other segment held an investment in a limited</w:t>
      </w:r>
      <w:r>
        <w:rPr>
          <w:rFonts w:ascii="Arial" w:cs="Arial" w:eastAsia="Arial" w:hAnsi="Arial"/>
          <w:sz w:val="17"/>
          <w:szCs w:val="17"/>
          <w:color w:val="231F20"/>
        </w:rPr>
        <w:t xml:space="preserve"> </w:t>
      </w:r>
      <w:r>
        <w:rPr>
          <w:rFonts w:ascii="Arial" w:cs="Arial" w:eastAsia="Arial" w:hAnsi="Arial"/>
          <w:sz w:val="17"/>
          <w:szCs w:val="17"/>
          <w:color w:val="000000"/>
        </w:rPr>
        <w:t xml:space="preserve">partnership with a carrying value of $3.6 million at March 31, 2019. The Company recognized investment income of $481,000 and investment losses of $125,000 on the investment for the three months ended March 31, 2019 and </w:t>
      </w:r>
      <w:r>
        <w:rPr>
          <w:rFonts w:ascii="Arial" w:cs="Arial" w:eastAsia="Arial" w:hAnsi="Arial"/>
          <w:sz w:val="17"/>
          <w:szCs w:val="17"/>
          <w:color w:val="231F20"/>
        </w:rPr>
        <w:t>2018</w:t>
      </w:r>
      <w:r>
        <w:rPr>
          <w:rFonts w:ascii="Arial" w:cs="Arial" w:eastAsia="Arial" w:hAnsi="Arial"/>
          <w:sz w:val="17"/>
          <w:szCs w:val="17"/>
          <w:color w:val="000000"/>
        </w:rPr>
        <w:t xml:space="preserve">, respectively. The Company’s Excess and Surplus Lines segment holds investments in limited partnerships of $27.2 million at March 31, 2019. Investment income of $1.6 million and $351,000 was recognized on the investments for the three months ended March 31, 2019 and </w:t>
      </w:r>
      <w:r>
        <w:rPr>
          <w:rFonts w:ascii="Arial" w:cs="Arial" w:eastAsia="Arial" w:hAnsi="Arial"/>
          <w:sz w:val="17"/>
          <w:szCs w:val="17"/>
          <w:color w:val="231F20"/>
        </w:rPr>
        <w:t>2018</w:t>
      </w:r>
      <w:r>
        <w:rPr>
          <w:rFonts w:ascii="Arial" w:cs="Arial" w:eastAsia="Arial" w:hAnsi="Arial"/>
          <w:sz w:val="17"/>
          <w:szCs w:val="17"/>
          <w:color w:val="000000"/>
        </w:rPr>
        <w:t>, respectively. At March 31, 2019, the Company’s Excess and Surplus Lines segment has outstanding commitments to invest another $625,000 in these limited partnerships.</w:t>
      </w:r>
    </w:p>
    <w:p>
      <w:pPr>
        <w:spacing w:after="0" w:line="71" w:lineRule="exact"/>
        <w:rPr>
          <w:sz w:val="20"/>
          <w:szCs w:val="20"/>
          <w:color w:val="auto"/>
        </w:rPr>
      </w:pPr>
    </w:p>
    <w:p>
      <w:pPr>
        <w:jc w:val="both"/>
        <w:ind w:left="220" w:hanging="215"/>
        <w:spacing w:after="0" w:line="279" w:lineRule="auto"/>
        <w:rPr>
          <w:sz w:val="20"/>
          <w:szCs w:val="20"/>
          <w:color w:val="auto"/>
        </w:rPr>
      </w:pPr>
      <w:r>
        <w:rPr>
          <w:rFonts w:ascii="Arial" w:cs="Arial" w:eastAsia="Arial" w:hAnsi="Arial"/>
          <w:sz w:val="17"/>
          <w:szCs w:val="17"/>
          <w:color w:val="auto"/>
        </w:rPr>
        <w:t>(d)The Company's Corporate and Other segment holds $4.5 million of subordinated notes issued by a bank holding company for which the Company’s Non-Executive Chairman was previously the Lead Independent Director and an investor and for which one of the Company’s directors was an investor and is currently a lender (the "Bank Holding Company"). Interest on the notes, which mature on August 12, 2023, is fixed at 7.6% per annum. Interest income on the notes was $86,000 in both the three months ended March 31, 2019 and 2018, respectively.</w:t>
      </w:r>
    </w:p>
    <w:p>
      <w:pPr>
        <w:spacing w:after="0" w:line="6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At March 31, 2019 and December 31, 2018, the Company held an investment in a CLO where one of the underlying loans was issued by the Bank Holding Company. The investment, with a carrying value of $3.8 million at March 31, 2019, is classified as an available-for-sale fixed maturity.</w:t>
      </w:r>
    </w:p>
    <w:p>
      <w:pPr>
        <w:spacing w:after="0" w:line="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2019 and December 31, 2018.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 relationships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w w:val="95"/>
              </w:rPr>
              <w:t>Identifiable intangible assets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21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56"/>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4"/>
          </w:tcPr>
          <w:p>
            <w:pPr>
              <w:jc w:val="right"/>
              <w:ind w:right="192"/>
              <w:spacing w:after="0" w:line="157" w:lineRule="exact"/>
              <w:rPr>
                <w:sz w:val="20"/>
                <w:szCs w:val="20"/>
                <w:color w:val="auto"/>
              </w:rPr>
            </w:pPr>
            <w:r>
              <w:rPr>
                <w:rFonts w:ascii="Arial" w:cs="Arial" w:eastAsia="Arial" w:hAnsi="Arial"/>
                <w:sz w:val="14"/>
                <w:szCs w:val="14"/>
                <w:b w:val="1"/>
                <w:bCs w:val="1"/>
                <w:i w:val="1"/>
                <w:iCs w:val="1"/>
                <w:color w:val="auto"/>
                <w:w w:val="90"/>
              </w:rPr>
              <w:t>(in thousands, except share and per share</w:t>
            </w:r>
          </w:p>
        </w:tc>
      </w:t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i w:val="1"/>
                <w:iCs w:val="1"/>
                <w:color w:val="auto"/>
              </w:rPr>
              <w:t>amounts)</w:t>
            </w:r>
          </w:p>
        </w:tc>
        <w:tc>
          <w:tcPr>
            <w:tcW w:w="1080" w:type="dxa"/>
            <w:vAlign w:val="bottom"/>
          </w:tcPr>
          <w:p>
            <w:pPr>
              <w:spacing w:after="0"/>
              <w:rPr>
                <w:sz w:val="16"/>
                <w:szCs w:val="16"/>
                <w:color w:val="auto"/>
              </w:rPr>
            </w:pPr>
          </w:p>
        </w:tc>
      </w:tr>
      <w:tr>
        <w:trPr>
          <w:trHeight w:val="25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to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15,633</w:t>
            </w:r>
          </w:p>
        </w:tc>
      </w:tr>
      <w:tr>
        <w:trPr>
          <w:trHeight w:val="324"/>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30,059,398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29,764,320</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412,906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428,983</w:t>
            </w:r>
          </w:p>
        </w:tc>
      </w:tr>
      <w:tr>
        <w:trPr>
          <w:trHeight w:val="297"/>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30,472,304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30,193,303</w:t>
            </w:r>
          </w:p>
        </w:tc>
      </w:tr>
      <w:tr>
        <w:trPr>
          <w:trHeight w:val="311"/>
        </w:trPr>
        <w:tc>
          <w:tcPr>
            <w:tcW w:w="8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Common share equivalents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Common share equivalents relate to our outstanding equity awards (stock options and restricted share units ("RSUs")). For the </w:t>
      </w:r>
      <w:r>
        <w:rPr>
          <w:rFonts w:ascii="Arial" w:cs="Arial" w:eastAsia="Arial" w:hAnsi="Arial"/>
          <w:sz w:val="18"/>
          <w:szCs w:val="18"/>
          <w:color w:val="231F20"/>
        </w:rPr>
        <w:t>three months ended March</w:t>
      </w:r>
      <w:r>
        <w:rPr>
          <w:rFonts w:ascii="Arial" w:cs="Arial" w:eastAsia="Arial" w:hAnsi="Arial"/>
          <w:sz w:val="18"/>
          <w:szCs w:val="18"/>
          <w:color w:val="auto"/>
        </w:rPr>
        <w:t xml:space="preserve"> </w:t>
      </w:r>
      <w:r>
        <w:rPr>
          <w:rFonts w:ascii="Arial" w:cs="Arial" w:eastAsia="Arial" w:hAnsi="Arial"/>
          <w:sz w:val="18"/>
          <w:szCs w:val="18"/>
          <w:color w:val="231F20"/>
        </w:rPr>
        <w:t xml:space="preserve">31, 2019 </w:t>
      </w:r>
      <w:r>
        <w:rPr>
          <w:rFonts w:ascii="Arial" w:cs="Arial" w:eastAsia="Arial" w:hAnsi="Arial"/>
          <w:sz w:val="18"/>
          <w:szCs w:val="18"/>
          <w:color w:val="000000"/>
        </w:rPr>
        <w:t>and 2018, common share equivalents of 171,509 and 192,817 shares, respectively, were excluded from the calculations of diluted earnings per share</w:t>
      </w:r>
      <w:r>
        <w:rPr>
          <w:rFonts w:ascii="Arial" w:cs="Arial" w:eastAsia="Arial" w:hAnsi="Arial"/>
          <w:sz w:val="18"/>
          <w:szCs w:val="18"/>
          <w:color w:val="231F20"/>
        </w:rPr>
        <w:t xml:space="preserve"> </w:t>
      </w:r>
      <w:r>
        <w:rPr>
          <w:rFonts w:ascii="Arial" w:cs="Arial" w:eastAsia="Arial" w:hAnsi="Arial"/>
          <w:sz w:val="18"/>
          <w:szCs w:val="18"/>
          <w:color w:val="000000"/>
        </w:rPr>
        <w:t>as their effects were anti-dilutive.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216"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23495</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9" w:lineRule="exact"/>
        <w:rPr>
          <w:sz w:val="20"/>
          <w:szCs w:val="20"/>
          <w:color w:val="auto"/>
        </w:rPr>
      </w:pPr>
    </w:p>
    <w:p>
      <w:pPr>
        <w:ind w:left="9440"/>
        <w:spacing w:after="0"/>
        <w:rPr>
          <w:sz w:val="20"/>
          <w:szCs w:val="20"/>
          <w:color w:val="auto"/>
        </w:rPr>
      </w:pPr>
      <w:r>
        <w:rPr>
          <w:rFonts w:ascii="Arial" w:cs="Arial" w:eastAsia="Arial" w:hAnsi="Arial"/>
          <w:sz w:val="14"/>
          <w:szCs w:val="14"/>
          <w:b w:val="1"/>
          <w:bCs w:val="1"/>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Reserve for losses and loss adjustment expenses net of reinsurance recoverables at beginning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1,194,088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989,825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146,382</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143,772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107,684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83,117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95,294</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 net of reinsurance recoverables at end of period</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1,221,652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1,038,303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Reinsurance recoverables on unpaid losses and loss adjustment expenses at end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508,655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331,245</w:t>
            </w:r>
          </w:p>
        </w:tc>
        <w:tc>
          <w:tcPr>
            <w:tcW w:w="0" w:type="dxa"/>
            <w:vAlign w:val="bottom"/>
          </w:tcPr>
          <w:p>
            <w:pPr>
              <w:spacing w:after="0"/>
              <w:rPr>
                <w:sz w:val="1"/>
                <w:szCs w:val="1"/>
                <w:color w:val="auto"/>
              </w:rPr>
            </w:pPr>
          </w:p>
        </w:tc>
      </w:tr>
      <w:tr>
        <w:trPr>
          <w:trHeight w:val="209"/>
        </w:trPr>
        <w:tc>
          <w:tcPr>
            <w:tcW w:w="8320" w:type="dxa"/>
            <w:vAlign w:val="bottom"/>
          </w:tcPr>
          <w:p>
            <w:pPr>
              <w:ind w:left="40"/>
              <w:spacing w:after="0"/>
              <w:rPr>
                <w:sz w:val="20"/>
                <w:szCs w:val="20"/>
                <w:color w:val="auto"/>
              </w:rPr>
            </w:pPr>
            <w:r>
              <w:rPr>
                <w:rFonts w:ascii="Arial" w:cs="Arial" w:eastAsia="Arial" w:hAnsi="Arial"/>
                <w:sz w:val="18"/>
                <w:szCs w:val="18"/>
                <w:color w:val="auto"/>
                <w:w w:val="93"/>
              </w:rPr>
              <w:t>Reserve for losses and loss adjustment expenses gross of reinsurance recoverables on unpaid losses and loss</w:t>
            </w: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1,730,307</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1,369,548</w:t>
            </w:r>
          </w:p>
        </w:tc>
        <w:tc>
          <w:tcPr>
            <w:tcW w:w="0" w:type="dxa"/>
            <w:vAlign w:val="bottom"/>
          </w:tcPr>
          <w:p>
            <w:pPr>
              <w:spacing w:after="0"/>
              <w:rPr>
                <w:sz w:val="1"/>
                <w:szCs w:val="1"/>
                <w:color w:val="auto"/>
              </w:rPr>
            </w:pPr>
          </w:p>
        </w:tc>
      </w:tr>
      <w:tr>
        <w:trPr>
          <w:trHeight w:val="242"/>
        </w:trPr>
        <w:tc>
          <w:tcPr>
            <w:tcW w:w="8320" w:type="dxa"/>
            <w:vAlign w:val="bottom"/>
          </w:tcPr>
          <w:p>
            <w:pPr>
              <w:ind w:left="40"/>
              <w:spacing w:after="0"/>
              <w:rPr>
                <w:sz w:val="20"/>
                <w:szCs w:val="20"/>
                <w:color w:val="auto"/>
              </w:rPr>
            </w:pPr>
            <w:r>
              <w:rPr>
                <w:rFonts w:ascii="Arial" w:cs="Arial" w:eastAsia="Arial" w:hAnsi="Arial"/>
                <w:sz w:val="18"/>
                <w:szCs w:val="18"/>
                <w:color w:val="auto"/>
              </w:rPr>
              <w:t>adjustment expenses at end of period</w:t>
            </w:r>
          </w:p>
        </w:tc>
        <w:tc>
          <w:tcPr>
            <w:tcW w:w="4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experienced $1.0 million of adverse reserve development in the three months ended March 31, 2019 on the reserve for losses and loss adjustment expenses held at December 31, 2018. This reserve development included $10,000 of favorable development in the Excess and Surplus Lines segment. The Specialty Admitted Insurance segment experienced $2.0 million of favorable development due to favorable development in the workers' compensation business for prior accident years. The Company also experienced $3.0 million of adverse development in the Casualty Reinsurance segment primarily related to losses from risk profiles and treaty structures that the Company no longer writes.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experienced $2.6 million of favorable reserve development in the three months ended March 31, 2018 on the reserve for losses and loss adjustment expenses held at December 31, 2017. This reserve development included $1.1 million of favorable development in the Excess and Surplus Lines segment, primarily from the 2016 and 2017 accident years. The Specialty Admitted Insurance segment experienced $1.3 million of favorable development, primarily due to favorable development in the workers' compensation business for the 2014 through 2016 accident years. The Company also experienced $176,000 of favorable development in the Casualty Reinsurance segment.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income (loss):</w:t>
      </w:r>
    </w:p>
    <w:p>
      <w:pPr>
        <w:spacing w:after="0" w:line="27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arising during the period, before U.S.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arising during the period, net of U.S.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investment (gains) losses realized in 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20,260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In addition to the $228,000 and $201,000 of net realized investment losses on available-for-sale fixed maturity securities for the </w:t>
      </w:r>
      <w:r>
        <w:rPr>
          <w:rFonts w:ascii="Arial" w:cs="Arial" w:eastAsia="Arial" w:hAnsi="Arial"/>
          <w:sz w:val="18"/>
          <w:szCs w:val="18"/>
          <w:color w:val="231F20"/>
        </w:rPr>
        <w:t>three months ended</w:t>
      </w:r>
      <w:r>
        <w:rPr>
          <w:rFonts w:ascii="Arial" w:cs="Arial" w:eastAsia="Arial" w:hAnsi="Arial"/>
          <w:sz w:val="18"/>
          <w:szCs w:val="18"/>
          <w:color w:val="auto"/>
        </w:rPr>
        <w:t xml:space="preserve"> </w:t>
      </w:r>
      <w:r>
        <w:rPr>
          <w:rFonts w:ascii="Arial" w:cs="Arial" w:eastAsia="Arial" w:hAnsi="Arial"/>
          <w:sz w:val="18"/>
          <w:szCs w:val="18"/>
          <w:color w:val="231F20"/>
        </w:rPr>
        <w:t>March 31, 2019 and 2018, respectively</w:t>
      </w:r>
      <w:r>
        <w:rPr>
          <w:rFonts w:ascii="Arial" w:cs="Arial" w:eastAsia="Arial" w:hAnsi="Arial"/>
          <w:sz w:val="18"/>
          <w:szCs w:val="18"/>
          <w:color w:val="000000"/>
        </w:rPr>
        <w:t>, the Company also recognized $1.7 million of net realized investment losses and $1.1 million of net realized</w:t>
      </w:r>
      <w:r>
        <w:rPr>
          <w:rFonts w:ascii="Arial" w:cs="Arial" w:eastAsia="Arial" w:hAnsi="Arial"/>
          <w:sz w:val="18"/>
          <w:szCs w:val="18"/>
          <w:color w:val="231F20"/>
        </w:rPr>
        <w:t xml:space="preserve"> </w:t>
      </w:r>
      <w:r>
        <w:rPr>
          <w:rFonts w:ascii="Arial" w:cs="Arial" w:eastAsia="Arial" w:hAnsi="Arial"/>
          <w:sz w:val="18"/>
          <w:szCs w:val="18"/>
          <w:color w:val="000000"/>
        </w:rPr>
        <w:t>investment gains in the respective periods on its investments in bank loan participations, and $3.5 million of net realized gains and $1.7 million of net realized losses in the respective periods for the change in fair values of equity securities.</w:t>
      </w:r>
    </w:p>
    <w:p>
      <w:pPr>
        <w:spacing w:after="0" w:line="7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reinsurance subsidiary, JRG Re, has entered into three letter of credit facilities with banks as security to third-party reinsureds on reinsurance assumed by JRG Re. JRG Re has established custodial accounts to secure these letters of credit. Under a $75.0 million facility, $49.4 million of letters of credit were issued through March 31, 2019 which were secured by deposits of $61.8 million. Under a $102.5 million facility, $68.0 million of letters of credit were issued through March 31, 2019 which were secured by deposits of $93.5 million. Under a $100.0 million facility, $5.3 million of letters of credit were issued through March 31, 2019 which were secured by deposits of $10.5 million. JRG Re has also established trust accounts to secure its obligations to selected reinsureds. The total amount deposited in the trust accounts for the benefit of third-party reinsureds was $290.1 million at March 31, 2019.</w:t>
      </w:r>
    </w:p>
    <w:p>
      <w:pPr>
        <w:spacing w:after="0" w:line="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 liabilities. The collateral is currently provided through a collateral trust arrangement established in favor of the Company by a captive insurance company affiliate of the insured group. At March 31, 2019, the cash equivalent collateral held in the collateral trust arrangement was approximately $1,156.0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is included in that segment’s underwriting profit. Gross fee income of $2.7 million and $4.8 million was included in underwriting profit for the three months ended March 31, 2019 and 2018, respectively. Segment results are reported prior to the effects of intercompany reinsurance agreements among the Company’s insurance subsidiaries.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5"/>
              </w:rPr>
              <w:t>Excess and</w:t>
            </w:r>
          </w:p>
        </w:tc>
        <w:tc>
          <w:tcPr>
            <w:tcW w:w="380" w:type="dxa"/>
            <w:vAlign w:val="bottom"/>
          </w:tcPr>
          <w:p>
            <w:pPr>
              <w:spacing w:after="0"/>
              <w:rPr>
                <w:sz w:val="14"/>
                <w:szCs w:val="14"/>
                <w:color w:val="auto"/>
              </w:rPr>
            </w:pPr>
          </w:p>
        </w:tc>
        <w:tc>
          <w:tcPr>
            <w:tcW w:w="112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2"/>
              </w:rPr>
              <w:t>Casualty</w:t>
            </w:r>
          </w:p>
        </w:tc>
        <w:tc>
          <w:tcPr>
            <w:tcW w:w="34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1"/>
              </w:rPr>
              <w:t>Surplus</w:t>
            </w:r>
          </w:p>
        </w:tc>
        <w:tc>
          <w:tcPr>
            <w:tcW w:w="380" w:type="dxa"/>
            <w:vAlign w:val="bottom"/>
          </w:tcPr>
          <w:p>
            <w:pPr>
              <w:spacing w:after="0"/>
              <w:rPr>
                <w:sz w:val="12"/>
                <w:szCs w:val="12"/>
                <w:color w:val="auto"/>
              </w:rPr>
            </w:pPr>
          </w:p>
        </w:tc>
        <w:tc>
          <w:tcPr>
            <w:tcW w:w="112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8"/>
              </w:rPr>
              <w:t>Admitted</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Lines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Insurance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Reinsurance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186,549</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102,953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37,832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327,334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141,672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36,120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13,102</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11,172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2,808</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152,437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13,736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46,010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214,127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1,013,069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706,451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1,517,142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62,589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3,299,251</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167,486</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87,401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43,229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129,971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13,340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57,631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11,299</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1,744</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2,522</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137,327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65,526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909,963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495,096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1,368,872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88,079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2,862,010</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the underwriting profit (loss) of the operating segments by individual segment to consolidated income before taxes:</w:t>
      </w:r>
    </w:p>
    <w:p>
      <w:pPr>
        <w:spacing w:after="0" w:line="282"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of the insurance segments: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13,102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11,299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1,744</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13,256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17,114</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right"/>
        <w:ind w:right="7460"/>
        <w:spacing w:after="0"/>
        <w:tabs>
          <w:tab w:leader="none" w:pos="110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Other Operating Expenses and Other Expenses</w:t>
      </w:r>
    </w:p>
    <w:p>
      <w:pPr>
        <w:spacing w:after="0" w:line="121" w:lineRule="exact"/>
        <w:rPr>
          <w:sz w:val="20"/>
          <w:szCs w:val="20"/>
          <w:color w:val="auto"/>
        </w:rPr>
      </w:pPr>
    </w:p>
    <w:p>
      <w:pPr>
        <w:jc w:val="right"/>
        <w:ind w:right="7460"/>
        <w:spacing w:after="0"/>
        <w:rPr>
          <w:sz w:val="20"/>
          <w:szCs w:val="20"/>
          <w:color w:val="auto"/>
        </w:rPr>
      </w:pPr>
      <w:r>
        <w:rPr>
          <w:rFonts w:ascii="Arial" w:cs="Arial" w:eastAsia="Arial" w:hAnsi="Arial"/>
          <w:sz w:val="17"/>
          <w:szCs w:val="17"/>
          <w:color w:val="auto"/>
        </w:rPr>
        <w:t>Other operating expenses consist of the following:</w:t>
      </w:r>
    </w:p>
    <w:p>
      <w:pPr>
        <w:spacing w:after="0" w:line="282"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30,198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underwriting expenses of the operating segments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19,225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17,154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45,752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54,783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46" w:lineRule="exact"/>
        <w:rPr>
          <w:sz w:val="20"/>
          <w:szCs w:val="20"/>
          <w:color w:val="auto"/>
        </w:rPr>
      </w:pPr>
    </w:p>
    <w:p>
      <w:pPr>
        <w:jc w:val="both"/>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2017.</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March 31, 2019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141,342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141,342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223,544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223,544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552,494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552,494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204,517</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126,472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126,995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126,472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1,124,454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1,250,926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65,148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65,148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18,323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65,905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84,405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92,134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92,134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7"/>
          </w:tcPr>
          <w:p>
            <w:pPr>
              <w:ind w:left="340"/>
              <w:spacing w:after="0"/>
              <w:rPr>
                <w:sz w:val="20"/>
                <w:szCs w:val="20"/>
                <w:color w:val="auto"/>
              </w:rPr>
            </w:pPr>
            <w:r>
              <w:rPr>
                <w:rFonts w:ascii="Arial" w:cs="Arial" w:eastAsia="Arial" w:hAnsi="Arial"/>
                <w:sz w:val="18"/>
                <w:szCs w:val="18"/>
                <w:color w:val="auto"/>
              </w:rPr>
              <w:t>Assets measured at fair value on a recurring basis as of December 31, 2018 are summarized below:</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149,295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204,109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524,768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524,768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197,025</w:t>
            </w: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106,651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107,193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106,651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1,073,323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60,740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61,497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80,716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Company held one available-for-sale fixed maturity security at December 31, 2018 for which the fair value was determined using significant unobservable inputs (Level 3). A market approach using prices in trades of comparable securities was utilized to determine a fair value of $4.2 million for the security at December 31, 2018. A principal payment of $456,000 was received on the available-for-sale fixed maturity security in the three months ended March 31, 2019. The Company was able to obtain a quoted price from a pricing vendor for the available-for-sale fixed maturity security at March 31, 2019 and it was transferred to Level 2.</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2019 and December 31, 2018, the Company held one equity security for which the fair value was determined using significant unobservable inputs (Level 3). A market approach using prices in trades of comparable securities was utilized to determine a fair value for the security of $177,000 at March 31, 2019 and $214,000 at December 31, 2018. There were no purchases or sales involving Level 3 securities for the three months ended March 31, 2019 or 2018. There were no transfers involving Level 3 securities for the three months ended March 31, 2018.</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ended March 31, 2019 or 2018. The Company recognizes transfers between levels at the beginning of the reporting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realized gains or losses included in earnings for the three months ended March 31, 2019 attributable to the change in unrealized gains or losses relating to Level 3 assets valued at fair value on a recurring basis that are still held at March 31, 2019.</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Active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Bank loan participations held-for-investment that were determined to be impaired were written down to their fair value of $4.4 million </w:t>
      </w:r>
      <w:r>
        <w:rPr>
          <w:rFonts w:ascii="Arial" w:cs="Arial" w:eastAsia="Arial" w:hAnsi="Arial"/>
          <w:sz w:val="17"/>
          <w:szCs w:val="17"/>
          <w:color w:val="231F20"/>
        </w:rPr>
        <w:t>a</w:t>
      </w:r>
      <w:r>
        <w:rPr>
          <w:rFonts w:ascii="Arial" w:cs="Arial" w:eastAsia="Arial" w:hAnsi="Arial"/>
          <w:sz w:val="17"/>
          <w:szCs w:val="17"/>
          <w:color w:val="auto"/>
        </w:rPr>
        <w:t xml:space="preserve">t March 31, 2019. </w:t>
      </w:r>
      <w:r>
        <w:rPr>
          <w:rFonts w:ascii="Arial" w:cs="Arial" w:eastAsia="Arial" w:hAnsi="Arial"/>
          <w:sz w:val="17"/>
          <w:szCs w:val="17"/>
          <w:color w:val="231F20"/>
        </w:rPr>
        <w:t>Management concluded that none of the bank loan participations held-for-investment were impaired as of</w:t>
      </w:r>
      <w:r>
        <w:rPr>
          <w:rFonts w:ascii="Arial" w:cs="Arial" w:eastAsia="Arial" w:hAnsi="Arial"/>
          <w:sz w:val="17"/>
          <w:szCs w:val="17"/>
          <w:color w:val="auto"/>
        </w:rPr>
        <w:t xml:space="preserve"> December 31, 2018</w:t>
      </w:r>
      <w:r>
        <w:rPr>
          <w:rFonts w:ascii="Arial" w:cs="Arial" w:eastAsia="Arial" w:hAnsi="Arial"/>
          <w:sz w:val="17"/>
          <w:szCs w:val="17"/>
          <w:color w:val="231F20"/>
        </w:rPr>
        <w:t>.</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2019 and December 31, 2018, there were no investments for which external sources were unavailable to determine fair value.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1,250,926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1,250,926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1,184,202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84,405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78,385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263,318</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257,298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260,972</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250,697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132,552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132,552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172,457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92,134</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92,134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81,966</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13,250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13,250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debt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98,300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118,300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Junior subordinated debt</w:t>
            </w: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104,055</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120,815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104,055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117,057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March 31, 2019 and December 31, 2018 were determined by calculating the present value of expected future cash flows under the terms of the note agreements or debt agreements, as applicable, discounted at an estimated market rate of interest at March 31, 2019 and December 31, 2018,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bank loan participations held-for-investment, senior debt, and junior subordinated debt at March 31, 2019 and December 31, 2018 were determined using inputs to the valuation methodology that are unobservable (Level 3).</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173,585 common shares in the three months ended March 31, 2019 with 98,975 of the new shares related to stock option exercises and 74,610 of the new shares related to vesting of RSUs. The total common shares outstanding increased from 29,988,460 at December 31, 2018 to 30,162,045 at March 31, 2019.</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three months of 2019 and 2018:</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Dividend per</w:t>
            </w:r>
          </w:p>
        </w:tc>
        <w:tc>
          <w:tcPr>
            <w:tcW w:w="22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Payable to Shareholders of</w:t>
            </w: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ind w:left="320"/>
              <w:spacing w:after="0"/>
              <w:rPr>
                <w:sz w:val="20"/>
                <w:szCs w:val="20"/>
                <w:color w:val="auto"/>
              </w:rPr>
            </w:pPr>
            <w:r>
              <w:rPr>
                <w:rFonts w:ascii="Arial" w:cs="Arial" w:eastAsia="Arial" w:hAnsi="Arial"/>
                <w:sz w:val="16"/>
                <w:szCs w:val="16"/>
                <w:b w:val="1"/>
                <w:bCs w:val="1"/>
                <w:color w:val="auto"/>
              </w:rPr>
              <w:t>Date of Declaration</w:t>
            </w:r>
          </w:p>
        </w:tc>
        <w:tc>
          <w:tcPr>
            <w:tcW w:w="54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Common Share</w:t>
            </w:r>
          </w:p>
        </w:tc>
        <w:tc>
          <w:tcPr>
            <w:tcW w:w="22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Record on</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Payment Date</w:t>
            </w:r>
          </w:p>
        </w:tc>
        <w:tc>
          <w:tcPr>
            <w:tcW w:w="600" w:type="dxa"/>
            <w:vAlign w:val="bottom"/>
          </w:tcPr>
          <w:p>
            <w:pPr>
              <w:spacing w:after="0"/>
              <w:rPr>
                <w:sz w:val="18"/>
                <w:szCs w:val="18"/>
                <w:color w:val="auto"/>
              </w:rPr>
            </w:pPr>
          </w:p>
        </w:tc>
        <w:tc>
          <w:tcPr>
            <w:tcW w:w="1760" w:type="dxa"/>
            <w:vAlign w:val="bottom"/>
          </w:tcPr>
          <w:p>
            <w:pPr>
              <w:ind w:left="220"/>
              <w:spacing w:after="0"/>
              <w:rPr>
                <w:sz w:val="20"/>
                <w:szCs w:val="20"/>
                <w:color w:val="auto"/>
              </w:rPr>
            </w:pPr>
            <w:r>
              <w:rPr>
                <w:rFonts w:ascii="Arial" w:cs="Arial" w:eastAsia="Arial" w:hAnsi="Arial"/>
                <w:sz w:val="16"/>
                <w:szCs w:val="16"/>
                <w:b w:val="1"/>
                <w:bCs w:val="1"/>
                <w:color w:val="auto"/>
              </w:rPr>
              <w:t>Total Amount</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03"/>
        </w:trPr>
        <w:tc>
          <w:tcPr>
            <w:tcW w:w="24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20, 2019</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0.30</w:t>
            </w:r>
          </w:p>
        </w:tc>
        <w:tc>
          <w:tcPr>
            <w:tcW w:w="228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March 11, 2019</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March 29, 2019</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9.1 million</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24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r>
      <w:tr>
        <w:trPr>
          <w:trHeight w:val="237"/>
        </w:trPr>
        <w:tc>
          <w:tcPr>
            <w:tcW w:w="2440" w:type="dxa"/>
            <w:vAlign w:val="bottom"/>
            <w:gridSpan w:val="3"/>
          </w:tcPr>
          <w:p>
            <w:pPr>
              <w:ind w:left="40"/>
              <w:spacing w:after="0"/>
              <w:rPr>
                <w:sz w:val="20"/>
                <w:szCs w:val="20"/>
                <w:color w:val="auto"/>
              </w:rPr>
            </w:pPr>
            <w:r>
              <w:rPr>
                <w:rFonts w:ascii="Arial" w:cs="Arial" w:eastAsia="Arial" w:hAnsi="Arial"/>
                <w:sz w:val="16"/>
                <w:szCs w:val="16"/>
                <w:color w:val="auto"/>
              </w:rPr>
              <w:t>February 22, 2018</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0.30</w:t>
            </w:r>
          </w:p>
        </w:tc>
        <w:tc>
          <w:tcPr>
            <w:tcW w:w="2280" w:type="dxa"/>
            <w:vAlign w:val="bottom"/>
          </w:tcPr>
          <w:p>
            <w:pPr>
              <w:jc w:val="center"/>
              <w:ind w:right="119"/>
              <w:spacing w:after="0"/>
              <w:rPr>
                <w:sz w:val="20"/>
                <w:szCs w:val="20"/>
                <w:color w:val="auto"/>
              </w:rPr>
            </w:pPr>
            <w:r>
              <w:rPr>
                <w:rFonts w:ascii="Arial" w:cs="Arial" w:eastAsia="Arial" w:hAnsi="Arial"/>
                <w:sz w:val="16"/>
                <w:szCs w:val="16"/>
                <w:color w:val="auto"/>
                <w:w w:val="93"/>
              </w:rPr>
              <w:t>March 12, 2018</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March 30, 2018</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Pr>
          <w:p>
            <w:pPr>
              <w:ind w:left="980"/>
              <w:spacing w:after="0"/>
              <w:rPr>
                <w:sz w:val="20"/>
                <w:szCs w:val="20"/>
                <w:color w:val="auto"/>
              </w:rPr>
            </w:pPr>
            <w:r>
              <w:rPr>
                <w:rFonts w:ascii="Arial" w:cs="Arial" w:eastAsia="Arial" w:hAnsi="Arial"/>
                <w:sz w:val="16"/>
                <w:szCs w:val="16"/>
                <w:color w:val="auto"/>
              </w:rPr>
              <w:t>9.0 million</w:t>
            </w:r>
          </w:p>
        </w:tc>
      </w:tr>
    </w:tbl>
    <w:p>
      <w:pPr>
        <w:spacing w:after="0" w:line="181"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Included in the total dividends for the three months ended March 31, 2019 and 2018 are $107,000 and $99,000 of dividend equivalents on unvested RSUs, respectively. The balance of dividends payable on unvested RSUs was $457,000 at March 31, 2019 and $557,000 at December 31,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March 31, 2019, 1,575,796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50,000, and at March 31, 2019, 8,594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1,115,324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(125,349)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(142,129)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986,216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1,337,107</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926,166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983,508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of the outstanding options vest over two to four years and have a contractual life of seven years from the original date of grant. All of the outstanding options have an exercise price equal to the fair value of the underlying shares at the date of grant. The weighted-average remaining contractual life of the options outstanding and options exercisable at March 31, 2019 was 3.4 years and 3.3 years,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167,295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(109,545)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(62,714)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356,494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331,075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vesting period of RSUs granted to employees range from one to five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16"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based compensation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1,674</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U.S. tax benefit on share based compensation expense</w:t>
            </w:r>
          </w:p>
        </w:tc>
        <w:tc>
          <w:tcPr>
            <w:tcW w:w="94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173</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2019, the Company had $13.7 million of unrecognized share based compensation expense expected to be charged to earnings over a weighted-average period of 2.2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30, 2019, the Board of Directors declared a cash dividend of $0.30 per common share. The dividend is payable on June 28, 2019 to shareholders of record on June 10, 2019.</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30, 2019, the Board of Directors granted awards under the 2014 LTIP to the Company’s employees. RSUs for 11,261 shares were awarded with a fair value on the date of grant of $42.22 per share. The RSUs vest over three years.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At the 2019 Annual General Meeting of Shareholders of the Company (the “Annual Meeting”) held on April 30, 2019, the Company's shareholders approved an amendment to the James River Group Holdings, Ltd. 2014 Non-Employee Director Incentive Plan (the “Non-Employee Director Plan”). The Board of Directors of the Company had previously approved the amendment. The amendment increases the number of the Company's common shares authorized for issuance under the Non-Employee Director Plan by 100,000 shares. No other modifications were made to the Non-Employee Director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or “Quarterly Report”, and Part I, Item 1A “Risk Factors” in our Annual Report on Form 10-K for the year ended December 31, 2018. The results of operations for the three months ended March 31, 2019 are not necessarily indicative of the results that may be expected for the full year ending December 31, 2019,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2018.</w:t>
      </w:r>
    </w:p>
    <w:p>
      <w:pPr>
        <w:spacing w:after="0" w:line="70"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underwriting profit for the three months ended March 31, 2019 was $7.1 million. In the prior year, for the same period, we had an underwriting profit of $7.2 million.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right="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3"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and infrastructure. This segment has admitted licenses and the authority to write excess and surplus lines insurance in 49 states and the District of Columbia;</w:t>
      </w:r>
    </w:p>
    <w:p>
      <w:pPr>
        <w:spacing w:after="0" w:line="46"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63"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right="2020" w:firstLine="324"/>
        <w:spacing w:after="0" w:line="375"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2018. There have been no significant changes to any of these policies during the current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1360" w:type="dxa"/>
            <w:vAlign w:val="bottom"/>
            <w:gridSpan w:val="2"/>
            <w:vMerge w:val="restart"/>
          </w:tcPr>
          <w:p>
            <w:pPr>
              <w:jc w:val="right"/>
              <w:ind w:right="4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gridSpan w:val="3"/>
          </w:tcPr>
          <w:p>
            <w:pPr>
              <w:jc w:val="center"/>
              <w:ind w:left="493"/>
              <w:spacing w:after="0"/>
              <w:rPr>
                <w:sz w:val="20"/>
                <w:szCs w:val="20"/>
                <w:color w:val="auto"/>
              </w:rPr>
            </w:pPr>
            <w:r>
              <w:rPr>
                <w:rFonts w:ascii="Arial" w:cs="Arial" w:eastAsia="Arial" w:hAnsi="Arial"/>
                <w:sz w:val="14"/>
                <w:szCs w:val="14"/>
                <w:b w:val="1"/>
                <w:bCs w:val="1"/>
                <w:i w:val="1"/>
                <w:iCs w:val="1"/>
                <w:color w:val="auto"/>
                <w:w w:val="88"/>
              </w:rPr>
              <w:t>($ 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327,334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298,116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9.8 %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207,741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210,978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190,152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200,942</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(5.4)%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(139,927)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8"/>
              </w:rPr>
              <w:t>(143,772)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(43,079)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(49,935)</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(13.7)%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(2), (3)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7,146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7,235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13,256</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46.6 %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104</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136.5 %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(2,522)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11.3 %</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15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25,491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17,114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48.9 %</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1,481</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86.6 %</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22,728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15,633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45.4 %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21,713</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16,569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31.0 %</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62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78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2019 and 2018 is gross fee income of $6.4 million and $8.2 million, respectively.</w:t>
      </w:r>
    </w:p>
    <w:p>
      <w:pPr>
        <w:spacing w:after="0" w:line="8" w:lineRule="exact"/>
        <w:rPr>
          <w:rFonts w:ascii="Arial" w:cs="Arial" w:eastAsia="Arial" w:hAnsi="Arial"/>
          <w:sz w:val="18"/>
          <w:szCs w:val="18"/>
          <w:i w:val="1"/>
          <w:iCs w:val="1"/>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an underwriting profit of $7.1 million for the three months ended March 31, 2019. This compares to an underwriting profit of $7.2 million for the same period in the prior year.</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results for the three months ended March 31, 2019 and 2018 include certain non-operating items that are significant to the Company. These items (on a pre-tax basis) include:</w:t>
      </w:r>
    </w:p>
    <w:p>
      <w:pPr>
        <w:spacing w:after="0" w:line="6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realized and unrealized investment gains (losses) of $1.6 million and $(810,000) for the three months ended March 31, 2019 and 2018, respectively. See “— Investing Results" for more information on these realized and unrealized investment gains (losses).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Interest expense of $318,000 for the three months ended March 31, 2018 relating to finance expenses in connection with a minority interest in a real estate partnership pursuant to which we were previously deemed an owner for accounting purposes. Effective with the Company's adoption of </w:t>
      </w:r>
      <w:r>
        <w:rPr>
          <w:rFonts w:ascii="Arial" w:cs="Arial" w:eastAsia="Arial" w:hAnsi="Arial"/>
          <w:sz w:val="18"/>
          <w:szCs w:val="18"/>
          <w:color w:val="231F20"/>
        </w:rPr>
        <w:t>ASU</w:t>
      </w:r>
      <w:r>
        <w:rPr>
          <w:rFonts w:ascii="Arial" w:cs="Arial" w:eastAsia="Arial" w:hAnsi="Arial"/>
          <w:sz w:val="18"/>
          <w:szCs w:val="18"/>
          <w:color w:val="auto"/>
        </w:rPr>
        <w:t xml:space="preserve"> </w:t>
      </w:r>
      <w:r>
        <w:rPr>
          <w:rFonts w:ascii="Arial" w:cs="Arial" w:eastAsia="Arial" w:hAnsi="Arial"/>
          <w:sz w:val="18"/>
          <w:szCs w:val="18"/>
          <w:color w:val="231F20"/>
        </w:rPr>
        <w:t xml:space="preserve">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on January 1, 2019, the Company is no longer deemed the </w:t>
      </w:r>
      <w:r>
        <w:rPr>
          <w:rFonts w:ascii="Arial" w:cs="Arial" w:eastAsia="Arial" w:hAnsi="Arial"/>
          <w:sz w:val="18"/>
          <w:szCs w:val="18"/>
          <w:color w:val="000000"/>
        </w:rPr>
        <w:t>owner for accounting purposes and there is no comparable</w:t>
      </w:r>
      <w:r>
        <w:rPr>
          <w:rFonts w:ascii="Arial" w:cs="Arial" w:eastAsia="Arial" w:hAnsi="Arial"/>
          <w:sz w:val="18"/>
          <w:szCs w:val="18"/>
          <w:color w:val="231F20"/>
        </w:rPr>
        <w:t xml:space="preserve"> </w:t>
      </w:r>
      <w:r>
        <w:rPr>
          <w:rFonts w:ascii="Arial" w:cs="Arial" w:eastAsia="Arial" w:hAnsi="Arial"/>
          <w:sz w:val="18"/>
          <w:szCs w:val="18"/>
          <w:color w:val="000000"/>
        </w:rPr>
        <w:t>expense for the three months ended March 31, 2019.</w:t>
      </w:r>
    </w:p>
    <w:p>
      <w:pPr>
        <w:spacing w:after="0" w:line="7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We define adjusted net operating income as net income excluding certain non-operating expenses such as net realized and unrealized investment gains and losses on investments, expenses related to due diligence costs for various merger and acquisition activities, professional service fees related to the filing of registration statements for the offering of securities, severance costs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associated with terminated employees, and interest expense and other income and expenses on a leased building that we were previously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22,728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Interest expense on leased building the Company was previously deemed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own for 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21,713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combined ratio is a measure of underwriting performance and represents the relationship of incurred losses, loss adjustment expenses and other operating expenses to net earned premiums. Our combined ratio for the three months ended March 31, 2019 was 96.2%. A combined ratio of less than 100% indicates an underwriting profit, while a combined ratio greater than 100% reflects an underwriting loss. The combined ratio for the three months ended March 31, 2019 includes $1.0 million, or 0.5 percentage points, of net adverse reserve development on prior accident years, including $10,000 of net favorable reserve development from the Excess and Surplus Lines segment, $2.0 million of net favorable reserve development from the Specialty Admitted Insurance segment, and $3.0 million of net adverse reserve development from the Casualty Reinsurance segment.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March 31, 2018 was 96.4%. The combined ratio for the three months ended March 31, 2018 includes $2.6 million, or 1.3 percentage points, of net favorable reserve development on prior accident years, including $1.1 million of net favorable reserve development from the Excess and Surplus Lines segment, $1.3 million of net favorable reserve development from the Specialty Admitted Insurance segment, and $176,000 of net favorable reserve development from the Casualty Reinsurance segment.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expense ratio improved from 24.9% for the three months ended March 31, 2018 to 22.6% for the three months ended March 31, 2019. The improvement is due to a 9.0%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74.5% of consolidated net earned premiums for the three months ended March 31, 2019 compared to 64.7% for three months ended March 31, 2018. Gross fee income for the Company declined from $8.2 million for the three months ended March 31, 2018 to $6.4 million for the three months ended March 31, 2019.</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4"/>
                <w:szCs w:val="14"/>
                <w:b w:val="1"/>
                <w:bCs w:val="1"/>
                <w:i w:val="1"/>
                <w:iCs w:val="1"/>
                <w:color w:val="auto"/>
                <w:w w:val="90"/>
              </w:rPr>
              <w:t>($ 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186,549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167,486</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11.4 %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87,401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37,832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43,229</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(12.5)%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327,334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298,116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9.8 %</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154,861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153,931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0.6 %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13,818</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8.7 %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37,859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43,229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(12.4)%</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207,741</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210,978</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141,672</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129,971</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9.0 %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36,120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57,631</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(37.3)%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190,152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200,942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written premiums for the Excess and Surplus Lines segment (which represents 57.0% of our consolidated gross written premiums in the three months ended March 31, 2019) increased 11.4% over the corresponding three month period in the prior year. Excluding commercial auto policies, gross written premiums increased 4.7% over the corresponding three month period in the prior year. Policy submissions excluding commercial auto policies were 17.4% higher and 24.8% more policies were bound in the three months ended March 31, 2019 than in the three months ended March 31, 2018. Rates for the Excess and Surplus Lines segment were up 2.6% compared to the three months ended March 31, 2018. The change in gross written premiums compared to the same period in 2018 was notable in several divisions as shown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i w:val="1"/>
                <w:iCs w:val="1"/>
                <w:color w:val="auto"/>
                <w:w w:val="87"/>
              </w:rPr>
              <w:t>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Auto</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92,002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77,212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19.2 %</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Manufacturers &amp; Contractors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23,511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17,600</w:t>
            </w: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33.6 %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Casualty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46.3 %</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Excess Casualty</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9,796</w:t>
            </w: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54.9 %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Allied Health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21,122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(56.2)%</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11,520</w:t>
            </w: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(44.4)%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divisions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20.6 %</w:t>
            </w:r>
          </w:p>
        </w:tc>
        <w:tc>
          <w:tcPr>
            <w:tcW w:w="0" w:type="dxa"/>
            <w:vAlign w:val="bottom"/>
          </w:tcPr>
          <w:p>
            <w:pPr>
              <w:spacing w:after="0"/>
              <w:rPr>
                <w:sz w:val="1"/>
                <w:szCs w:val="1"/>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Excess and Surplus Lines gross written premium</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186,549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167,486</w:t>
            </w: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11.4 %</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Commercial Auto division is focused on underwriting the hired and non-owned auto liability exposures for a variety of industry segments with a particular niche for insuring organizations that operate networks connecting independent contractors with customers.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31.5% of our consolidated gross written premiums for the three months ended March 31, 2019)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00" w:type="dxa"/>
            <w:vAlign w:val="bottom"/>
          </w:tcPr>
          <w:p>
            <w:pPr>
              <w:jc w:val="right"/>
              <w:ind w:right="297"/>
              <w:spacing w:after="0"/>
              <w:rPr>
                <w:sz w:val="20"/>
                <w:szCs w:val="20"/>
                <w:color w:val="auto"/>
              </w:rPr>
            </w:pPr>
            <w:r>
              <w:rPr>
                <w:rFonts w:ascii="Arial" w:cs="Arial" w:eastAsia="Arial" w:hAnsi="Arial"/>
                <w:sz w:val="14"/>
                <w:szCs w:val="14"/>
                <w:b w:val="1"/>
                <w:bCs w:val="1"/>
                <w:i w:val="1"/>
                <w:iCs w:val="1"/>
                <w:color w:val="auto"/>
                <w:w w:val="87"/>
              </w:rPr>
              <w:t>in thousands)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Individual risk workers’ compensation premium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16,993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12,587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35.0%</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36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85,960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74,814</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14.9%</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gross written premium</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102,953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87,401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Individual risk workers’ compensation premium growth was driven by exposure growth from higher payrolls of our insureds in a strong economy and increased submission flow.</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premium growth in our fronting business was driven by growth in three new fronting relationships that generated $27.9 million of gross written premium in the quarter compared to $0 for the three months ended March 31, 2018. Our largest agency relationship produced $40.2 million of gross written premium for the three months ended March 31, 2019 (down from $48.8 million for the three months ended March 31, 2018) and represented 39.1% of the segment's gross written premium in the three months ended March 31, 2019 down from 55.8% in the three months ended March 31, 2018.</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Gross written premiums for the Casualty Reinsurance segment (which represents 11.5% of our consolidated gross written premiums in the first three months of 2019) decreased 12.5% from the corresponding three month period in the prior year. The reduction in gross written premium in this segment was in line with our expectations and is consistent with our planned reductions for the Casualty Reinsurance segment as we redeploy our capital to where we believe we can make the highest operating returns on tangible equity.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216"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13335</wp:posOffset>
            </wp:positionV>
            <wp:extent cx="2032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premium retention for the Excess and Surplus Lines segment decreased from 91.9% to 83.0% for the three months ended March 31, 2018 and 2019, respectively, due to growth in written premium in the Excess Casualty and Excess Property underwriting divisions, which have higher percentages of ceded premium than our other divisions, and due to the segment ceding $11.1 million of commercial auto written premium in the three months ended March 31, 2019 compared to none in the same quarter of 2018.</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premium retention for the Specialty Admitted Insurance segment decreased slightly from 2018 to 2019 as a result of growth in the segment's fronting business, which generally has much lower net premium retention than our workers’ compensation business. The net retention on the segment’s fronting business was 8.7% and 10.6% for the three months ended March 31, 2019 and 2018, respectively, while the net retention on the workers’ compensation business was 44.5% and 46.8% for the three months ended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7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13335</wp:posOffset>
            </wp:positionV>
            <wp:extent cx="2032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351"/>
        </w:trPr>
        <w:tc>
          <w:tcPr>
            <w:tcW w:w="692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tcPr>
          <w:p>
            <w:pPr>
              <w:ind w:left="340"/>
              <w:spacing w:after="0"/>
              <w:rPr>
                <w:sz w:val="20"/>
                <w:szCs w:val="20"/>
                <w:color w:val="auto"/>
              </w:rPr>
            </w:pPr>
            <w:r>
              <w:rPr>
                <w:rFonts w:ascii="Arial" w:cs="Arial" w:eastAsia="Arial" w:hAnsi="Arial"/>
                <w:sz w:val="18"/>
                <w:szCs w:val="18"/>
                <w:color w:val="auto"/>
              </w:rPr>
              <w:t>Results for the Excess and Surplus Lines segment are as follows: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i w:val="1"/>
                <w:iCs w:val="1"/>
                <w:color w:val="auto"/>
                <w:w w:val="87"/>
              </w:rPr>
              <w:t>in thousands)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186,549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167,486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154,861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153,931</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129,971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(100,619)</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7.5%</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(18,053)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12.8%</w:t>
            </w:r>
          </w:p>
        </w:tc>
        <w:tc>
          <w:tcPr>
            <w:tcW w:w="0" w:type="dxa"/>
            <w:vAlign w:val="bottom"/>
          </w:tcPr>
          <w:p>
            <w:pPr>
              <w:spacing w:after="0"/>
              <w:rPr>
                <w:sz w:val="1"/>
                <w:szCs w:val="1"/>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13,102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11,299</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Ratios:</w:t>
            </w:r>
          </w:p>
        </w:tc>
        <w:tc>
          <w:tcPr>
            <w:tcW w:w="44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4400" w:type="dxa"/>
            <w:vAlign w:val="bottom"/>
          </w:tcPr>
          <w:p>
            <w:pPr>
              <w:jc w:val="right"/>
              <w:ind w:right="510"/>
              <w:spacing w:after="0"/>
              <w:rPr>
                <w:sz w:val="20"/>
                <w:szCs w:val="20"/>
                <w:color w:val="auto"/>
              </w:rPr>
            </w:pPr>
            <w:r>
              <w:rPr>
                <w:rFonts w:ascii="Arial" w:cs="Arial" w:eastAsia="Arial" w:hAnsi="Arial"/>
                <w:sz w:val="18"/>
                <w:szCs w:val="18"/>
                <w:color w:val="auto"/>
              </w:rPr>
              <w:t>76.4%</w:t>
            </w:r>
          </w:p>
        </w:tc>
        <w:tc>
          <w:tcPr>
            <w:tcW w:w="2400" w:type="dxa"/>
            <w:vAlign w:val="bottom"/>
          </w:tcPr>
          <w:p>
            <w:pPr>
              <w:jc w:val="right"/>
              <w:ind w:right="1250"/>
              <w:spacing w:after="0"/>
              <w:rPr>
                <w:sz w:val="20"/>
                <w:szCs w:val="20"/>
                <w:color w:val="auto"/>
              </w:rPr>
            </w:pPr>
            <w:r>
              <w:rPr>
                <w:rFonts w:ascii="Arial" w:cs="Arial" w:eastAsia="Arial" w:hAnsi="Arial"/>
                <w:sz w:val="18"/>
                <w:szCs w:val="18"/>
                <w:color w:val="auto"/>
              </w:rPr>
              <w:t>77.4%</w:t>
            </w:r>
          </w:p>
        </w:tc>
      </w:tr>
      <w:tr>
        <w:trPr>
          <w:trHeight w:val="27"/>
        </w:trPr>
        <w:tc>
          <w:tcPr>
            <w:tcW w:w="4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4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14.4%</w:t>
            </w:r>
          </w:p>
        </w:tc>
        <w:tc>
          <w:tcPr>
            <w:tcW w:w="240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13.9%</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4400" w:type="dxa"/>
            <w:vAlign w:val="bottom"/>
          </w:tcPr>
          <w:p>
            <w:pPr>
              <w:jc w:val="right"/>
              <w:ind w:right="510"/>
              <w:spacing w:after="0"/>
              <w:rPr>
                <w:sz w:val="20"/>
                <w:szCs w:val="20"/>
                <w:color w:val="auto"/>
              </w:rPr>
            </w:pPr>
            <w:r>
              <w:rPr>
                <w:rFonts w:ascii="Arial" w:cs="Arial" w:eastAsia="Arial" w:hAnsi="Arial"/>
                <w:sz w:val="18"/>
                <w:szCs w:val="18"/>
                <w:color w:val="auto"/>
              </w:rPr>
              <w:t>90.8%</w:t>
            </w:r>
          </w:p>
        </w:tc>
        <w:tc>
          <w:tcPr>
            <w:tcW w:w="2400" w:type="dxa"/>
            <w:vAlign w:val="bottom"/>
          </w:tcPr>
          <w:p>
            <w:pPr>
              <w:jc w:val="right"/>
              <w:ind w:right="1250"/>
              <w:spacing w:after="0"/>
              <w:rPr>
                <w:sz w:val="20"/>
                <w:szCs w:val="20"/>
                <w:color w:val="auto"/>
              </w:rPr>
            </w:pPr>
            <w:r>
              <w:rPr>
                <w:rFonts w:ascii="Arial" w:cs="Arial" w:eastAsia="Arial" w:hAnsi="Arial"/>
                <w:sz w:val="18"/>
                <w:szCs w:val="18"/>
                <w:color w:val="auto"/>
              </w:rPr>
              <w:t>91.3%</w:t>
            </w: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$2.7 million and $4.8 million for the three months ended March 31, 2019 and 2018, respectively.</w:t>
      </w:r>
    </w:p>
    <w:p>
      <w:pPr>
        <w:spacing w:after="0" w:line="12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loss ratio of 76.4% for the three months ended March 31, 2019 includes $10,000 of net favorable development in our loss estimates for prior accident years. The loss ratio of 77.4% for the three months ended March 31, 2018 includes $1.1 million (0.9 percentage points) in net favorable reserve development in our loss estimates for prior accident years.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expense ratio for this segment increased from 13.9% for the three months ended March 31, 2018 to 14.4% for the three months ended March 31, 2019. Gross fee income contributed to a reduction in the expense ratio of 1.9 and 3.7 percentage points for the three months ended March 31, 2019 and 2018, respectively.</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commercial auto business generally has a lower expense ratio and higher loss ratio than the other underwriting divisions in the segment. Commercial auto made up 56.1% and 56.7% of the segment’s net earned premiums for the three months ended March 31, 2019 and 2018, respectively.</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increased 16.0%, from $11.3 million for the three months ended March 31, 2018 to $13.1 million for the three months ended March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33"/>
              <w:spacing w:after="0"/>
              <w:rPr>
                <w:sz w:val="20"/>
                <w:szCs w:val="20"/>
                <w:color w:val="auto"/>
              </w:rPr>
            </w:pPr>
            <w:r>
              <w:rPr>
                <w:rFonts w:ascii="Arial" w:cs="Arial" w:eastAsia="Arial" w:hAnsi="Arial"/>
                <w:sz w:val="14"/>
                <w:szCs w:val="14"/>
                <w:b w:val="1"/>
                <w:bCs w:val="1"/>
                <w:i w:val="1"/>
                <w:iCs w:val="1"/>
                <w:color w:val="auto"/>
                <w:w w:val="87"/>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102,953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87,401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15,021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13,818</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8.7 %</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12,360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13,340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(7,611)</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(5.4)%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(4,106)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(13.9)%</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1,623</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$3.8 million and $3.3 million for the three months ended March 31, 2019 and 2018, respectively.</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58.3% for the three months ended March 31, 2019 includes $2.0 million (16.2 percentage points) of net favorable development in our loss estimates for prior accident years. The favorable reserve development in 2019 reflects the fact that actual loss emergence of the workers’ compensation book has been better than expected. The loss ratio of 57.1% for the three months ended March 31, 2018 includes $1.3 million (9.9 percentage points) of net favorable reserve development in our loss estimates for prior accident years.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expense ratio of the Specialty Admitted Insurance segment was 28.6% for the three months ended March 31, 2019 compared to the prior year ratio of 30.7%. The expense ratio declined in 2019 for this segment due to gross fee income from the fronting business which increased 13.3% for the three months ended March 31, 2019 compared to the same period in the prior year and to growth in individual risk workers’ compensation business on which we receive ceding commissions on our 50% third-party quota share reinsurance coverage.</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was $1.6 million for both the three months ended March 31, 2019 and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i w:val="1"/>
                <w:iCs w:val="1"/>
                <w:color w:val="auto"/>
                <w:w w:val="87"/>
              </w:rPr>
              <w:t>in thousands)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37,832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43,229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37,859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43,229</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(12.4)%</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36,120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57,631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(24,520)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(35,542)</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(20,345)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(44.6)%</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1,744</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(81.3)%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5560" w:type="dxa"/>
            <w:vAlign w:val="bottom"/>
          </w:tcPr>
          <w:p>
            <w:pPr>
              <w:jc w:val="right"/>
              <w:ind w:right="510"/>
              <w:spacing w:after="0"/>
              <w:rPr>
                <w:sz w:val="20"/>
                <w:szCs w:val="20"/>
                <w:color w:val="auto"/>
              </w:rPr>
            </w:pPr>
            <w:r>
              <w:rPr>
                <w:rFonts w:ascii="Arial" w:cs="Arial" w:eastAsia="Arial" w:hAnsi="Arial"/>
                <w:sz w:val="18"/>
                <w:szCs w:val="18"/>
                <w:color w:val="auto"/>
              </w:rPr>
              <w:t>67.9%</w:t>
            </w:r>
          </w:p>
        </w:tc>
        <w:tc>
          <w:tcPr>
            <w:tcW w:w="2460" w:type="dxa"/>
            <w:vAlign w:val="bottom"/>
          </w:tcPr>
          <w:p>
            <w:pPr>
              <w:jc w:val="right"/>
              <w:ind w:right="1310"/>
              <w:spacing w:after="0"/>
              <w:rPr>
                <w:sz w:val="20"/>
                <w:szCs w:val="20"/>
                <w:color w:val="auto"/>
              </w:rPr>
            </w:pPr>
            <w:r>
              <w:rPr>
                <w:rFonts w:ascii="Arial" w:cs="Arial" w:eastAsia="Arial" w:hAnsi="Arial"/>
                <w:sz w:val="18"/>
                <w:szCs w:val="18"/>
                <w:color w:val="auto"/>
              </w:rPr>
              <w:t>61.7%</w:t>
            </w:r>
          </w:p>
        </w:tc>
      </w:tr>
      <w:tr>
        <w:trPr>
          <w:trHeight w:val="27"/>
        </w:trPr>
        <w:tc>
          <w:tcPr>
            <w:tcW w:w="34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55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31.2%</w:t>
            </w:r>
          </w:p>
        </w:tc>
        <w:tc>
          <w:tcPr>
            <w:tcW w:w="246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rPr>
              <w:t>35.3%</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556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2460" w:type="dxa"/>
            <w:vAlign w:val="bottom"/>
          </w:tcPr>
          <w:p>
            <w:pPr>
              <w:jc w:val="right"/>
              <w:ind w:right="1310"/>
              <w:spacing w:after="0"/>
              <w:rPr>
                <w:sz w:val="20"/>
                <w:szCs w:val="20"/>
                <w:color w:val="auto"/>
              </w:rPr>
            </w:pPr>
            <w:r>
              <w:rPr>
                <w:rFonts w:ascii="Arial" w:cs="Arial" w:eastAsia="Arial" w:hAnsi="Arial"/>
                <w:sz w:val="18"/>
                <w:szCs w:val="18"/>
                <w:color w:val="auto"/>
              </w:rPr>
              <w:t>97.0%</w:t>
            </w:r>
          </w:p>
        </w:tc>
      </w:tr>
      <w:tr>
        <w:trPr>
          <w:trHeight w:val="594"/>
        </w:trPr>
        <w:tc>
          <w:tcPr>
            <w:tcW w:w="3400" w:type="dxa"/>
            <w:vAlign w:val="bottom"/>
          </w:tcPr>
          <w:p>
            <w:pPr>
              <w:spacing w:after="0"/>
              <w:rPr>
                <w:sz w:val="24"/>
                <w:szCs w:val="24"/>
                <w:color w:val="auto"/>
              </w:rPr>
            </w:pPr>
          </w:p>
        </w:tc>
        <w:tc>
          <w:tcPr>
            <w:tcW w:w="5560" w:type="dxa"/>
            <w:vAlign w:val="bottom"/>
          </w:tcPr>
          <w:p>
            <w:pPr>
              <w:jc w:val="right"/>
              <w:ind w:right="3070"/>
              <w:spacing w:after="0"/>
              <w:rPr>
                <w:sz w:val="20"/>
                <w:szCs w:val="20"/>
                <w:color w:val="auto"/>
              </w:rPr>
            </w:pPr>
            <w:r>
              <w:rPr>
                <w:rFonts w:ascii="Arial" w:cs="Arial" w:eastAsia="Arial" w:hAnsi="Arial"/>
                <w:sz w:val="18"/>
                <w:szCs w:val="18"/>
                <w:color w:val="auto"/>
              </w:rPr>
              <w:t>34</w:t>
            </w:r>
          </w:p>
        </w:tc>
        <w:tc>
          <w:tcPr>
            <w:tcW w:w="2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8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67.9% for the three months ended March 31, 2019 includes $3.0 million (8.3 percentage points) of net adverse development in our loss estimates for prior accident years. The adverse reserve development was primarily related to losses from risk profiles and treaty structures that we no longer underwrite. The loss ratio of 61.7% for the three months ended March 31, 2018 includes $176,000 (0.3 percentage points) of net favorable reserve development in our loss estimates for prior accident years.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expense ratio of the Casualty Reinsurance segment was 31.2% for the three months ended March 31, 2019 compared to the prior year ratio of 35.3%. The decrease was driven by a reduction in sliding scale commissions on treaties that experienced adverse reserve development in the three months ended March 31, 2019. In the prior year quarter ended March 31, 2018, there was an increase in sliding scale commissions associated with treaties that experienced favorable reserve development in the quarter.</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underwriting profit for the Casualty Reinsurance segment was $327,000 for the three months ended March 31, 2019 compared to $1.7 million for the three months ended March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gross reserve for losses and loss adjustment expenses at March 31, 2019 was $1,730.3 million. Of this amount, 62.3% relates to amounts that are IBNR. This amount was 62.4% at December 31, 2018. The Company’s gross reserves for losses and loss adjustment expenses by segment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6"/>
              <w:spacing w:after="0"/>
              <w:rPr>
                <w:sz w:val="20"/>
                <w:szCs w:val="20"/>
                <w:color w:val="auto"/>
              </w:rPr>
            </w:pPr>
            <w:r>
              <w:rPr>
                <w:rFonts w:ascii="Arial" w:cs="Arial" w:eastAsia="Arial" w:hAnsi="Arial"/>
                <w:sz w:val="14"/>
                <w:szCs w:val="14"/>
                <w:b w:val="1"/>
                <w:bCs w:val="1"/>
                <w:color w:val="auto"/>
                <w:w w:val="91"/>
              </w:rPr>
              <w:t>Gross Reserves at March 31, 2019</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377,663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625,272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1,002,935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168,220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286,287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454,507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106,387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166,478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272,865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652,270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1,078,037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1,730,307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2019, the amount of net reserves of $1,221.7 million that related to IBNR was 60.6%. This amount was 61.5% at December 31, 2018. The Company’s net reserves for losses and loss adjustment expenses by segment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3"/>
              </w:rPr>
              <w:t>Net Reserves at March 31, 2019</w:t>
            </w:r>
          </w:p>
        </w:tc>
        <w:tc>
          <w:tcPr>
            <w:tcW w:w="102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345,404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518,785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864,189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32,762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56,306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89,068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102,967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165,428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268,395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481,133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740,519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1,221,652</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2019 and 2018, the total operating expenses of the Corporate and Other segment were $7.9 million and $7.4 million, respectively, representing a 6.4% increase over the prior year. The increase was driven by compensation costs, including share-based compensation expenses, associated with increases in headcount.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investment income was $19.4 million for the three months ended March 31, 2019 compared to $13.3 million for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investment income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7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3"/>
          </w:tcPr>
          <w:p>
            <w:pPr>
              <w:jc w:val="center"/>
              <w:ind w:left="558"/>
              <w:spacing w:after="0"/>
              <w:rPr>
                <w:sz w:val="20"/>
                <w:szCs w:val="20"/>
                <w:color w:val="auto"/>
              </w:rPr>
            </w:pPr>
            <w:r>
              <w:rPr>
                <w:rFonts w:ascii="Arial" w:cs="Arial" w:eastAsia="Arial" w:hAnsi="Arial"/>
                <w:sz w:val="14"/>
                <w:szCs w:val="14"/>
                <w:b w:val="1"/>
                <w:bCs w:val="1"/>
                <w:i w:val="1"/>
                <w:iCs w:val="1"/>
                <w:color w:val="auto"/>
                <w:w w:val="90"/>
              </w:rPr>
              <w:t>($ in thousands)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private investments</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609</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307.7 %</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87.0 %</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3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16,027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11,436</w:t>
            </w: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40.1 %</w:t>
            </w: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19,431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46.6 %</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Income from the Company's private investments, including our renewable energy LLC investments, increased $1.6 million over the prior year quarter driven by higher returns from our limited partnership investments. Excluding private investments, our net investment income increased by 40.1% for the three months ending March 31, 2019 over the same period in the prior year. This increase in net investment income reflects growth in our fixed income portfolio of bonds and bank loans and higher investment yields. The average duration of our fixed maturity portfolio was 3.3 years at March 31, 2019.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3,117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1,820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short-term investments, and other</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Trading losses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20,609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19,431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13,256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investment returns:</w:t>
      </w:r>
    </w:p>
    <w:p>
      <w:pPr>
        <w:spacing w:after="0" w:line="27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13335</wp:posOffset>
            </wp:positionV>
            <wp:extent cx="2023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Average cash and invested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fixed maturity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our total cash and invested assets of $1,897.8 million at March 31, 2019, $132.6 million represents the cash and cash equivalents portion of the portfolio. The majority of the portfolio, or $1,250.9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$263.3 million of bank loan participations, $84.4 million of equity securities, $92.1 million of short-term investments, and $74.5 million of other invested assets.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$263.3 million of bank loan participations in our investment portfolio are classified as held-for-investment and reported at amortized cost, net of any allowance for credit losses. Changes in this credit allowance are included in realized gains or losses.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2019, there was a $1.5 million allowance for credit losses. These bank loan participations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March 31, 2019 and December 31, 2018, the fair market value of these securities was $257.3 million and $250.7 million, respectively.</w:t>
      </w:r>
    </w:p>
    <w:p>
      <w:pPr>
        <w:spacing w:after="0" w:line="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March 31, 2019, the Company recognized net realized and unrealized investment gains of $1.6 million including $3.5 million of gains for the change in the fair value of equity securities, $1.5 million of realized losses to establish credit allowances on two impaired bank loans, $271,000 of impairment losses on fixed maturity securities, and $136,000 of net realized investment losses on the sale of bank loan securities.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2018, the Company recognized net realized investment losses of $810,000 including $1.7 million of losses for the change in the fair value of equity securities and $201,000 of net realized investment losses on the sale of fixed maturity securities, partially offset by $1.1 million of net realized investment gains on the sale of bank loan securities (including an $807,000 realized gain on the repayment of the loan to the producer and supplier of power in Puerto Rico described below).</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Management concluded that two of the loans in the Company's bank loan portfolio were impaired as of March 31, 2019. At March 31, 2019, the impaired loans had a carrying value of $4.4 million, unpaid principal of $5.9 million, and an allowance for credit losses of $1.5 million. Management concluded that none of the loans in the Company's bank loan portfolio were impaired at December 31, 2018.</w:t>
      </w:r>
    </w:p>
    <w:p>
      <w:pPr>
        <w:spacing w:after="0" w:line="73"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 xml:space="preserve">At December 31, 2017, the Company held a participation in a loan issued by a company that produces and supplies power to Puerto Rico through a power purchase agreement with Puerto Rico Electric Power Authority, a public corporation and governmental agency of the Commonwealth of Puerto Rico. Management concluded that the loan was impaired at December 31, 2017 and established an allowance for credit losses on the loan to reduce the loan's carrying value to zero at December 31, 2017. The unpaid principal on the loan was $807,000 at December 31, 2017. </w:t>
      </w:r>
      <w:r>
        <w:rPr>
          <w:rFonts w:ascii="Arial" w:cs="Arial" w:eastAsia="Arial" w:hAnsi="Arial"/>
          <w:sz w:val="17"/>
          <w:szCs w:val="17"/>
          <w:color w:val="231F20"/>
        </w:rPr>
        <w:t>In the first quarter of 2018, the full</w:t>
      </w:r>
      <w:r>
        <w:rPr>
          <w:rFonts w:ascii="Arial" w:cs="Arial" w:eastAsia="Arial" w:hAnsi="Arial"/>
          <w:sz w:val="17"/>
          <w:szCs w:val="17"/>
          <w:color w:val="auto"/>
        </w:rPr>
        <w:t xml:space="preserve"> </w:t>
      </w:r>
      <w:r>
        <w:rPr>
          <w:rFonts w:ascii="Arial" w:cs="Arial" w:eastAsia="Arial" w:hAnsi="Arial"/>
          <w:sz w:val="17"/>
          <w:szCs w:val="17"/>
          <w:color w:val="231F20"/>
        </w:rPr>
        <w:t>outstanding principal on the loan was repaid and the Company recognized a realized gain of $807,000 on the repayment.</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2019, 99.5%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231F20"/>
        </w:rPr>
        <w:t>Management concluded that three fixed maturity securities from one issuer that we intend to sell at a loss in the second quarter were impaired as of March 31, 2019. The Company recorded impairment losses of $271,000 for the three securities in the three months ended March 31, 2019. Management does not intend to sell other available-for-sale securities in an unrealized loss position, and it is not “more likely than not” that the Company will be required to sell these other securities before a recovery in their value to their amortized cost basis occurs.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2018</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Cost or</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2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136,472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141,342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147,160</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149,295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225,702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223,544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548,772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552,494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534,024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524,768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44.3%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204,517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197,025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w w:val="95"/>
              </w:rPr>
              <w:t>U.S. Treasury securities and obligations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126,844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126,995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107,803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107,193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09"/>
        </w:trPr>
        <w:tc>
          <w:tcPr>
            <w:tcW w:w="3240" w:type="dxa"/>
            <w:vAlign w:val="bottom"/>
          </w:tcPr>
          <w:p>
            <w:pPr>
              <w:ind w:left="180"/>
              <w:spacing w:after="0"/>
              <w:rPr>
                <w:sz w:val="20"/>
                <w:szCs w:val="20"/>
                <w:color w:val="auto"/>
              </w:rPr>
            </w:pPr>
            <w:r>
              <w:rPr>
                <w:rFonts w:ascii="Arial" w:cs="Arial" w:eastAsia="Arial" w:hAnsi="Arial"/>
                <w:sz w:val="18"/>
                <w:szCs w:val="18"/>
                <w:color w:val="auto"/>
                <w:w w:val="94"/>
              </w:rPr>
              <w:t>Total fixed maturity securities, available-</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1,244,427</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1,250,926</w:t>
            </w:r>
          </w:p>
        </w:tc>
        <w:tc>
          <w:tcPr>
            <w:tcW w:w="100" w:type="dxa"/>
            <w:vAlign w:val="bottom"/>
          </w:tcPr>
          <w:p>
            <w:pPr>
              <w:spacing w:after="0"/>
              <w:rPr>
                <w:sz w:val="18"/>
                <w:szCs w:val="18"/>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100.0%</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1,199,409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1,184,202</w:t>
            </w:r>
          </w:p>
        </w:tc>
        <w:tc>
          <w:tcPr>
            <w:tcW w:w="100" w:type="dxa"/>
            <w:vAlign w:val="bottom"/>
          </w:tcPr>
          <w:p>
            <w:pPr>
              <w:spacing w:after="0"/>
              <w:rPr>
                <w:sz w:val="18"/>
                <w:szCs w:val="18"/>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42"/>
        </w:trPr>
        <w:tc>
          <w:tcPr>
            <w:tcW w:w="3240" w:type="dxa"/>
            <w:vAlign w:val="bottom"/>
          </w:tcPr>
          <w:p>
            <w:pPr>
              <w:ind w:left="180"/>
              <w:spacing w:after="0"/>
              <w:rPr>
                <w:sz w:val="20"/>
                <w:szCs w:val="20"/>
                <w:color w:val="auto"/>
              </w:rPr>
            </w:pPr>
            <w:r>
              <w:rPr>
                <w:rFonts w:ascii="Arial" w:cs="Arial" w:eastAsia="Arial" w:hAnsi="Arial"/>
                <w:sz w:val="18"/>
                <w:szCs w:val="18"/>
                <w:color w:val="auto"/>
              </w:rPr>
              <w:t>for-sale</w:t>
            </w: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sets forth the composition of the Company’s portfolio of available-for-sale fixed maturity securities by rating as of </w:t>
      </w:r>
      <w:r>
        <w:rPr>
          <w:rFonts w:ascii="Arial" w:cs="Arial" w:eastAsia="Arial" w:hAnsi="Arial"/>
          <w:sz w:val="16"/>
          <w:szCs w:val="16"/>
          <w:color w:val="231F20"/>
        </w:rPr>
        <w:t>March 31, 2019</w:t>
      </w:r>
      <w:r>
        <w:rPr>
          <w:rFonts w:ascii="Arial" w:cs="Arial" w:eastAsia="Arial" w:hAnsi="Arial"/>
          <w:sz w:val="16"/>
          <w:szCs w:val="16"/>
          <w:color w:val="auto"/>
        </w:rPr>
        <w: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209,043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482,322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439,916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112,827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BB and unrated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8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1,250,926</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At March 31, 2019, our portfolio of fixed maturity securities contained corporate fixed maturity securities (available-for-sale) with a fair value of $552.5 million. A summary of these securities by industry segment is shown below as of </w:t>
      </w:r>
      <w:r>
        <w:rPr>
          <w:rFonts w:ascii="Arial" w:cs="Arial" w:eastAsia="Arial" w:hAnsi="Arial"/>
          <w:sz w:val="18"/>
          <w:szCs w:val="18"/>
          <w:color w:val="231F20"/>
        </w:rPr>
        <w:t>March 31, 2019</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2"/>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126,639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135,880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Discretionary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74,888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87,686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Staples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61,415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65,986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552,494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Corporate fixed maturity securities (both available-for-sale and trading) include publicly traded securities and privately placed bonds as shown below as of </w:t>
      </w:r>
      <w:r>
        <w:rPr>
          <w:rFonts w:ascii="Arial" w:cs="Arial" w:eastAsia="Arial" w:hAnsi="Arial"/>
          <w:sz w:val="18"/>
          <w:szCs w:val="18"/>
          <w:color w:val="231F20"/>
        </w:rPr>
        <w:t>March 31, 2019</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502,123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50,371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552,494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ectPr>
          <w:pgSz w:w="11900" w:h="16838" w:orient="portrait"/>
          <w:cols w:equalWidth="0" w:num="1">
            <w:col w:w="11420"/>
          </w:cols>
          <w:pgMar w:left="240" w:top="125"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2019</w:t>
            </w:r>
          </w:p>
        </w:tc>
        <w:tc>
          <w:tcPr>
            <w:tcW w:w="1320" w:type="dxa"/>
            <w:vAlign w:val="bottom"/>
            <w:tcBorders>
              <w:bottom w:val="single" w:sz="8" w:color="auto"/>
            </w:tcBorders>
          </w:tcPr>
          <w:p>
            <w:pPr>
              <w:spacing w:after="0"/>
              <w:rPr>
                <w:sz w:val="16"/>
                <w:szCs w:val="16"/>
                <w:color w:val="auto"/>
              </w:rPr>
            </w:pPr>
          </w:p>
        </w:tc>
      </w:tr>
      <w:tr>
        <w:trPr>
          <w:trHeight w:val="152"/>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3"/>
                <w:szCs w:val="13"/>
                <w:color w:val="auto"/>
              </w:rPr>
            </w:pPr>
          </w:p>
        </w:tc>
        <w:tc>
          <w:tcPr>
            <w:tcW w:w="10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39,494</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39,447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3.1%</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438,067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440,339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35.2%</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229,483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231,221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18.5%</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109,824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225,702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223,544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17.9%</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204,517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16.3%</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1,244,427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1,250,926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140" w:firstLine="351"/>
        <w:spacing w:after="0" w:line="375" w:lineRule="auto"/>
        <w:rPr>
          <w:sz w:val="20"/>
          <w:szCs w:val="20"/>
          <w:color w:val="auto"/>
        </w:rPr>
      </w:pPr>
      <w:r>
        <w:rPr>
          <w:rFonts w:ascii="Arial" w:cs="Arial" w:eastAsia="Arial" w:hAnsi="Arial"/>
          <w:sz w:val="18"/>
          <w:szCs w:val="18"/>
          <w:color w:val="auto"/>
        </w:rPr>
        <w:t xml:space="preserve">At March 31, 2019,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was $2.8 million and $2.5 million for the three months ended March 31, 2019 and 2018, respectively. See “—Liquidity and Capital Resources—Sources and Uses of Funds” for more information regarding our senior bank debt facilities and trust preferred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recorded $149,000 of amortization of intangible assets for each of the three months ended March 31, 2019 and 2018,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the three months ended March 31, 2019 and 2018, our U.S. federal income tax expense was 10.8% and 8.7% of income before taxes, respectively.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available to the U.S. holding company from our U.S. insurance subsidiaries during 2019 without regulatory approval is $24.2 million.</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2019 is calculated to be approximately $109.8 million. However, any dividend payment is contingent upon continued compliance with Bermuda regulatory requirements, including but not limited to the enhanced solvency requirement calculations.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March 31, 2019, the Bermuda holding company had $1.3 million of cash and cash equivalents. The U.S. holding company had $53.0 million of cash and invested assets, comprised of cash and cash equivalents of $5.7 million and other invested assets of $47.3 million, which are not subject to regulatory restrictions. Additionally, our U.K. intermediate holding company had no invested assets and cash of less than ten thousand dollars at March 31, 2019.</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written premium to surplus ratio (defined as the ratio of net written premiums to regulatory capital and surplus) is reviewed by management as well as our rating agency as a measure of leverage and efficiency of deployed capital. For the three months ended March 31, 2019 and 2018, our annualized net written premium to surplus ratio was 1.1 to 1.0 and 1.3 to 1.0,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$215.0 million senior revolving credit facility (as amended or amended and restated, the “2013 Facility”). The 2013 Facility is comprised of the following at March 31, 2019:</w:t>
      </w:r>
    </w:p>
    <w:p>
      <w:pPr>
        <w:spacing w:after="0" w:line="62" w:lineRule="exact"/>
        <w:rPr>
          <w:sz w:val="20"/>
          <w:szCs w:val="20"/>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March 31, 2019, the Company had $68.0 million of letters of credit issued under the secured facility.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March 31, 2019, the Company had a drawn balance of $73.3 million outstanding on the unsecured revolver.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2013 Facility has been amended from time to time since its inception in 2013. On December 7, 2016, the Company entered into an Amended and Restated Credit Agreement for the 2013 Facility which, among other things, extended the maturity date of the 2013 Facility until December 7, 2021 and modified other terms including reducing the rate of interest and reducing the number of financial covenants. On June 8, 2017, the Company entered into a First Amendment to the 2013 Facility, which among other things, modified the financial covenants and increased the amount of additional debt the Company may incur under new financings, subject to compliance with certain conditions.</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2013 Facility contains certain financial and other covenants (including risk-based capital, minimum shareholders’ equity levels, maximum ratios of total debt outstanding to total capitalization and minimum fixed charge coverage ratios) with which the Company is in compliance at March 31, 2019.</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March 31, 2019. The loans and letters of credit made or issued under the revolving line of credit of the 2017 Facility may be used to finance the borrowers' general corporate purposes. At March 31, 2019, unsecured loans of $10.0 million and secured letters of credit totaling $5.3 million were outstanding on the 2017 Facility.</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March 31, 2019, and which, among other things, restrict our ability to assume senior indebtedness secured by our U.S. holding company’s common stock or its subsidiaries’ capital stock or to issue shares of its subsidiaries’ capital stock.</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March 31, 2019 (including the Company’s repurchases of a portion of these trust preferred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James River</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26,</w:t>
            </w:r>
          </w:p>
        </w:tc>
        <w:tc>
          <w:tcPr>
            <w:tcW w:w="16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64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15, 2004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11, 2007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8"/>
              </w:rPr>
              <w:t>Principal amount of trust preferred securities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$7,000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$54,000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Principal amount of junior subordinated debt</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$7,217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$20,619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$55,670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$30,928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Carrying amount of junior subordinated debt</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net of repurchases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$7,217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$15,464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$20,619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$44,827</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 of junior subordinated debt,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24,</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unless accelerated earlier</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Trust common stock</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$619</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$1,670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per annum</w:t>
            </w: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March 31, 2019.</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2019 and December 31, 2018, the ratio of total debt outstanding, including both senior debt and junior subordinated debt, to total capitalization (defined as total debt plus total stockholders’ equity) was 21.2% and 23.9%, respectively. Having debt as part of our capital structure allows us to generate a higher return on equity and greater book value per share results than we could by using equity capital alone.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March 31, 2019 and 2018, our net premium retention was 63.5% and 70.8%, respectively.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March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spacing w:after="0"/>
              <w:rPr>
                <w:sz w:val="21"/>
                <w:szCs w:val="21"/>
                <w:color w:val="auto"/>
              </w:rPr>
            </w:pPr>
          </w:p>
        </w:tc>
      </w:tr>
      <w:tr>
        <w:trPr>
          <w:trHeight w:val="256"/>
        </w:trPr>
        <w:tc>
          <w:tcPr>
            <w:tcW w:w="2320" w:type="dxa"/>
            <w:vAlign w:val="bottom"/>
          </w:tcPr>
          <w:p>
            <w:pPr>
              <w:ind w:left="280"/>
              <w:spacing w:after="0"/>
              <w:rPr>
                <w:sz w:val="20"/>
                <w:szCs w:val="20"/>
                <w:color w:val="auto"/>
              </w:rPr>
            </w:pPr>
            <w:r>
              <w:rPr>
                <w:rFonts w:ascii="Arial" w:cs="Arial" w:eastAsia="Arial" w:hAnsi="Arial"/>
                <w:sz w:val="18"/>
                <w:szCs w:val="18"/>
                <w:color w:val="auto"/>
                <w:w w:val="91"/>
              </w:rPr>
              <w:t>Primary Specialty Casualty,</w:t>
            </w:r>
          </w:p>
        </w:tc>
        <w:tc>
          <w:tcPr>
            <w:tcW w:w="9100" w:type="dxa"/>
            <w:vAlign w:val="bottom"/>
            <w:gridSpan w:val="3"/>
          </w:tcPr>
          <w:p>
            <w:pPr>
              <w:ind w:left="60"/>
              <w:spacing w:after="0"/>
              <w:rPr>
                <w:sz w:val="20"/>
                <w:szCs w:val="20"/>
                <w:color w:val="auto"/>
              </w:rPr>
            </w:pPr>
            <w:r>
              <w:rPr>
                <w:rFonts w:ascii="Arial" w:cs="Arial" w:eastAsia="Arial" w:hAnsi="Arial"/>
                <w:sz w:val="18"/>
                <w:szCs w:val="18"/>
                <w:color w:val="auto"/>
              </w:rPr>
              <w:t>including Professional</w:t>
            </w:r>
          </w:p>
        </w:tc>
      </w:tr>
      <w:tr>
        <w:trPr>
          <w:trHeight w:val="230"/>
        </w:trPr>
        <w:tc>
          <w:tcPr>
            <w:tcW w:w="232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Primary Casualty</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8"/>
                <w:szCs w:val="18"/>
                <w:i w:val="1"/>
                <w:iCs w:val="1"/>
                <w:color w:val="auto"/>
              </w:rPr>
              <w:t>(1)</w:t>
            </w:r>
          </w:p>
        </w:tc>
      </w:tr>
      <w:tr>
        <w:trPr>
          <w:trHeight w:val="243"/>
        </w:trPr>
        <w:tc>
          <w:tcPr>
            <w:tcW w:w="2320" w:type="dxa"/>
            <w:vAlign w:val="bottom"/>
          </w:tcPr>
          <w:p>
            <w:pPr>
              <w:ind w:left="280"/>
              <w:spacing w:after="0"/>
              <w:rPr>
                <w:sz w:val="20"/>
                <w:szCs w:val="20"/>
                <w:color w:val="auto"/>
              </w:rPr>
            </w:pPr>
            <w:r>
              <w:rPr>
                <w:rFonts w:ascii="Arial" w:cs="Arial" w:eastAsia="Arial" w:hAnsi="Arial"/>
                <w:sz w:val="18"/>
                <w:szCs w:val="18"/>
                <w:color w:val="auto"/>
              </w:rPr>
              <w:t>Excess 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8"/>
                <w:szCs w:val="18"/>
                <w:i w:val="1"/>
                <w:iCs w:val="1"/>
                <w:color w:val="auto"/>
              </w:rPr>
              <w:t>(2)</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Property</w:t>
            </w: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8"/>
                <w:szCs w:val="18"/>
                <w:i w:val="1"/>
                <w:iCs w:val="1"/>
                <w:color w:val="auto"/>
              </w:rPr>
              <w:t>(3)</w:t>
            </w:r>
          </w:p>
        </w:tc>
      </w:tr>
    </w:tbl>
    <w:p>
      <w:pPr>
        <w:spacing w:after="0" w:line="121" w:lineRule="exact"/>
        <w:rPr>
          <w:sz w:val="20"/>
          <w:szCs w:val="20"/>
          <w:color w:val="auto"/>
        </w:rPr>
      </w:pPr>
    </w:p>
    <w:p>
      <w:pPr>
        <w:ind w:left="580" w:hanging="329"/>
        <w:spacing w:after="0"/>
        <w:tabs>
          <w:tab w:leader="none" w:pos="58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74" w:lineRule="exact"/>
        <w:rPr>
          <w:rFonts w:ascii="Arial" w:cs="Arial" w:eastAsia="Arial" w:hAnsi="Arial"/>
          <w:sz w:val="17"/>
          <w:szCs w:val="17"/>
          <w:i w:val="1"/>
          <w:iCs w:val="1"/>
          <w:color w:val="auto"/>
        </w:rPr>
      </w:pPr>
    </w:p>
    <w:p>
      <w:pPr>
        <w:ind w:left="580" w:hanging="329"/>
        <w:spacing w:after="0"/>
        <w:tabs>
          <w:tab w:leader="none" w:pos="58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Based upon the modeling of our Excess and Surplus Lines segment, a $45.0 million gross catastrophe loss would exceed our 1 in 1,000 year PML. In the event of a $45.0 million gross property catastrophe loss to the Excess and Surplus Lines segment, we estimate our pre-tax cost at approximately $7.1 million, including reinstatement premiums and net retentions. In addition to this retention, we would retain any losses in excess of our reinsurance coverage limits.</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March 1, 2019, our largest Commercial Auto ride share account is subject to an auto liability quota share reinsurance contract that contains a $10 million occurrence cap and an annual aggregate of 200% of subject premium.</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March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5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Workers’ Compensation</w:t>
            </w:r>
          </w:p>
        </w:tc>
        <w:tc>
          <w:tcPr>
            <w:tcW w:w="75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Quota share coverage for 50% of the first $600,000.</w:t>
            </w:r>
            <w:r>
              <w:rPr>
                <w:rFonts w:ascii="Arial" w:cs="Arial" w:eastAsia="Arial" w:hAnsi="Arial"/>
                <w:sz w:val="25"/>
                <w:szCs w:val="25"/>
                <w:color w:val="auto"/>
                <w:vertAlign w:val="superscript"/>
              </w:rPr>
              <w:t>(1)(2)</w:t>
            </w:r>
          </w:p>
        </w:tc>
      </w:tr>
      <w:tr>
        <w:trPr>
          <w:trHeight w:val="257"/>
        </w:trPr>
        <w:tc>
          <w:tcPr>
            <w:tcW w:w="3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520" w:type="dxa"/>
            <w:vAlign w:val="bottom"/>
            <w:shd w:val="clear" w:color="auto" w:fill="CCEEFF"/>
          </w:tcPr>
          <w:p>
            <w:pPr>
              <w:ind w:left="60"/>
              <w:spacing w:after="0" w:line="257" w:lineRule="exact"/>
              <w:rPr>
                <w:sz w:val="20"/>
                <w:szCs w:val="20"/>
                <w:color w:val="auto"/>
              </w:rPr>
            </w:pPr>
            <w:r>
              <w:rPr>
                <w:rFonts w:ascii="Arial" w:cs="Arial" w:eastAsia="Arial" w:hAnsi="Arial"/>
                <w:sz w:val="18"/>
                <w:szCs w:val="18"/>
                <w:color w:val="auto"/>
              </w:rPr>
              <w:t>Excess of loss coverage for $29.4 million in excess of $600,000.</w:t>
            </w:r>
            <w:r>
              <w:rPr>
                <w:rFonts w:ascii="Arial" w:cs="Arial" w:eastAsia="Arial" w:hAnsi="Arial"/>
                <w:sz w:val="25"/>
                <w:szCs w:val="25"/>
                <w:color w:val="auto"/>
                <w:vertAlign w:val="superscript"/>
              </w:rPr>
              <w:t>(1)(2)</w:t>
            </w:r>
          </w:p>
        </w:tc>
      </w:tr>
      <w:tr>
        <w:trPr>
          <w:trHeight w:val="229"/>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Auto Programs</w:t>
            </w:r>
          </w:p>
        </w:tc>
        <w:tc>
          <w:tcPr>
            <w:tcW w:w="7520" w:type="dxa"/>
            <w:vAlign w:val="bottom"/>
          </w:tcPr>
          <w:p>
            <w:pPr>
              <w:ind w:left="20"/>
              <w:spacing w:after="0"/>
              <w:rPr>
                <w:sz w:val="20"/>
                <w:szCs w:val="20"/>
                <w:color w:val="auto"/>
              </w:rPr>
            </w:pPr>
            <w:r>
              <w:rPr>
                <w:rFonts w:ascii="Arial" w:cs="Arial" w:eastAsia="Arial" w:hAnsi="Arial"/>
                <w:sz w:val="18"/>
                <w:szCs w:val="18"/>
                <w:color w:val="auto"/>
                <w:w w:val="95"/>
              </w:rPr>
              <w:t>Quota share coverage for 90% of limits up to $1.5 million liability and $5.0 million physical damage</w:t>
            </w: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Liability &amp; Professional Liability –</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90% - 100% of limits up to $2.0 million per occurrence.</w:t>
            </w:r>
          </w:p>
        </w:tc>
      </w:tr>
      <w:tr>
        <w:trPr>
          <w:trHeight w:val="237"/>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752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75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Property within Package -</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$25.0 million per occurrence.</w:t>
            </w:r>
          </w:p>
        </w:tc>
      </w:tr>
      <w:tr>
        <w:trPr>
          <w:trHeight w:val="237"/>
        </w:trPr>
        <w:tc>
          <w:tcPr>
            <w:tcW w:w="3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Programs</w:t>
            </w:r>
          </w:p>
        </w:tc>
        <w:tc>
          <w:tcPr>
            <w:tcW w:w="752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Catastrophe Coverage</w:t>
            </w:r>
          </w:p>
        </w:tc>
        <w:tc>
          <w:tcPr>
            <w:tcW w:w="75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w:t>
            </w:r>
          </w:p>
        </w:tc>
      </w:tr>
    </w:tbl>
    <w:p>
      <w:pPr>
        <w:spacing w:after="0" w:line="13" w:lineRule="exact"/>
        <w:rPr>
          <w:sz w:val="20"/>
          <w:szCs w:val="20"/>
          <w:color w:val="auto"/>
        </w:rPr>
      </w:pPr>
    </w:p>
    <w:p>
      <w:pPr>
        <w:ind w:firstLine="8"/>
        <w:spacing w:after="0" w:line="277" w:lineRule="auto"/>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90% of the first $1.0 million per occurrence and excess of loss coverage for $49.0 million in excess of $1.0 million.</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March 31, 2019, our average net retained limit per risk is $2.5 million.</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March 31, 2019,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March 31, 2019, we had reinsurance recoverables on unpaid losses of $508.7 million and reinsurance recoverables on paid losses of $34.4 million, and all material recoverable amounts were from companies with A.M. Best ratings of “A-” or better or collateral had been posted by the reinsurer for our benefit.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currently provided through a collateral trust arrangement established in favor of the Company by a captive insurance company affiliate of the insured group. At March 31, 2019, the cash equivalent collateral held in the collateral trust arrangement was approximately $1,156.0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4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35,450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48,461</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(7,666)</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provided by operating activities for the three months ended March 31, 2019 and 2018 reflects the growth in our U.S. segments and the fact that we are collecting premiums receivable at a quicker rate than we are paying loss and loss adjustment expenses. Cash provided by operating activities has declined compared to the prior year quarter due to reduced business writings in our Casualty Re segment.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fixed maturity securities and bank loan participations. Cash and cash equivalents comprised 7.0% and 9.2% of total cash and invested assets at March 31, 2019 and 2018,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financing activities for the three months ended March 31, 2019 and 2018 included $9.2 million and $9.1 million of dividends paid to shareholders, respectively. In addition, we repaid $20.0 million on our 2017 Facility in the three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reinsurance companies of “A” (Excellent) is the third highest rating of the thirteen ratings issued by A.M. Best and is assigned to insurers that have, in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Best’s opinion, an excellent ability to meet their ongoing obligations to policyholders.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173,585 common shares in the three months ended March 31, 2019 with 98,975 of the new shares related to stock option exercises and 74,610 of the new shares related to vesting of RSUs. The total common shares outstanding increased from 29,988,460 at December 31, 2018 to 30,162,045 at March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2019 and 2018, the Company recognized $1.7 million and $1.5 million, respectively, of share based compensation expense. As of March 31, 2019, the Company had $13.7 million of unrecognized share based compensation expense expected to be charged to earnings over a weighted-average period of 2.2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1,115,324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1,479,236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(125,349)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(142,129)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986,216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1,337,107</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926,166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983,508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two or four years and have a contractual life of seven years from the original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167,295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214,907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(109,545)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(62,714)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356,494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331,075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underwriting profit by individual segment and for the entire Company to consolidated income before U.S. Federal income taxes:</w:t>
      </w:r>
    </w:p>
    <w:p>
      <w:pPr>
        <w:spacing w:after="0" w:line="21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of the insurance segments: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13,102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11,299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1,744</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15,052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(7,906)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(7,431)</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19,431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13,256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25,491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17,114</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78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2019 and 2018 is gross fee income of $6.4 million and $8.2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and other expenses on a leased building that we were previously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w w:val="98"/>
              </w:rPr>
              <w:t>Three Months Ended March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2018</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4"/>
          </w:tcPr>
          <w:p>
            <w:pPr>
              <w:jc w:val="right"/>
              <w:ind w:right="657"/>
              <w:spacing w:after="0"/>
              <w:rPr>
                <w:sz w:val="20"/>
                <w:szCs w:val="20"/>
                <w:color w:val="auto"/>
              </w:rPr>
            </w:pPr>
            <w:r>
              <w:rPr>
                <w:rFonts w:ascii="Arial" w:cs="Arial" w:eastAsia="Arial" w:hAnsi="Arial"/>
                <w:sz w:val="14"/>
                <w:szCs w:val="14"/>
                <w:b w:val="1"/>
                <w:bCs w:val="1"/>
                <w:i w:val="1"/>
                <w:iCs w:val="1"/>
                <w:color w:val="auto"/>
              </w:rPr>
              <w:t>($ 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22,728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w w:val="92"/>
              </w:rPr>
              <w:t>Interest expense on leased building the Company was previously deemed to own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for accounting purposes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21,713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three months ended March 31, 2019, our tangible equity per share increased by 8.6%. Absent the $9.1 million in dividends to shareholders in the three months ended March 31, 2019, our tangible equity per share increased by 10.4% for the three months ended March 31, 2019. Our operating return on tangible shareholders’ equity was 16.9% for the three months ended March 31, 2019.</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March 31, 2019 and December 31, 2018 and reconciles tangible equity to tangible equity before dividends as of March 31,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260" w:type="dxa"/>
            <w:vAlign w:val="bottom"/>
            <w:gridSpan w:val="2"/>
          </w:tcPr>
          <w:p>
            <w:pPr>
              <w:jc w:val="right"/>
              <w:ind w:right="213"/>
              <w:spacing w:after="0" w:line="153"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10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40"/>
              <w:spacing w:after="0"/>
              <w:rPr>
                <w:sz w:val="20"/>
                <w:szCs w:val="20"/>
                <w:color w:val="auto"/>
              </w:rPr>
            </w:pPr>
            <w:r>
              <w:rPr>
                <w:rFonts w:ascii="Arial" w:cs="Arial" w:eastAsia="Arial" w:hAnsi="Arial"/>
                <w:sz w:val="14"/>
                <w:szCs w:val="14"/>
                <w:b w:val="1"/>
                <w:bCs w:val="1"/>
                <w:i w:val="1"/>
                <w:iCs w:val="1"/>
                <w:color w:val="auto"/>
                <w:w w:val="97"/>
              </w:rPr>
              <w:t>($ in thousands, except share amounts)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754,297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709,241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Less:</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37,388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37,537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equity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535,078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489,873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Dividends to shareholders for the three months ended March 31, 2019</w:t>
            </w: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9,144</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3"/>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Pre-dividend tangible equity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544,222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2019,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March 31, 2019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March 31, 2019 from those disclosed in our Annual Report on Form 10-K for the year ended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160" w:type="dxa"/>
            <w:vAlign w:val="bottom"/>
            <w:gridSpan w:val="10"/>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1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0000FF"/>
            </w:tcBorders>
            <w:gridSpan w:val="11"/>
          </w:tcPr>
          <w:p>
            <w:pPr>
              <w:spacing w:after="0" w:line="202" w:lineRule="exact"/>
              <w:rPr>
                <w:rFonts w:ascii="Arial" w:cs="Arial" w:eastAsia="Arial" w:hAnsi="Arial"/>
                <w:sz w:val="18"/>
                <w:szCs w:val="18"/>
                <w:color w:val="0000FF"/>
                <w:w w:val="98"/>
              </w:rPr>
            </w:pPr>
            <w:hyperlink r:id="rId31">
              <w:r>
                <w:rPr>
                  <w:rFonts w:ascii="Arial" w:cs="Arial" w:eastAsia="Arial" w:hAnsi="Arial"/>
                  <w:sz w:val="18"/>
                  <w:szCs w:val="18"/>
                  <w:color w:val="0000FF"/>
                  <w:w w:val="98"/>
                </w:rPr>
                <w:t>Certificate of Incorporation of James River Group Holdings, Ltd. (incorporated by reference to Exhibit 3.1 of the</w:t>
              </w:r>
            </w:hyperlink>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Registration Statement on Form S-1, Registration No. 333-199958, filed with the Commission on November 7, 2014)</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2"/>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on Form S-1, Registration No. 333-199958, filed with the Commission on November 7, 2014)</w:t>
              </w:r>
            </w:hyperlink>
          </w:p>
        </w:tc>
        <w:tc>
          <w:tcPr>
            <w:tcW w:w="1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7"/>
              </w:rPr>
            </w:pPr>
            <w:hyperlink r:id="rId33">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0"/>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Registration Statement on Form S-1, Registration No. 333-199958, filed with the Commission on November 7, 2014)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8"/>
              </w:rPr>
            </w:pPr>
            <w:hyperlink r:id="rId34">
              <w:r>
                <w:rPr>
                  <w:rFonts w:ascii="Arial" w:cs="Arial" w:eastAsia="Arial" w:hAnsi="Arial"/>
                  <w:sz w:val="18"/>
                  <w:szCs w:val="18"/>
                  <w:color w:val="0000FF"/>
                  <w:w w:val="98"/>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2"/>
          </w:tcPr>
          <w:p>
            <w:pPr>
              <w:spacing w:after="0" w:line="196" w:lineRule="exact"/>
              <w:rPr>
                <w:rFonts w:ascii="Arial" w:cs="Arial" w:eastAsia="Arial" w:hAnsi="Arial"/>
                <w:sz w:val="18"/>
                <w:szCs w:val="18"/>
                <w:color w:val="0000FF"/>
                <w:w w:val="99"/>
              </w:rPr>
            </w:pPr>
            <w:hyperlink r:id="rId34">
              <w:r>
                <w:rPr>
                  <w:rFonts w:ascii="Arial" w:cs="Arial" w:eastAsia="Arial" w:hAnsi="Arial"/>
                  <w:sz w:val="18"/>
                  <w:szCs w:val="18"/>
                  <w:color w:val="0000FF"/>
                  <w:w w:val="99"/>
                </w:rPr>
                <w:t>reference to Exhibit 3.4 of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Commission on November 7, 2014)</w:t>
              </w:r>
            </w:hyperlink>
          </w:p>
        </w:tc>
        <w:tc>
          <w:tcPr>
            <w:tcW w:w="61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2"/>
          </w:tcPr>
          <w:p>
            <w:pPr>
              <w:spacing w:after="0" w:line="196"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Exhibit 3.5 of the Registration Statement on Form S-1, Registration No. 333-199958, filed with the Commission on</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November 7, 2014)</w:t>
              </w:r>
            </w:hyperlink>
          </w:p>
        </w:tc>
        <w:tc>
          <w:tcPr>
            <w:tcW w:w="730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2"/>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to the Annual Report on Form 10-K filed on March 12, 2015, Commission File No. 001-36777)</w:t>
              </w:r>
            </w:hyperlink>
          </w:p>
        </w:tc>
        <w:tc>
          <w:tcPr>
            <w:tcW w:w="0" w:type="dxa"/>
            <w:vAlign w:val="bottom"/>
          </w:tcPr>
          <w:p>
            <w:pPr>
              <w:spacing w:after="0"/>
              <w:rPr>
                <w:sz w:val="1"/>
                <w:szCs w:val="1"/>
                <w:color w:val="auto"/>
              </w:rPr>
            </w:pPr>
          </w:p>
        </w:tc>
      </w:tr>
      <w:tr>
        <w:trPr>
          <w:trHeight w:val="493"/>
        </w:trPr>
        <w:tc>
          <w:tcPr>
            <w:tcW w:w="196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tcBorders>
              <w:top w:val="single" w:sz="8" w:color="0000FF"/>
            </w:tcBorders>
            <w:gridSpan w:val="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Chief Executive Officer Certification pursuant to Rule 13a-14(a)/15d-14(a)</w:t>
              </w:r>
            </w:hyperlink>
          </w:p>
        </w:tc>
        <w:tc>
          <w:tcPr>
            <w:tcW w:w="1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Chief Financial Officer Certification pursuant to Rule 13a-14(a)/15d-14(a)</w:t>
              </w:r>
            </w:hyperlink>
          </w:p>
        </w:tc>
        <w:tc>
          <w:tcPr>
            <w:tcW w:w="40" w:type="dxa"/>
            <w:vAlign w:val="bottom"/>
            <w:tcBorders>
              <w:top w:val="single" w:sz="8" w:color="0000FF"/>
            </w:tcBorders>
          </w:tcPr>
          <w:p>
            <w:pPr>
              <w:spacing w:after="0"/>
              <w:rPr>
                <w:sz w:val="24"/>
                <w:szCs w:val="24"/>
                <w:color w:val="auto"/>
              </w:rPr>
            </w:pPr>
          </w:p>
        </w:tc>
        <w:tc>
          <w:tcPr>
            <w:tcW w:w="3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52">
              <w:r>
                <w:rPr>
                  <w:rFonts w:ascii="Arial" w:cs="Arial" w:eastAsia="Arial" w:hAnsi="Arial"/>
                  <w:sz w:val="18"/>
                  <w:szCs w:val="18"/>
                  <w:color w:val="0000FF"/>
                  <w:w w:val="98"/>
                </w:rPr>
                <w:t>Chief Executive Officer and Chief Financial Officer Certification pursuant to 18 U.S.C. Section 1350,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pursuant to Section 906 of the Sarbanes-Oxley Act of 2002</w:t>
              </w:r>
            </w:hyperlink>
          </w:p>
        </w:tc>
        <w:tc>
          <w:tcPr>
            <w:tcW w:w="4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58"/>
        </w:trPr>
        <w:tc>
          <w:tcPr>
            <w:tcW w:w="1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800" w:type="dxa"/>
            <w:vAlign w:val="bottom"/>
            <w:gridSpan w:val="3"/>
          </w:tcPr>
          <w:p>
            <w:pPr>
              <w:ind w:left="1840"/>
              <w:spacing w:after="0"/>
              <w:rPr>
                <w:sz w:val="20"/>
                <w:szCs w:val="20"/>
                <w:color w:val="auto"/>
              </w:rPr>
            </w:pPr>
            <w:r>
              <w:rPr>
                <w:rFonts w:ascii="Arial" w:cs="Arial" w:eastAsia="Arial" w:hAnsi="Arial"/>
                <w:sz w:val="18"/>
                <w:szCs w:val="18"/>
                <w:color w:val="auto"/>
              </w:rPr>
              <w:t>James River Group Holdings, Ltd.</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20"/>
              <w:spacing w:after="0"/>
              <w:rPr>
                <w:sz w:val="20"/>
                <w:szCs w:val="20"/>
                <w:color w:val="auto"/>
              </w:rPr>
            </w:pPr>
            <w:r>
              <w:rPr>
                <w:rFonts w:ascii="Arial" w:cs="Arial" w:eastAsia="Arial" w:hAnsi="Arial"/>
                <w:sz w:val="18"/>
                <w:szCs w:val="18"/>
                <w:color w:val="auto"/>
              </w:rPr>
              <w:t>May 3, 2019</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 Robert P. Myron</w:t>
            </w:r>
          </w:p>
        </w:tc>
      </w:tr>
      <w:tr>
        <w:trPr>
          <w:trHeight w:val="27"/>
        </w:trPr>
        <w:tc>
          <w:tcPr>
            <w:tcW w:w="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Robert P. Myron</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20"/>
              <w:spacing w:after="0"/>
              <w:rPr>
                <w:sz w:val="20"/>
                <w:szCs w:val="20"/>
                <w:color w:val="auto"/>
              </w:rPr>
            </w:pPr>
            <w:r>
              <w:rPr>
                <w:rFonts w:ascii="Arial" w:cs="Arial" w:eastAsia="Arial" w:hAnsi="Arial"/>
                <w:sz w:val="18"/>
                <w:szCs w:val="18"/>
                <w:color w:val="auto"/>
              </w:rPr>
              <w:t>May 3, 2019</w:t>
            </w:r>
          </w:p>
        </w:tc>
        <w:tc>
          <w:tcPr>
            <w:tcW w:w="2160" w:type="dxa"/>
            <w:vAlign w:val="bottom"/>
          </w:tcPr>
          <w:p>
            <w:pPr>
              <w:ind w:left="18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 Sarah C. Doran</w:t>
            </w:r>
          </w:p>
        </w:tc>
      </w:tr>
      <w:tr>
        <w:trPr>
          <w:trHeight w:val="27"/>
        </w:trPr>
        <w:tc>
          <w:tcPr>
            <w:tcW w:w="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Sarah C. Doran</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4280" w:type="dxa"/>
            <w:vAlign w:val="bottom"/>
          </w:tcPr>
          <w:p>
            <w:pPr>
              <w:spacing w:after="0"/>
              <w:rPr>
                <w:sz w:val="24"/>
                <w:szCs w:val="24"/>
                <w:color w:val="auto"/>
              </w:rPr>
            </w:pPr>
          </w:p>
        </w:tc>
      </w:tr>
    </w:tbl>
    <w:p>
      <w:pPr>
        <w:sectPr>
          <w:pgSz w:w="11900" w:h="16838" w:orient="portrait"/>
          <w:cols w:equalWidth="0" w:num="1">
            <w:col w:w="11260"/>
          </w:cols>
          <w:pgMar w:left="240" w:top="125"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Robert P. Myron,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March 31, 2019 as filed with the Securities and Exchange Commission on the date hereof (the “Report”), we, Robert P. Myron, President and Chief Executive Officer of the Company, and Sarah C. Doran, Chief Financial Officer of the Company, certify, to the best of our knowledge, pursuant to 18 U.S.C. §1350, as adopted pursuant to §906 of the Sarbanes-Oxley Act of 2002, that:</w:t>
      </w:r>
    </w:p>
    <w:p>
      <w:pPr>
        <w:spacing w:after="0" w:line="214" w:lineRule="exact"/>
        <w:rPr>
          <w:sz w:val="20"/>
          <w:szCs w:val="20"/>
          <w:color w:val="auto"/>
        </w:rPr>
      </w:pPr>
    </w:p>
    <w:p>
      <w:pPr>
        <w:ind w:left="860" w:hanging="852"/>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3, 2019</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3,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31" Type="http://schemas.openxmlformats.org/officeDocument/2006/relationships/hyperlink" Target="http://www.sec.gov/Archives/edgar/data/1620459/000157104914005924/t1401933_ex3-1.htm" TargetMode="External"/><Relationship Id="rId32" Type="http://schemas.openxmlformats.org/officeDocument/2006/relationships/hyperlink" Target="http://www.sec.gov/Archives/edgar/data/1620459/000157104914005924/t1401933_ex3-2.htm" TargetMode="External"/><Relationship Id="rId33" Type="http://schemas.openxmlformats.org/officeDocument/2006/relationships/hyperlink" Target="http://www.sec.gov/Archives/edgar/data/1620459/000157104914005924/t1401933_ex3-3.htm" TargetMode="External"/><Relationship Id="rId34" Type="http://schemas.openxmlformats.org/officeDocument/2006/relationships/hyperlink" Target="http://www.sec.gov/Archives/edgar/data/1620459/000157104914005924/t1401933_ex3-4.htm" TargetMode="External"/><Relationship Id="rId35" Type="http://schemas.openxmlformats.org/officeDocument/2006/relationships/hyperlink" Target="http://www.sec.gov/Archives/edgar/data/1620459/000157104914005924/t1401933_ex3-5.htm" TargetMode="External"/><Relationship Id="rId36"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2019-12-28T13:18:58Z</dcterms:created>
  <dcterms:modified xsi:type="dcterms:W3CDTF">2019-12-28T13:18:58Z</dcterms:modified>
</cp:coreProperties>
</file>