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232410</wp:posOffset>
            </wp:positionH>
            <wp:positionV relativeFrom="page">
              <wp:posOffset>418465</wp:posOffset>
            </wp:positionV>
            <wp:extent cx="7092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2315" cy="8255"/>
                    </a:xfrm>
                    <a:prstGeom prst="rect">
                      <a:avLst/>
                    </a:prstGeom>
                    <a:noFill/>
                  </pic:spPr>
                </pic:pic>
              </a:graphicData>
            </a:graphic>
          </wp:anchor>
        </w:drawing>
        <w:drawing>
          <wp:anchor simplePos="0" relativeHeight="251657728" behindDoc="1" locked="0" layoutInCell="0" allowOverlap="1">
            <wp:simplePos x="0" y="0"/>
            <wp:positionH relativeFrom="page">
              <wp:posOffset>232410</wp:posOffset>
            </wp:positionH>
            <wp:positionV relativeFrom="page">
              <wp:posOffset>375920</wp:posOffset>
            </wp:positionV>
            <wp:extent cx="70923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2315" cy="1714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1"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 for the quarterly period</w:t>
      </w:r>
    </w:p>
    <w:p>
      <w:pPr>
        <w:spacing w:after="0" w:line="10" w:lineRule="exact"/>
        <w:rPr>
          <w:sz w:val="24"/>
          <w:szCs w:val="24"/>
          <w:color w:val="auto"/>
        </w:rPr>
      </w:pPr>
    </w:p>
    <w:p>
      <w:pPr>
        <w:ind w:left="740" w:hanging="716"/>
        <w:spacing w:after="0"/>
        <w:tabs>
          <w:tab w:leader="none" w:pos="7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ended September 30, 2021</w:t>
      </w:r>
    </w:p>
    <w:p>
      <w:pPr>
        <w:spacing w:after="0" w:line="8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30" w:lineRule="exact"/>
        <w:rPr>
          <w:sz w:val="24"/>
          <w:szCs w:val="24"/>
          <w:color w:val="auto"/>
        </w:rPr>
      </w:pPr>
    </w:p>
    <w:p>
      <w:pPr>
        <w:ind w:left="740"/>
        <w:spacing w:after="0"/>
        <w:rPr>
          <w:sz w:val="20"/>
          <w:szCs w:val="20"/>
          <w:color w:val="auto"/>
        </w:rPr>
      </w:pPr>
      <w:r>
        <w:rPr>
          <w:rFonts w:ascii="Arial" w:cs="Arial" w:eastAsia="Arial" w:hAnsi="Arial"/>
          <w:sz w:val="19"/>
          <w:szCs w:val="19"/>
          <w:b w:val="1"/>
          <w:bCs w:val="1"/>
          <w:color w:val="auto"/>
        </w:rPr>
        <w:t>Transition report pursuant to Section 13 or 15(d) of the Securities Exchange Act of 1934 for the transition period</w:t>
      </w:r>
    </w:p>
    <w:p>
      <w:pPr>
        <w:spacing w:after="0" w:line="10" w:lineRule="exact"/>
        <w:rPr>
          <w:sz w:val="24"/>
          <w:szCs w:val="24"/>
          <w:color w:val="auto"/>
        </w:rPr>
      </w:pPr>
    </w:p>
    <w:p>
      <w:pPr>
        <w:ind w:left="740" w:hanging="716"/>
        <w:spacing w:after="0"/>
        <w:tabs>
          <w:tab w:leader="none" w:pos="7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from _______ to _______</w:t>
      </w: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001-36777</w:t>
      </w:r>
    </w:p>
    <w:p>
      <w:pPr>
        <w:spacing w:after="0" w:line="10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JAMES RIVER GROUP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-295275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06" w:lineRule="exact"/>
        <w:rPr>
          <w:sz w:val="24"/>
          <w:szCs w:val="24"/>
          <w:color w:val="auto"/>
        </w:rPr>
      </w:pPr>
    </w:p>
    <w:tbl>
      <w:tblPr>
        <w:tblLayout w:type="fixed"/>
        <w:tblInd w:w="174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244"/>
        </w:trPr>
        <w:tc>
          <w:tcPr>
            <w:tcW w:w="1900" w:type="dxa"/>
            <w:vAlign w:val="bottom"/>
          </w:tcPr>
          <w:p>
            <w:pPr>
              <w:jc w:val="center"/>
              <w:ind w:right="3"/>
              <w:spacing w:after="0"/>
              <w:rPr>
                <w:sz w:val="20"/>
                <w:szCs w:val="20"/>
                <w:color w:val="auto"/>
              </w:rPr>
            </w:pPr>
            <w:r>
              <w:rPr>
                <w:rFonts w:ascii="Arial" w:cs="Arial" w:eastAsia="Arial" w:hAnsi="Arial"/>
                <w:sz w:val="18"/>
                <w:szCs w:val="18"/>
                <w:b w:val="1"/>
                <w:bCs w:val="1"/>
                <w:color w:val="auto"/>
                <w:w w:val="89"/>
              </w:rPr>
              <w:t>Bermuda</w:t>
            </w:r>
          </w:p>
        </w:tc>
        <w:tc>
          <w:tcPr>
            <w:tcW w:w="5520" w:type="dxa"/>
            <w:vAlign w:val="bottom"/>
          </w:tcPr>
          <w:p>
            <w:pPr>
              <w:jc w:val="center"/>
              <w:ind w:left="4260"/>
              <w:spacing w:after="0"/>
              <w:rPr>
                <w:sz w:val="20"/>
                <w:szCs w:val="20"/>
                <w:color w:val="auto"/>
              </w:rPr>
            </w:pPr>
            <w:r>
              <w:rPr>
                <w:rFonts w:ascii="Arial" w:cs="Arial" w:eastAsia="Arial" w:hAnsi="Arial"/>
                <w:sz w:val="18"/>
                <w:szCs w:val="18"/>
                <w:b w:val="1"/>
                <w:bCs w:val="1"/>
                <w:color w:val="auto"/>
                <w:w w:val="89"/>
              </w:rPr>
              <w:t>98-0585280</w:t>
            </w:r>
          </w:p>
        </w:tc>
      </w:tr>
      <w:tr>
        <w:trPr>
          <w:trHeight w:val="142"/>
        </w:trPr>
        <w:tc>
          <w:tcPr>
            <w:tcW w:w="19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(State or other jurisdiction of</w:t>
            </w:r>
          </w:p>
        </w:tc>
        <w:tc>
          <w:tcPr>
            <w:tcW w:w="5520" w:type="dxa"/>
            <w:vAlign w:val="bottom"/>
          </w:tcPr>
          <w:p>
            <w:pPr>
              <w:jc w:val="center"/>
              <w:ind w:left="4300"/>
              <w:spacing w:after="0" w:line="143" w:lineRule="exact"/>
              <w:rPr>
                <w:sz w:val="20"/>
                <w:szCs w:val="20"/>
                <w:color w:val="auto"/>
              </w:rPr>
            </w:pPr>
            <w:r>
              <w:rPr>
                <w:rFonts w:ascii="Arial" w:cs="Arial" w:eastAsia="Arial" w:hAnsi="Arial"/>
                <w:sz w:val="14"/>
                <w:szCs w:val="14"/>
                <w:b w:val="1"/>
                <w:bCs w:val="1"/>
                <w:color w:val="auto"/>
                <w:w w:val="94"/>
              </w:rPr>
              <w:t>(I.R.S. Employer</w:t>
            </w:r>
          </w:p>
        </w:tc>
      </w:tr>
      <w:tr>
        <w:trPr>
          <w:trHeight w:val="184"/>
        </w:trPr>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520" w:type="dxa"/>
            <w:vAlign w:val="bottom"/>
          </w:tcPr>
          <w:p>
            <w:pPr>
              <w:jc w:val="center"/>
              <w:ind w:left="4320"/>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89" w:lineRule="exact"/>
        <w:rPr>
          <w:sz w:val="24"/>
          <w:szCs w:val="24"/>
          <w:color w:val="auto"/>
        </w:rPr>
      </w:pPr>
    </w:p>
    <w:p>
      <w:pPr>
        <w:jc w:val="center"/>
        <w:ind w:left="480" w:right="2700"/>
        <w:spacing w:after="0" w:line="266" w:lineRule="auto"/>
        <w:rPr>
          <w:sz w:val="20"/>
          <w:szCs w:val="20"/>
          <w:color w:val="auto"/>
        </w:rPr>
      </w:pPr>
      <w:r>
        <w:rPr>
          <w:rFonts w:ascii="Arial" w:cs="Arial" w:eastAsia="Arial" w:hAnsi="Arial"/>
          <w:sz w:val="18"/>
          <w:szCs w:val="18"/>
          <w:b w:val="1"/>
          <w:bCs w:val="1"/>
          <w:color w:val="auto"/>
        </w:rPr>
        <w:t>Wellesley House, 2nd Floor, 90 Pitts Bay Road, Pembroke HM08, Bermuda (Address of principal executive offices) (Zip Code)</w:t>
      </w:r>
    </w:p>
    <w:p>
      <w:pPr>
        <w:spacing w:after="0" w:line="233"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(441) 278-4580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w:t>
      </w:r>
      <w:r>
        <w:rPr>
          <w:rFonts w:ascii="Arial" w:cs="Arial" w:eastAsia="Arial" w:hAnsi="Arial"/>
          <w:sz w:val="18"/>
          <w:szCs w:val="18"/>
          <w:color w:val="auto"/>
        </w:rPr>
        <w:t>'</w:t>
      </w:r>
      <w:r>
        <w:rPr>
          <w:rFonts w:ascii="Arial" w:cs="Arial" w:eastAsia="Arial" w:hAnsi="Arial"/>
          <w:sz w:val="18"/>
          <w:szCs w:val="18"/>
          <w:b w:val="1"/>
          <w:bCs w:val="1"/>
          <w:color w:val="auto"/>
        </w:rPr>
        <w:t>s telephone number, including area code)</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47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334"/>
        </w:trPr>
        <w:tc>
          <w:tcPr>
            <w:tcW w:w="2260" w:type="dxa"/>
            <w:vAlign w:val="bottom"/>
          </w:tcPr>
          <w:p>
            <w:pPr>
              <w:spacing w:after="0"/>
              <w:rPr>
                <w:sz w:val="24"/>
                <w:szCs w:val="24"/>
                <w:color w:val="auto"/>
              </w:rPr>
            </w:pPr>
          </w:p>
        </w:tc>
        <w:tc>
          <w:tcPr>
            <w:tcW w:w="2460" w:type="dxa"/>
            <w:vAlign w:val="bottom"/>
            <w:gridSpan w:val="2"/>
          </w:tcPr>
          <w:p>
            <w:pPr>
              <w:jc w:val="center"/>
              <w:ind w:right="1180"/>
              <w:spacing w:after="0"/>
              <w:rPr>
                <w:sz w:val="20"/>
                <w:szCs w:val="20"/>
                <w:color w:val="auto"/>
              </w:rPr>
            </w:pPr>
            <w:r>
              <w:rPr>
                <w:rFonts w:ascii="Arial" w:cs="Arial" w:eastAsia="Arial" w:hAnsi="Arial"/>
                <w:sz w:val="18"/>
                <w:szCs w:val="18"/>
                <w:color w:val="auto"/>
                <w:w w:val="88"/>
              </w:rPr>
              <w:t>Title of each class</w:t>
            </w:r>
          </w:p>
        </w:tc>
        <w:tc>
          <w:tcPr>
            <w:tcW w:w="174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Trading Symbol(s)</w:t>
            </w:r>
          </w:p>
        </w:tc>
        <w:tc>
          <w:tcPr>
            <w:tcW w:w="3440" w:type="dxa"/>
            <w:vAlign w:val="bottom"/>
            <w:gridSpan w:val="2"/>
          </w:tcPr>
          <w:p>
            <w:pPr>
              <w:jc w:val="center"/>
              <w:ind w:left="131"/>
              <w:spacing w:after="0"/>
              <w:rPr>
                <w:sz w:val="20"/>
                <w:szCs w:val="20"/>
                <w:color w:val="auto"/>
              </w:rPr>
            </w:pPr>
            <w:r>
              <w:rPr>
                <w:rFonts w:ascii="Arial" w:cs="Arial" w:eastAsia="Arial" w:hAnsi="Arial"/>
                <w:sz w:val="18"/>
                <w:szCs w:val="18"/>
                <w:color w:val="auto"/>
                <w:w w:val="88"/>
              </w:rPr>
              <w:t>Names of each exchange on which registered</w:t>
            </w:r>
          </w:p>
        </w:tc>
      </w:tr>
      <w:tr>
        <w:trPr>
          <w:trHeight w:val="20"/>
        </w:trPr>
        <w:tc>
          <w:tcPr>
            <w:tcW w:w="2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85"/>
        </w:trPr>
        <w:tc>
          <w:tcPr>
            <w:tcW w:w="4720" w:type="dxa"/>
            <w:vAlign w:val="bottom"/>
            <w:gridSpan w:val="3"/>
          </w:tcPr>
          <w:p>
            <w:pPr>
              <w:jc w:val="center"/>
              <w:ind w:left="1011"/>
              <w:spacing w:after="0"/>
              <w:rPr>
                <w:sz w:val="20"/>
                <w:szCs w:val="20"/>
                <w:color w:val="auto"/>
              </w:rPr>
            </w:pPr>
            <w:r>
              <w:rPr>
                <w:rFonts w:ascii="Arial" w:cs="Arial" w:eastAsia="Arial" w:hAnsi="Arial"/>
                <w:sz w:val="18"/>
                <w:szCs w:val="18"/>
                <w:color w:val="auto"/>
                <w:w w:val="86"/>
              </w:rPr>
              <w:t>Common Shares, par value $0.0002 per share</w:t>
            </w:r>
          </w:p>
        </w:tc>
        <w:tc>
          <w:tcPr>
            <w:tcW w:w="18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JRVR</w:t>
            </w:r>
          </w:p>
        </w:tc>
        <w:tc>
          <w:tcPr>
            <w:tcW w:w="22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95"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7" w:lineRule="exact"/>
        <w:rPr>
          <w:sz w:val="24"/>
          <w:szCs w:val="24"/>
          <w:color w:val="auto"/>
        </w:rPr>
      </w:pPr>
    </w:p>
    <w:p>
      <w:pPr>
        <w:jc w:val="both"/>
        <w:spacing w:after="0" w:line="22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76"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p>
      <w:pPr>
        <w:ind w:left="20"/>
        <w:spacing w:after="0" w:line="184" w:lineRule="exact"/>
        <w:tabs>
          <w:tab w:leader="none" w:pos="1960" w:val="left"/>
          <w:tab w:leader="none" w:pos="2160" w:val="left"/>
          <w:tab w:leader="none" w:pos="3640" w:val="left"/>
          <w:tab w:leader="none" w:pos="5720" w:val="left"/>
          <w:tab w:leader="none" w:pos="8340" w:val="left"/>
          <w:tab w:leader="none" w:pos="1100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49" w:lineRule="exact"/>
        <w:rPr>
          <w:sz w:val="24"/>
          <w:szCs w:val="24"/>
          <w:color w:val="auto"/>
        </w:rPr>
      </w:pPr>
    </w:p>
    <w:p>
      <w:pPr>
        <w:jc w:val="both"/>
        <w:spacing w:after="0" w:line="22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 w:lineRule="exact"/>
        <w:rPr>
          <w:sz w:val="24"/>
          <w:szCs w:val="24"/>
          <w:color w:val="auto"/>
        </w:rPr>
      </w:pPr>
    </w:p>
    <w:p>
      <w:pPr>
        <w:spacing w:after="0" w:line="207" w:lineRule="exact"/>
        <w:tabs>
          <w:tab w:leader="none" w:pos="380" w:val="left"/>
          <w:tab w:leader="none" w:pos="760" w:val="left"/>
          <w:tab w:leader="none" w:pos="110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105"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the registrant's common shares outstanding at November 1, 2021: 37,291,149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438150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113030</wp:posOffset>
            </wp:positionV>
            <wp:extent cx="713422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225"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87630</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James River Group Holdings,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07"/>
        </w:trPr>
        <w:tc>
          <w:tcPr>
            <w:tcW w:w="10400" w:type="dxa"/>
            <w:vAlign w:val="bottom"/>
            <w:gridSpan w:val="23"/>
            <w:shd w:val="clear" w:color="auto" w:fill="CCEEFF"/>
          </w:tcPr>
          <w:p>
            <w:pPr>
              <w:ind w:left="20"/>
              <w:spacing w:after="0" w:line="187" w:lineRule="exact"/>
              <w:rPr>
                <w:rFonts w:ascii="Arial" w:cs="Arial" w:eastAsia="Arial" w:hAnsi="Arial"/>
                <w:sz w:val="18"/>
                <w:szCs w:val="18"/>
                <w:color w:val="0000FF"/>
              </w:rPr>
            </w:pPr>
            <w:hyperlink w:anchor="page4">
              <w:r>
                <w:rPr>
                  <w:rFonts w:ascii="Arial" w:cs="Arial" w:eastAsia="Arial" w:hAnsi="Arial"/>
                  <w:sz w:val="18"/>
                  <w:szCs w:val="18"/>
                  <w:color w:val="0000FF"/>
                </w:rPr>
                <w:t>PART I. FINANCIAL INFORMATION</w:t>
              </w:r>
            </w:hyperlink>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40" w:type="dxa"/>
            <w:vAlign w:val="bottom"/>
            <w:gridSpan w:val="5"/>
            <w:shd w:val="clear" w:color="auto" w:fill="CCEEFF"/>
          </w:tcPr>
          <w:p>
            <w:pPr>
              <w:ind w:left="20"/>
              <w:spacing w:after="0" w:line="186" w:lineRule="exact"/>
              <w:rPr>
                <w:rFonts w:ascii="Arial" w:cs="Arial" w:eastAsia="Arial" w:hAnsi="Arial"/>
                <w:sz w:val="18"/>
                <w:szCs w:val="18"/>
                <w:color w:val="0000FF"/>
              </w:rPr>
            </w:pPr>
            <w:hyperlink w:anchor="page5">
              <w:r>
                <w:rPr>
                  <w:rFonts w:ascii="Arial" w:cs="Arial" w:eastAsia="Arial" w:hAnsi="Arial"/>
                  <w:sz w:val="18"/>
                  <w:szCs w:val="18"/>
                  <w:color w:val="0000FF"/>
                </w:rPr>
                <w:t>Item 1.</w:t>
              </w:r>
            </w:hyperlink>
          </w:p>
        </w:tc>
        <w:tc>
          <w:tcPr>
            <w:tcW w:w="9460" w:type="dxa"/>
            <w:vAlign w:val="bottom"/>
            <w:gridSpan w:val="18"/>
            <w:shd w:val="clear" w:color="auto" w:fill="CCEEFF"/>
          </w:tcPr>
          <w:p>
            <w:pPr>
              <w:spacing w:after="0" w:line="186" w:lineRule="exact"/>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60" w:type="dxa"/>
            <w:vAlign w:val="bottom"/>
            <w:gridSpan w:val="18"/>
            <w:shd w:val="clear" w:color="auto" w:fill="CCEEFF"/>
          </w:tcPr>
          <w:p>
            <w:pPr>
              <w:spacing w:after="0" w:line="186" w:lineRule="exact"/>
              <w:rPr>
                <w:rFonts w:ascii="Arial" w:cs="Arial" w:eastAsia="Arial" w:hAnsi="Arial"/>
                <w:sz w:val="18"/>
                <w:szCs w:val="18"/>
                <w:color w:val="0000FF"/>
              </w:rPr>
            </w:pPr>
            <w:hyperlink w:anchor="page5">
              <w:r>
                <w:rPr>
                  <w:rFonts w:ascii="Arial" w:cs="Arial" w:eastAsia="Arial" w:hAnsi="Arial"/>
                  <w:sz w:val="18"/>
                  <w:szCs w:val="18"/>
                  <w:color w:val="0000FF"/>
                </w:rPr>
                <w:t xml:space="preserve">Condensed Consolidated Balance </w:t>
              </w:r>
            </w:hyperlink>
            <w:r>
              <w:rPr>
                <w:rFonts w:ascii="Arial" w:cs="Arial" w:eastAsia="Arial" w:hAnsi="Arial"/>
                <w:sz w:val="18"/>
                <w:szCs w:val="18"/>
                <w:color w:val="0000FF"/>
              </w:rPr>
              <w:t xml:space="preserve">Sheets—September </w:t>
            </w:r>
            <w:hyperlink w:anchor="page5">
              <w:r>
                <w:rPr>
                  <w:rFonts w:ascii="Arial" w:cs="Arial" w:eastAsia="Arial" w:hAnsi="Arial"/>
                  <w:sz w:val="18"/>
                  <w:szCs w:val="18"/>
                  <w:color w:val="0000FF"/>
                </w:rPr>
                <w:t>30, 2021 and December 31, 2020</w:t>
              </w:r>
            </w:hyperlink>
          </w:p>
        </w:tc>
        <w:tc>
          <w:tcPr>
            <w:tcW w:w="520" w:type="dxa"/>
            <w:vAlign w:val="bottom"/>
            <w:tcBorders>
              <w:right w:val="single" w:sz="8" w:color="CCEEFF"/>
            </w:tcBorders>
            <w:gridSpan w:val="3"/>
            <w:shd w:val="clear" w:color="auto" w:fill="CCEEFF"/>
          </w:tcPr>
          <w:p>
            <w:pPr>
              <w:jc w:val="center"/>
              <w:ind w:left="233"/>
              <w:spacing w:after="0" w:line="18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60" w:type="dxa"/>
            <w:vAlign w:val="bottom"/>
            <w:gridSpan w:val="18"/>
            <w:shd w:val="clear" w:color="auto" w:fill="CCEEFF"/>
          </w:tcPr>
          <w:p>
            <w:pPr>
              <w:spacing w:after="0" w:line="186" w:lineRule="exact"/>
              <w:rPr>
                <w:rFonts w:ascii="Arial" w:cs="Arial" w:eastAsia="Arial" w:hAnsi="Arial"/>
                <w:sz w:val="18"/>
                <w:szCs w:val="18"/>
                <w:color w:val="0000FF"/>
                <w:w w:val="95"/>
              </w:rPr>
            </w:pPr>
            <w:hyperlink w:anchor="page6">
              <w:r>
                <w:rPr>
                  <w:rFonts w:ascii="Arial" w:cs="Arial" w:eastAsia="Arial" w:hAnsi="Arial"/>
                  <w:sz w:val="18"/>
                  <w:szCs w:val="18"/>
                  <w:color w:val="0000FF"/>
                  <w:w w:val="95"/>
                </w:rPr>
                <w:t>Condensed Consolidated Statements of (Loss) Income and Comprehensive (Loss) Income—Three and Nine Months Ended</w:t>
              </w:r>
            </w:hyperlink>
          </w:p>
        </w:tc>
        <w:tc>
          <w:tcPr>
            <w:tcW w:w="520" w:type="dxa"/>
            <w:vAlign w:val="bottom"/>
            <w:tcBorders>
              <w:right w:val="single" w:sz="8" w:color="CCEEFF"/>
            </w:tcBorders>
            <w:gridSpan w:val="3"/>
            <w:vMerge w:val="restart"/>
            <w:shd w:val="clear" w:color="auto" w:fill="CCEEFF"/>
          </w:tcPr>
          <w:p>
            <w:pPr>
              <w:jc w:val="center"/>
              <w:ind w:left="233"/>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740" w:type="dxa"/>
            <w:vAlign w:val="bottom"/>
            <w:tcBorders>
              <w:top w:val="single" w:sz="8" w:color="0000FF"/>
            </w:tcBorders>
            <w:gridSpan w:val="16"/>
            <w:shd w:val="clear" w:color="auto" w:fill="CCEEFF"/>
          </w:tcPr>
          <w:p>
            <w:pPr>
              <w:spacing w:after="0" w:line="153" w:lineRule="exact"/>
              <w:rPr>
                <w:rFonts w:ascii="Arial" w:cs="Arial" w:eastAsia="Arial" w:hAnsi="Arial"/>
                <w:sz w:val="17"/>
                <w:szCs w:val="17"/>
                <w:color w:val="0000FF"/>
              </w:rPr>
            </w:pPr>
            <w:hyperlink w:anchor="page6">
              <w:r>
                <w:rPr>
                  <w:rFonts w:ascii="Arial" w:cs="Arial" w:eastAsia="Arial" w:hAnsi="Arial"/>
                  <w:sz w:val="17"/>
                  <w:szCs w:val="17"/>
                  <w:color w:val="0000FF"/>
                </w:rPr>
                <w:t>September 30, 2021 and 2020</w:t>
              </w:r>
            </w:hyperlink>
          </w:p>
        </w:tc>
        <w:tc>
          <w:tcPr>
            <w:tcW w:w="5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right w:val="single" w:sz="8" w:color="CCEEFF"/>
            </w:tcBorders>
            <w:gridSpan w:val="3"/>
            <w:vMerge w:val="continue"/>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60" w:type="dxa"/>
            <w:vAlign w:val="bottom"/>
            <w:gridSpan w:val="18"/>
            <w:shd w:val="clear" w:color="auto" w:fill="CCEEFF"/>
          </w:tcPr>
          <w:p>
            <w:pPr>
              <w:spacing w:after="0" w:line="186"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Changes in Shareholders’ Equity—Three and Nine Months Ended September 30, 2021 and</w:t>
              </w:r>
            </w:hyperlink>
          </w:p>
        </w:tc>
        <w:tc>
          <w:tcPr>
            <w:tcW w:w="520" w:type="dxa"/>
            <w:vAlign w:val="bottom"/>
            <w:tcBorders>
              <w:right w:val="single" w:sz="8" w:color="CCEEFF"/>
            </w:tcBorders>
            <w:gridSpan w:val="3"/>
            <w:vMerge w:val="restart"/>
            <w:shd w:val="clear" w:color="auto" w:fill="CCEEFF"/>
          </w:tcPr>
          <w:p>
            <w:pPr>
              <w:jc w:val="center"/>
              <w:ind w:left="233"/>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0000FF"/>
            </w:tcBorders>
            <w:gridSpan w:val="2"/>
            <w:shd w:val="clear" w:color="auto" w:fill="CCEEFF"/>
          </w:tcPr>
          <w:p>
            <w:pPr>
              <w:spacing w:after="0" w:line="153" w:lineRule="exact"/>
              <w:rPr>
                <w:rFonts w:ascii="Arial" w:cs="Arial" w:eastAsia="Arial" w:hAnsi="Arial"/>
                <w:sz w:val="17"/>
                <w:szCs w:val="17"/>
                <w:color w:val="0000FF"/>
              </w:rPr>
            </w:pPr>
            <w:hyperlink w:anchor="page7">
              <w:r>
                <w:rPr>
                  <w:rFonts w:ascii="Arial" w:cs="Arial" w:eastAsia="Arial" w:hAnsi="Arial"/>
                  <w:sz w:val="17"/>
                  <w:szCs w:val="17"/>
                  <w:color w:val="0000FF"/>
                </w:rPr>
                <w:t>2020</w:t>
              </w:r>
            </w:hyperlink>
          </w:p>
        </w:tc>
        <w:tc>
          <w:tcPr>
            <w:tcW w:w="300" w:type="dxa"/>
            <w:vAlign w:val="bottom"/>
            <w:tcBorders>
              <w:top w:val="single" w:sz="8" w:color="0000FF"/>
            </w:tcBorders>
            <w:shd w:val="clear" w:color="auto" w:fill="CCEEFF"/>
          </w:tcPr>
          <w:p>
            <w:pPr>
              <w:spacing w:after="0"/>
              <w:rPr>
                <w:sz w:val="15"/>
                <w:szCs w:val="15"/>
                <w:color w:val="auto"/>
              </w:rPr>
            </w:pPr>
          </w:p>
        </w:tc>
        <w:tc>
          <w:tcPr>
            <w:tcW w:w="40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left w:val="single" w:sz="8" w:color="CCEEFF"/>
            </w:tcBorders>
            <w:shd w:val="clear" w:color="auto" w:fill="CCEEFF"/>
          </w:tcPr>
          <w:p>
            <w:pPr>
              <w:spacing w:after="0"/>
              <w:rPr>
                <w:sz w:val="15"/>
                <w:szCs w:val="15"/>
                <w:color w:val="auto"/>
              </w:rPr>
            </w:pPr>
          </w:p>
        </w:tc>
        <w:tc>
          <w:tcPr>
            <w:tcW w:w="260" w:type="dxa"/>
            <w:vAlign w:val="bottom"/>
            <w:tcBorders>
              <w:top w:val="single" w:sz="8" w:color="0000FF"/>
              <w:right w:val="single" w:sz="8" w:color="CCEE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20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760" w:type="dxa"/>
            <w:vAlign w:val="bottom"/>
            <w:tcBorders>
              <w:top w:val="single" w:sz="8" w:color="0000FF"/>
            </w:tcBorders>
            <w:shd w:val="clear" w:color="auto" w:fill="CCEEFF"/>
          </w:tcPr>
          <w:p>
            <w:pPr>
              <w:spacing w:after="0"/>
              <w:rPr>
                <w:sz w:val="15"/>
                <w:szCs w:val="15"/>
                <w:color w:val="auto"/>
              </w:rPr>
            </w:pPr>
          </w:p>
        </w:tc>
        <w:tc>
          <w:tcPr>
            <w:tcW w:w="900" w:type="dxa"/>
            <w:vAlign w:val="bottom"/>
            <w:tcBorders>
              <w:top w:val="single" w:sz="8" w:color="0000FF"/>
            </w:tcBorders>
            <w:shd w:val="clear" w:color="auto" w:fill="CCEEFF"/>
          </w:tcPr>
          <w:p>
            <w:pPr>
              <w:spacing w:after="0"/>
              <w:rPr>
                <w:sz w:val="15"/>
                <w:szCs w:val="15"/>
                <w:color w:val="auto"/>
              </w:rPr>
            </w:pPr>
          </w:p>
        </w:tc>
        <w:tc>
          <w:tcPr>
            <w:tcW w:w="360" w:type="dxa"/>
            <w:vAlign w:val="bottom"/>
            <w:tcBorders>
              <w:top w:val="single" w:sz="8" w:color="0000FF"/>
              <w:right w:val="single" w:sz="8" w:color="CCEEFF"/>
            </w:tcBorders>
            <w:shd w:val="clear" w:color="auto" w:fill="CCEEFF"/>
          </w:tcPr>
          <w:p>
            <w:pPr>
              <w:spacing w:after="0"/>
              <w:rPr>
                <w:sz w:val="15"/>
                <w:szCs w:val="15"/>
                <w:color w:val="auto"/>
              </w:rPr>
            </w:pPr>
          </w:p>
        </w:tc>
        <w:tc>
          <w:tcPr>
            <w:tcW w:w="1920" w:type="dxa"/>
            <w:vAlign w:val="bottom"/>
            <w:tcBorders>
              <w:top w:val="single" w:sz="8" w:color="0000FF"/>
            </w:tcBorders>
            <w:shd w:val="clear" w:color="auto" w:fill="CCEEFF"/>
          </w:tcPr>
          <w:p>
            <w:pPr>
              <w:spacing w:after="0"/>
              <w:rPr>
                <w:sz w:val="15"/>
                <w:szCs w:val="15"/>
                <w:color w:val="auto"/>
              </w:rPr>
            </w:pPr>
          </w:p>
        </w:tc>
        <w:tc>
          <w:tcPr>
            <w:tcW w:w="120" w:type="dxa"/>
            <w:vAlign w:val="bottom"/>
            <w:tcBorders>
              <w:top w:val="single" w:sz="8" w:color="0000FF"/>
            </w:tcBorders>
            <w:shd w:val="clear" w:color="auto" w:fill="CCEEFF"/>
          </w:tcPr>
          <w:p>
            <w:pPr>
              <w:spacing w:after="0"/>
              <w:rPr>
                <w:sz w:val="15"/>
                <w:szCs w:val="15"/>
                <w:color w:val="auto"/>
              </w:rPr>
            </w:pPr>
          </w:p>
        </w:tc>
        <w:tc>
          <w:tcPr>
            <w:tcW w:w="1080" w:type="dxa"/>
            <w:vAlign w:val="bottom"/>
            <w:tcBorders>
              <w:top w:val="single" w:sz="8" w:color="0000FF"/>
            </w:tcBorders>
            <w:shd w:val="clear" w:color="auto" w:fill="CCEEFF"/>
          </w:tcPr>
          <w:p>
            <w:pPr>
              <w:spacing w:after="0"/>
              <w:rPr>
                <w:sz w:val="15"/>
                <w:szCs w:val="15"/>
                <w:color w:val="auto"/>
              </w:rPr>
            </w:pPr>
          </w:p>
        </w:tc>
        <w:tc>
          <w:tcPr>
            <w:tcW w:w="1320" w:type="dxa"/>
            <w:vAlign w:val="bottom"/>
            <w:tcBorders>
              <w:top w:val="single" w:sz="8" w:color="0000FF"/>
            </w:tcBorders>
            <w:shd w:val="clear" w:color="auto" w:fill="CCEEFF"/>
          </w:tcPr>
          <w:p>
            <w:pPr>
              <w:spacing w:after="0"/>
              <w:rPr>
                <w:sz w:val="15"/>
                <w:szCs w:val="15"/>
                <w:color w:val="auto"/>
              </w:rPr>
            </w:pPr>
          </w:p>
        </w:tc>
        <w:tc>
          <w:tcPr>
            <w:tcW w:w="56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right w:val="single" w:sz="8" w:color="CCEEFF"/>
            </w:tcBorders>
            <w:gridSpan w:val="3"/>
            <w:vMerge w:val="continue"/>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60" w:type="dxa"/>
            <w:vAlign w:val="bottom"/>
            <w:gridSpan w:val="18"/>
            <w:shd w:val="clear" w:color="auto" w:fill="CCEEFF"/>
          </w:tcPr>
          <w:p>
            <w:pPr>
              <w:spacing w:after="0" w:line="186"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Flows—Nine Months Ended September 30, 2021 and 2020</w:t>
              </w:r>
            </w:hyperlink>
          </w:p>
        </w:tc>
        <w:tc>
          <w:tcPr>
            <w:tcW w:w="840" w:type="dxa"/>
            <w:vAlign w:val="bottom"/>
            <w:gridSpan w:val="4"/>
            <w:shd w:val="clear" w:color="auto" w:fill="CCEEFF"/>
          </w:tcPr>
          <w:p>
            <w:pPr>
              <w:jc w:val="center"/>
              <w:spacing w:after="0" w:line="186" w:lineRule="exact"/>
              <w:rPr>
                <w:rFonts w:ascii="Arial" w:cs="Arial" w:eastAsia="Arial" w:hAnsi="Arial"/>
                <w:sz w:val="18"/>
                <w:szCs w:val="18"/>
                <w:color w:val="0000FF"/>
                <w:w w:val="89"/>
              </w:rPr>
            </w:pPr>
            <w:hyperlink w:anchor="page9">
              <w:r>
                <w:rPr>
                  <w:rFonts w:ascii="Arial" w:cs="Arial" w:eastAsia="Arial" w:hAnsi="Arial"/>
                  <w:sz w:val="18"/>
                  <w:szCs w:val="18"/>
                  <w:color w:val="0000FF"/>
                  <w:w w:val="89"/>
                </w:rPr>
                <w:t>10</w:t>
              </w:r>
            </w:hyperlink>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80" w:type="dxa"/>
            <w:vAlign w:val="bottom"/>
            <w:tcBorders>
              <w:top w:val="single" w:sz="8" w:color="0000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60" w:type="dxa"/>
            <w:vAlign w:val="bottom"/>
            <w:gridSpan w:val="18"/>
            <w:shd w:val="clear" w:color="auto" w:fill="CCEEFF"/>
          </w:tcPr>
          <w:p>
            <w:pPr>
              <w:spacing w:after="0" w:line="186" w:lineRule="exact"/>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520" w:type="dxa"/>
            <w:vAlign w:val="bottom"/>
            <w:tcBorders>
              <w:right w:val="single" w:sz="8" w:color="CCEEFF"/>
            </w:tcBorders>
            <w:gridSpan w:val="3"/>
            <w:shd w:val="clear" w:color="auto" w:fill="CCEEFF"/>
          </w:tcPr>
          <w:p>
            <w:pPr>
              <w:jc w:val="center"/>
              <w:ind w:left="233"/>
              <w:spacing w:after="0" w:line="186"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11</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40" w:type="dxa"/>
            <w:vAlign w:val="bottom"/>
            <w:gridSpan w:val="5"/>
            <w:shd w:val="clear" w:color="auto" w:fill="CCEEFF"/>
          </w:tcPr>
          <w:p>
            <w:pPr>
              <w:ind w:left="20"/>
              <w:spacing w:after="0" w:line="186" w:lineRule="exact"/>
              <w:rPr>
                <w:rFonts w:ascii="Arial" w:cs="Arial" w:eastAsia="Arial" w:hAnsi="Arial"/>
                <w:sz w:val="18"/>
                <w:szCs w:val="18"/>
                <w:color w:val="0000FF"/>
              </w:rPr>
            </w:pPr>
            <w:hyperlink w:anchor="page31">
              <w:r>
                <w:rPr>
                  <w:rFonts w:ascii="Arial" w:cs="Arial" w:eastAsia="Arial" w:hAnsi="Arial"/>
                  <w:sz w:val="18"/>
                  <w:szCs w:val="18"/>
                  <w:color w:val="0000FF"/>
                </w:rPr>
                <w:t>Item 2.</w:t>
              </w:r>
            </w:hyperlink>
          </w:p>
        </w:tc>
        <w:tc>
          <w:tcPr>
            <w:tcW w:w="9460" w:type="dxa"/>
            <w:vAlign w:val="bottom"/>
            <w:gridSpan w:val="18"/>
            <w:shd w:val="clear" w:color="auto" w:fill="CCEEFF"/>
          </w:tcPr>
          <w:p>
            <w:pPr>
              <w:spacing w:after="0" w:line="186" w:lineRule="exact"/>
              <w:rPr>
                <w:rFonts w:ascii="Arial" w:cs="Arial" w:eastAsia="Arial" w:hAnsi="Arial"/>
                <w:sz w:val="18"/>
                <w:szCs w:val="18"/>
                <w:color w:val="0000FF"/>
              </w:rPr>
            </w:pPr>
            <w:hyperlink w:anchor="page31">
              <w:r>
                <w:rPr>
                  <w:rFonts w:ascii="Arial" w:cs="Arial" w:eastAsia="Arial" w:hAnsi="Arial"/>
                  <w:sz w:val="18"/>
                  <w:szCs w:val="18"/>
                  <w:color w:val="0000FF"/>
                </w:rPr>
                <w:t>Management's Discussion and Analysis of Financial Condition and Results of Operations</w:t>
              </w:r>
            </w:hyperlink>
          </w:p>
        </w:tc>
        <w:tc>
          <w:tcPr>
            <w:tcW w:w="840" w:type="dxa"/>
            <w:vAlign w:val="bottom"/>
            <w:gridSpan w:val="4"/>
            <w:shd w:val="clear" w:color="auto" w:fill="CCEEFF"/>
          </w:tcPr>
          <w:p>
            <w:pPr>
              <w:jc w:val="center"/>
              <w:spacing w:after="0" w:line="186"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60" w:type="dxa"/>
            <w:vAlign w:val="bottom"/>
            <w:gridSpan w:val="18"/>
            <w:shd w:val="clear" w:color="auto" w:fill="CCEEFF"/>
          </w:tcPr>
          <w:p>
            <w:pPr>
              <w:spacing w:after="0" w:line="186" w:lineRule="exact"/>
              <w:rPr>
                <w:rFonts w:ascii="Arial" w:cs="Arial" w:eastAsia="Arial" w:hAnsi="Arial"/>
                <w:sz w:val="18"/>
                <w:szCs w:val="18"/>
                <w:color w:val="0000FF"/>
              </w:rPr>
            </w:pPr>
            <w:hyperlink w:anchor="page32">
              <w:r>
                <w:rPr>
                  <w:rFonts w:ascii="Arial" w:cs="Arial" w:eastAsia="Arial" w:hAnsi="Arial"/>
                  <w:sz w:val="18"/>
                  <w:szCs w:val="18"/>
                  <w:color w:val="0000FF"/>
                </w:rPr>
                <w:t>Critical Accounting Policies and Estimates</w:t>
              </w:r>
            </w:hyperlink>
          </w:p>
        </w:tc>
        <w:tc>
          <w:tcPr>
            <w:tcW w:w="840" w:type="dxa"/>
            <w:vAlign w:val="bottom"/>
            <w:gridSpan w:val="4"/>
            <w:shd w:val="clear" w:color="auto" w:fill="CCEEFF"/>
          </w:tcPr>
          <w:p>
            <w:pPr>
              <w:jc w:val="center"/>
              <w:spacing w:after="0" w:line="186"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33</w:t>
              </w:r>
            </w:hyperlink>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40" w:type="dxa"/>
            <w:vAlign w:val="bottom"/>
            <w:gridSpan w:val="5"/>
            <w:shd w:val="clear" w:color="auto" w:fill="CCEEFF"/>
          </w:tcPr>
          <w:p>
            <w:pPr>
              <w:ind w:left="20"/>
              <w:spacing w:after="0" w:line="186" w:lineRule="exact"/>
              <w:rPr>
                <w:rFonts w:ascii="Arial" w:cs="Arial" w:eastAsia="Arial" w:hAnsi="Arial"/>
                <w:sz w:val="18"/>
                <w:szCs w:val="18"/>
                <w:color w:val="0000FF"/>
              </w:rPr>
            </w:pPr>
            <w:hyperlink w:anchor="page55">
              <w:r>
                <w:rPr>
                  <w:rFonts w:ascii="Arial" w:cs="Arial" w:eastAsia="Arial" w:hAnsi="Arial"/>
                  <w:sz w:val="18"/>
                  <w:szCs w:val="18"/>
                  <w:color w:val="0000FF"/>
                </w:rPr>
                <w:t>Item 3.</w:t>
              </w:r>
            </w:hyperlink>
          </w:p>
        </w:tc>
        <w:tc>
          <w:tcPr>
            <w:tcW w:w="9460" w:type="dxa"/>
            <w:vAlign w:val="bottom"/>
            <w:gridSpan w:val="18"/>
            <w:shd w:val="clear" w:color="auto" w:fill="CCEEFF"/>
          </w:tcPr>
          <w:p>
            <w:pPr>
              <w:spacing w:after="0" w:line="186" w:lineRule="exact"/>
              <w:rPr>
                <w:rFonts w:ascii="Arial" w:cs="Arial" w:eastAsia="Arial" w:hAnsi="Arial"/>
                <w:sz w:val="18"/>
                <w:szCs w:val="18"/>
                <w:color w:val="0000FF"/>
              </w:rPr>
            </w:pPr>
            <w:hyperlink w:anchor="page55">
              <w:r>
                <w:rPr>
                  <w:rFonts w:ascii="Arial" w:cs="Arial" w:eastAsia="Arial" w:hAnsi="Arial"/>
                  <w:sz w:val="18"/>
                  <w:szCs w:val="18"/>
                  <w:color w:val="0000FF"/>
                </w:rPr>
                <w:t>Quantitative and Qualitative Disclosures About Market Risk</w:t>
              </w:r>
            </w:hyperlink>
          </w:p>
        </w:tc>
        <w:tc>
          <w:tcPr>
            <w:tcW w:w="840" w:type="dxa"/>
            <w:vAlign w:val="bottom"/>
            <w:gridSpan w:val="4"/>
            <w:shd w:val="clear" w:color="auto" w:fill="CCEEFF"/>
          </w:tcPr>
          <w:p>
            <w:pPr>
              <w:jc w:val="center"/>
              <w:spacing w:after="0" w:line="186"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56</w:t>
              </w:r>
            </w:hyperlink>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76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40" w:type="dxa"/>
            <w:vAlign w:val="bottom"/>
            <w:gridSpan w:val="5"/>
            <w:shd w:val="clear" w:color="auto" w:fill="CCEEFF"/>
          </w:tcPr>
          <w:p>
            <w:pPr>
              <w:ind w:left="20"/>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Item 4.</w:t>
              </w:r>
            </w:hyperlink>
          </w:p>
        </w:tc>
        <w:tc>
          <w:tcPr>
            <w:tcW w:w="9460" w:type="dxa"/>
            <w:vAlign w:val="bottom"/>
            <w:gridSpan w:val="18"/>
            <w:shd w:val="clear" w:color="auto" w:fill="CCEEFF"/>
          </w:tcPr>
          <w:p>
            <w:pPr>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Controls and Procedures</w:t>
              </w:r>
            </w:hyperlink>
          </w:p>
        </w:tc>
        <w:tc>
          <w:tcPr>
            <w:tcW w:w="840" w:type="dxa"/>
            <w:vAlign w:val="bottom"/>
            <w:gridSpan w:val="4"/>
            <w:shd w:val="clear" w:color="auto" w:fill="CCEEFF"/>
          </w:tcPr>
          <w:p>
            <w:pPr>
              <w:jc w:val="center"/>
              <w:spacing w:after="0" w:line="186"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0400" w:type="dxa"/>
            <w:vAlign w:val="bottom"/>
            <w:gridSpan w:val="23"/>
            <w:shd w:val="clear" w:color="auto" w:fill="CCEEFF"/>
          </w:tcPr>
          <w:p>
            <w:pPr>
              <w:ind w:left="20"/>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PART II. OTHER INFORMATION</w:t>
              </w:r>
            </w:hyperlink>
          </w:p>
        </w:tc>
        <w:tc>
          <w:tcPr>
            <w:tcW w:w="3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920" w:type="dxa"/>
            <w:vAlign w:val="bottom"/>
            <w:gridSpan w:val="4"/>
            <w:shd w:val="clear" w:color="auto" w:fill="CCEEFF"/>
          </w:tcPr>
          <w:p>
            <w:pPr>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Item 1.</w:t>
              </w:r>
            </w:hyperlink>
          </w:p>
        </w:tc>
        <w:tc>
          <w:tcPr>
            <w:tcW w:w="9460" w:type="dxa"/>
            <w:vAlign w:val="bottom"/>
            <w:gridSpan w:val="18"/>
            <w:shd w:val="clear" w:color="auto" w:fill="CCEEFF"/>
          </w:tcPr>
          <w:p>
            <w:pPr>
              <w:spacing w:after="0" w:line="186" w:lineRule="exact"/>
              <w:rPr>
                <w:rFonts w:ascii="Arial" w:cs="Arial" w:eastAsia="Arial" w:hAnsi="Arial"/>
                <w:sz w:val="18"/>
                <w:szCs w:val="18"/>
                <w:color w:val="0000FF"/>
              </w:rPr>
            </w:pPr>
            <w:hyperlink w:anchor="page56">
              <w:r>
                <w:rPr>
                  <w:rFonts w:ascii="Arial" w:cs="Arial" w:eastAsia="Arial" w:hAnsi="Arial"/>
                  <w:sz w:val="18"/>
                  <w:szCs w:val="18"/>
                  <w:color w:val="0000FF"/>
                </w:rPr>
                <w:t>Legal Proceedings</w:t>
              </w:r>
            </w:hyperlink>
          </w:p>
        </w:tc>
        <w:tc>
          <w:tcPr>
            <w:tcW w:w="840" w:type="dxa"/>
            <w:vAlign w:val="bottom"/>
            <w:gridSpan w:val="4"/>
            <w:shd w:val="clear" w:color="auto" w:fill="CCEEFF"/>
          </w:tcPr>
          <w:p>
            <w:pPr>
              <w:jc w:val="center"/>
              <w:spacing w:after="0" w:line="186"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56</w:t>
              </w:r>
            </w:hyperlink>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40" w:type="dxa"/>
            <w:vAlign w:val="bottom"/>
            <w:gridSpan w:val="2"/>
          </w:tcPr>
          <w:p>
            <w:pPr>
              <w:spacing w:after="0" w:line="186" w:lineRule="exact"/>
              <w:rPr>
                <w:rFonts w:ascii="Arial" w:cs="Arial" w:eastAsia="Arial" w:hAnsi="Arial"/>
                <w:sz w:val="18"/>
                <w:szCs w:val="18"/>
                <w:color w:val="0000FF"/>
                <w:w w:val="92"/>
              </w:rPr>
            </w:pPr>
            <w:hyperlink w:anchor="page56">
              <w:r>
                <w:rPr>
                  <w:rFonts w:ascii="Arial" w:cs="Arial" w:eastAsia="Arial" w:hAnsi="Arial"/>
                  <w:sz w:val="18"/>
                  <w:szCs w:val="18"/>
                  <w:color w:val="0000FF"/>
                  <w:w w:val="92"/>
                </w:rPr>
                <w:t>Item 1A.</w:t>
              </w:r>
            </w:hyperlink>
          </w:p>
        </w:tc>
        <w:tc>
          <w:tcPr>
            <w:tcW w:w="280" w:type="dxa"/>
            <w:vAlign w:val="bottom"/>
            <w:gridSpan w:val="2"/>
          </w:tcPr>
          <w:p>
            <w:pPr>
              <w:spacing w:after="0"/>
              <w:rPr>
                <w:sz w:val="16"/>
                <w:szCs w:val="16"/>
                <w:color w:val="auto"/>
              </w:rPr>
            </w:pPr>
          </w:p>
        </w:tc>
        <w:tc>
          <w:tcPr>
            <w:tcW w:w="900" w:type="dxa"/>
            <w:vAlign w:val="bottom"/>
            <w:gridSpan w:val="3"/>
          </w:tcPr>
          <w:p>
            <w:pPr>
              <w:spacing w:after="0" w:line="186" w:lineRule="exact"/>
              <w:rPr>
                <w:rFonts w:ascii="Arial" w:cs="Arial" w:eastAsia="Arial" w:hAnsi="Arial"/>
                <w:sz w:val="18"/>
                <w:szCs w:val="18"/>
                <w:color w:val="0000FF"/>
                <w:w w:val="87"/>
              </w:rPr>
            </w:pPr>
            <w:hyperlink w:anchor="page56">
              <w:r>
                <w:rPr>
                  <w:rFonts w:ascii="Arial" w:cs="Arial" w:eastAsia="Arial" w:hAnsi="Arial"/>
                  <w:sz w:val="18"/>
                  <w:szCs w:val="18"/>
                  <w:color w:val="0000FF"/>
                  <w:w w:val="87"/>
                </w:rPr>
                <w:t>Risk Factors</w:t>
              </w:r>
            </w:hyperlink>
          </w:p>
        </w:tc>
        <w:tc>
          <w:tcPr>
            <w:tcW w:w="8560" w:type="dxa"/>
            <w:vAlign w:val="bottom"/>
            <w:gridSpan w:val="15"/>
          </w:tcPr>
          <w:p>
            <w:pPr>
              <w:spacing w:after="0"/>
              <w:rPr>
                <w:sz w:val="16"/>
                <w:szCs w:val="16"/>
                <w:color w:val="auto"/>
              </w:rPr>
            </w:pPr>
          </w:p>
        </w:tc>
        <w:tc>
          <w:tcPr>
            <w:tcW w:w="840" w:type="dxa"/>
            <w:vAlign w:val="bottom"/>
            <w:gridSpan w:val="4"/>
          </w:tcPr>
          <w:p>
            <w:pPr>
              <w:jc w:val="center"/>
              <w:spacing w:after="0" w:line="186" w:lineRule="exact"/>
              <w:rPr>
                <w:rFonts w:ascii="Arial" w:cs="Arial" w:eastAsia="Arial" w:hAnsi="Arial"/>
                <w:sz w:val="18"/>
                <w:szCs w:val="18"/>
                <w:color w:val="0000FF"/>
                <w:w w:val="89"/>
              </w:rPr>
            </w:pPr>
            <w:hyperlink w:anchor="page56">
              <w:r>
                <w:rPr>
                  <w:rFonts w:ascii="Arial" w:cs="Arial" w:eastAsia="Arial" w:hAnsi="Arial"/>
                  <w:sz w:val="18"/>
                  <w:szCs w:val="18"/>
                  <w:color w:val="0000FF"/>
                  <w:w w:val="89"/>
                </w:rPr>
                <w:t>57</w:t>
              </w:r>
            </w:hyperlink>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Item 2.</w:t>
              </w:r>
            </w:hyperlink>
          </w:p>
        </w:tc>
        <w:tc>
          <w:tcPr>
            <w:tcW w:w="280" w:type="dxa"/>
            <w:vAlign w:val="bottom"/>
            <w:gridSpan w:val="2"/>
            <w:shd w:val="clear" w:color="auto" w:fill="CCEEFF"/>
          </w:tcPr>
          <w:p>
            <w:pPr>
              <w:spacing w:after="0"/>
              <w:rPr>
                <w:sz w:val="17"/>
                <w:szCs w:val="17"/>
                <w:color w:val="auto"/>
              </w:rPr>
            </w:pPr>
          </w:p>
        </w:tc>
        <w:tc>
          <w:tcPr>
            <w:tcW w:w="9460" w:type="dxa"/>
            <w:vAlign w:val="bottom"/>
            <w:gridSpan w:val="18"/>
            <w:shd w:val="clear" w:color="auto" w:fill="CCEEFF"/>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Unregistered Sales of Equity Securities and Use of Proceeds</w:t>
              </w:r>
            </w:hyperlink>
          </w:p>
        </w:tc>
        <w:tc>
          <w:tcPr>
            <w:tcW w:w="840" w:type="dxa"/>
            <w:vAlign w:val="bottom"/>
            <w:gridSpan w:val="4"/>
            <w:shd w:val="clear" w:color="auto" w:fill="CCEEFF"/>
          </w:tcPr>
          <w:p>
            <w:pPr>
              <w:jc w:val="center"/>
              <w:spacing w:after="0" w:line="196" w:lineRule="exact"/>
              <w:rPr>
                <w:rFonts w:ascii="Arial" w:cs="Arial" w:eastAsia="Arial" w:hAnsi="Arial"/>
                <w:sz w:val="18"/>
                <w:szCs w:val="18"/>
                <w:color w:val="0000FF"/>
                <w:w w:val="89"/>
              </w:rPr>
            </w:pPr>
            <w:hyperlink w:anchor="page61">
              <w:r>
                <w:rPr>
                  <w:rFonts w:ascii="Arial" w:cs="Arial" w:eastAsia="Arial" w:hAnsi="Arial"/>
                  <w:sz w:val="18"/>
                  <w:szCs w:val="18"/>
                  <w:color w:val="0000FF"/>
                  <w:w w:val="89"/>
                </w:rPr>
                <w:t>62</w:t>
              </w:r>
            </w:hyperlink>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60" w:type="dxa"/>
            <w:vAlign w:val="bottom"/>
            <w:shd w:val="clear" w:color="auto" w:fill="0000FF"/>
          </w:tcPr>
          <w:p>
            <w:pPr>
              <w:spacing w:after="0"/>
              <w:rPr>
                <w:sz w:val="3"/>
                <w:szCs w:val="3"/>
                <w:color w:val="auto"/>
              </w:rPr>
            </w:pPr>
          </w:p>
        </w:tc>
        <w:tc>
          <w:tcPr>
            <w:tcW w:w="90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920" w:type="dxa"/>
            <w:vAlign w:val="bottom"/>
            <w:gridSpan w:val="4"/>
          </w:tcPr>
          <w:p>
            <w:pPr>
              <w:spacing w:after="0" w:line="186" w:lineRule="exact"/>
              <w:rPr>
                <w:rFonts w:ascii="Arial" w:cs="Arial" w:eastAsia="Arial" w:hAnsi="Arial"/>
                <w:sz w:val="18"/>
                <w:szCs w:val="18"/>
                <w:color w:val="0000FF"/>
              </w:rPr>
            </w:pPr>
            <w:hyperlink w:anchor="page62">
              <w:r>
                <w:rPr>
                  <w:rFonts w:ascii="Arial" w:cs="Arial" w:eastAsia="Arial" w:hAnsi="Arial"/>
                  <w:sz w:val="18"/>
                  <w:szCs w:val="18"/>
                  <w:color w:val="0000FF"/>
                </w:rPr>
                <w:t>Item 3.</w:t>
              </w:r>
            </w:hyperlink>
          </w:p>
        </w:tc>
        <w:tc>
          <w:tcPr>
            <w:tcW w:w="9460" w:type="dxa"/>
            <w:vAlign w:val="bottom"/>
            <w:gridSpan w:val="18"/>
          </w:tcPr>
          <w:p>
            <w:pPr>
              <w:spacing w:after="0" w:line="186" w:lineRule="exact"/>
              <w:rPr>
                <w:rFonts w:ascii="Arial" w:cs="Arial" w:eastAsia="Arial" w:hAnsi="Arial"/>
                <w:sz w:val="18"/>
                <w:szCs w:val="18"/>
                <w:color w:val="0000FF"/>
              </w:rPr>
            </w:pPr>
            <w:hyperlink w:anchor="page62">
              <w:r>
                <w:rPr>
                  <w:rFonts w:ascii="Arial" w:cs="Arial" w:eastAsia="Arial" w:hAnsi="Arial"/>
                  <w:sz w:val="18"/>
                  <w:szCs w:val="18"/>
                  <w:color w:val="0000FF"/>
                </w:rPr>
                <w:t>Defaults Upon Senior Securities</w:t>
              </w:r>
            </w:hyperlink>
          </w:p>
        </w:tc>
        <w:tc>
          <w:tcPr>
            <w:tcW w:w="840" w:type="dxa"/>
            <w:vAlign w:val="bottom"/>
            <w:gridSpan w:val="4"/>
          </w:tcPr>
          <w:p>
            <w:pPr>
              <w:jc w:val="center"/>
              <w:spacing w:after="0" w:line="186"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62</w:t>
              </w:r>
            </w:hyperlink>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Item 4.</w:t>
              </w:r>
            </w:hyperlink>
          </w:p>
        </w:tc>
        <w:tc>
          <w:tcPr>
            <w:tcW w:w="9460" w:type="dxa"/>
            <w:vAlign w:val="bottom"/>
            <w:gridSpan w:val="18"/>
            <w:shd w:val="clear" w:color="auto" w:fill="CCEEFF"/>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Mine Safety Disclosure</w:t>
              </w:r>
            </w:hyperlink>
          </w:p>
        </w:tc>
        <w:tc>
          <w:tcPr>
            <w:tcW w:w="840" w:type="dxa"/>
            <w:vAlign w:val="bottom"/>
            <w:gridSpan w:val="4"/>
            <w:shd w:val="clear" w:color="auto" w:fill="CCEEFF"/>
          </w:tcPr>
          <w:p>
            <w:pPr>
              <w:jc w:val="center"/>
              <w:spacing w:after="0" w:line="196"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62</w:t>
              </w:r>
            </w:hyperlink>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920" w:type="dxa"/>
            <w:vAlign w:val="bottom"/>
            <w:gridSpan w:val="4"/>
          </w:tcPr>
          <w:p>
            <w:pPr>
              <w:spacing w:after="0" w:line="186" w:lineRule="exact"/>
              <w:rPr>
                <w:rFonts w:ascii="Arial" w:cs="Arial" w:eastAsia="Arial" w:hAnsi="Arial"/>
                <w:sz w:val="18"/>
                <w:szCs w:val="18"/>
                <w:color w:val="0000FF"/>
              </w:rPr>
            </w:pPr>
            <w:hyperlink w:anchor="page62">
              <w:r>
                <w:rPr>
                  <w:rFonts w:ascii="Arial" w:cs="Arial" w:eastAsia="Arial" w:hAnsi="Arial"/>
                  <w:sz w:val="18"/>
                  <w:szCs w:val="18"/>
                  <w:color w:val="0000FF"/>
                </w:rPr>
                <w:t>Item 5.</w:t>
              </w:r>
            </w:hyperlink>
          </w:p>
        </w:tc>
        <w:tc>
          <w:tcPr>
            <w:tcW w:w="9460" w:type="dxa"/>
            <w:vAlign w:val="bottom"/>
            <w:gridSpan w:val="18"/>
          </w:tcPr>
          <w:p>
            <w:pPr>
              <w:spacing w:after="0" w:line="186" w:lineRule="exact"/>
              <w:rPr>
                <w:rFonts w:ascii="Arial" w:cs="Arial" w:eastAsia="Arial" w:hAnsi="Arial"/>
                <w:sz w:val="18"/>
                <w:szCs w:val="18"/>
                <w:color w:val="0000FF"/>
              </w:rPr>
            </w:pPr>
            <w:hyperlink w:anchor="page62">
              <w:r>
                <w:rPr>
                  <w:rFonts w:ascii="Arial" w:cs="Arial" w:eastAsia="Arial" w:hAnsi="Arial"/>
                  <w:sz w:val="18"/>
                  <w:szCs w:val="18"/>
                  <w:color w:val="0000FF"/>
                </w:rPr>
                <w:t>Other Information</w:t>
              </w:r>
            </w:hyperlink>
          </w:p>
        </w:tc>
        <w:tc>
          <w:tcPr>
            <w:tcW w:w="840" w:type="dxa"/>
            <w:vAlign w:val="bottom"/>
            <w:gridSpan w:val="4"/>
          </w:tcPr>
          <w:p>
            <w:pPr>
              <w:jc w:val="center"/>
              <w:spacing w:after="0" w:line="186"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62</w:t>
              </w:r>
            </w:hyperlink>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Item 6.</w:t>
              </w:r>
            </w:hyperlink>
          </w:p>
        </w:tc>
        <w:tc>
          <w:tcPr>
            <w:tcW w:w="9460" w:type="dxa"/>
            <w:vAlign w:val="bottom"/>
            <w:gridSpan w:val="18"/>
            <w:shd w:val="clear" w:color="auto" w:fill="CCEEFF"/>
          </w:tcPr>
          <w:p>
            <w:pPr>
              <w:spacing w:after="0" w:line="196" w:lineRule="exact"/>
              <w:rPr>
                <w:rFonts w:ascii="Arial" w:cs="Arial" w:eastAsia="Arial" w:hAnsi="Arial"/>
                <w:sz w:val="18"/>
                <w:szCs w:val="18"/>
                <w:color w:val="0000FF"/>
              </w:rPr>
            </w:pPr>
            <w:hyperlink w:anchor="page62">
              <w:r>
                <w:rPr>
                  <w:rFonts w:ascii="Arial" w:cs="Arial" w:eastAsia="Arial" w:hAnsi="Arial"/>
                  <w:sz w:val="18"/>
                  <w:szCs w:val="18"/>
                  <w:color w:val="0000FF"/>
                </w:rPr>
                <w:t>Exhibits</w:t>
              </w:r>
            </w:hyperlink>
          </w:p>
        </w:tc>
        <w:tc>
          <w:tcPr>
            <w:tcW w:w="840" w:type="dxa"/>
            <w:vAlign w:val="bottom"/>
            <w:gridSpan w:val="4"/>
            <w:shd w:val="clear" w:color="auto" w:fill="CCEEFF"/>
          </w:tcPr>
          <w:p>
            <w:pPr>
              <w:jc w:val="center"/>
              <w:spacing w:after="0" w:line="196"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63</w:t>
              </w:r>
            </w:hyperlink>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7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9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8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spacing w:after="0" w:line="186" w:lineRule="exact"/>
              <w:rPr>
                <w:rFonts w:ascii="Arial" w:cs="Arial" w:eastAsia="Arial" w:hAnsi="Arial"/>
                <w:sz w:val="18"/>
                <w:szCs w:val="18"/>
                <w:color w:val="0000FF"/>
                <w:w w:val="85"/>
              </w:rPr>
            </w:pPr>
            <w:hyperlink w:anchor="page63">
              <w:r>
                <w:rPr>
                  <w:rFonts w:ascii="Arial" w:cs="Arial" w:eastAsia="Arial" w:hAnsi="Arial"/>
                  <w:sz w:val="18"/>
                  <w:szCs w:val="18"/>
                  <w:color w:val="0000FF"/>
                  <w:w w:val="85"/>
                </w:rPr>
                <w:t>Signatures</w:t>
              </w:r>
            </w:hyperlink>
          </w:p>
        </w:tc>
        <w:tc>
          <w:tcPr>
            <w:tcW w:w="1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60" w:type="dxa"/>
            <w:vAlign w:val="bottom"/>
            <w:tcBorders>
              <w:right w:val="single" w:sz="8" w:color="CCEEFF"/>
            </w:tcBorders>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4"/>
            <w:shd w:val="clear" w:color="auto" w:fill="CCEEFF"/>
          </w:tcPr>
          <w:p>
            <w:pPr>
              <w:jc w:val="center"/>
              <w:spacing w:after="0" w:line="186"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64</w:t>
              </w:r>
            </w:hyperlink>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8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0" w:type="dxa"/>
            <w:vAlign w:val="bottom"/>
            <w:tcBorders>
              <w:righ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4"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Our actual results may differ materially from those expressed in, or implied by, the forward-looking statements included in this Quarterly Report as a result of various factors, many of which are beyond our control, including, among others:</w:t>
      </w:r>
    </w:p>
    <w:p>
      <w:pPr>
        <w:spacing w:after="0" w:line="233" w:lineRule="exact"/>
        <w:rPr>
          <w:sz w:val="20"/>
          <w:szCs w:val="20"/>
          <w:color w:val="auto"/>
        </w:rPr>
      </w:pPr>
    </w:p>
    <w:p>
      <w:pPr>
        <w:ind w:left="800" w:hanging="475"/>
        <w:spacing w:after="0" w:line="266"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inherent uncertainty of estimating reserves and the possibility that incurred losses may be greater than our loss and loss adjustment expense reserves;</w:t>
      </w:r>
    </w:p>
    <w:p>
      <w:pPr>
        <w:spacing w:after="0" w:line="73" w:lineRule="exact"/>
        <w:rPr>
          <w:rFonts w:ascii="Arial" w:cs="Arial" w:eastAsia="Arial" w:hAnsi="Arial"/>
          <w:sz w:val="18"/>
          <w:szCs w:val="18"/>
          <w:color w:val="auto"/>
        </w:rPr>
      </w:pPr>
    </w:p>
    <w:p>
      <w:pPr>
        <w:ind w:left="800" w:hanging="47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inaccurate estimates and judgments in our risk management may expose us to greater risks than intended;</w:t>
      </w:r>
    </w:p>
    <w:p>
      <w:pPr>
        <w:spacing w:after="0" w:line="112" w:lineRule="exact"/>
        <w:rPr>
          <w:rFonts w:ascii="Arial" w:cs="Arial" w:eastAsia="Arial" w:hAnsi="Arial"/>
          <w:sz w:val="18"/>
          <w:szCs w:val="18"/>
          <w:color w:val="auto"/>
        </w:rPr>
      </w:pPr>
    </w:p>
    <w:p>
      <w:pPr>
        <w:ind w:left="800" w:hanging="475"/>
        <w:spacing w:after="0" w:line="329" w:lineRule="auto"/>
        <w:tabs>
          <w:tab w:leader="none" w:pos="79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downgrade in the financial strength rating of our regulated insurance subsidiaries announced May 7, 2021, or further downgrades, impacting our ability to attract and retain insurance and reinsurance business that our subsidiaries write, our competitive position, and our financial condition;</w:t>
      </w:r>
    </w:p>
    <w:p>
      <w:pPr>
        <w:spacing w:after="0" w:line="27" w:lineRule="exact"/>
        <w:rPr>
          <w:rFonts w:ascii="Arial" w:cs="Arial" w:eastAsia="Arial" w:hAnsi="Arial"/>
          <w:sz w:val="16"/>
          <w:szCs w:val="16"/>
          <w:color w:val="auto"/>
        </w:rPr>
      </w:pPr>
    </w:p>
    <w:p>
      <w:pPr>
        <w:ind w:left="800" w:hanging="47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members of our management team or key employees and our ability to attract and retain personnel;</w:t>
      </w:r>
    </w:p>
    <w:p>
      <w:pPr>
        <w:spacing w:after="0" w:line="112" w:lineRule="exact"/>
        <w:rPr>
          <w:rFonts w:ascii="Arial" w:cs="Arial" w:eastAsia="Arial" w:hAnsi="Arial"/>
          <w:sz w:val="18"/>
          <w:szCs w:val="18"/>
          <w:color w:val="auto"/>
        </w:rPr>
      </w:pPr>
    </w:p>
    <w:p>
      <w:pPr>
        <w:ind w:left="800" w:hanging="475"/>
        <w:spacing w:after="0"/>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adverse economic factors resulting in the sale of fewer policies than expected or an increase in the frequency or severity of claims, or both;</w:t>
      </w:r>
    </w:p>
    <w:p>
      <w:pPr>
        <w:spacing w:after="0" w:line="123" w:lineRule="exact"/>
        <w:rPr>
          <w:rFonts w:ascii="Arial" w:cs="Arial" w:eastAsia="Arial" w:hAnsi="Arial"/>
          <w:sz w:val="17"/>
          <w:szCs w:val="17"/>
          <w:color w:val="auto"/>
        </w:rPr>
      </w:pPr>
    </w:p>
    <w:p>
      <w:pPr>
        <w:ind w:left="800" w:right="280" w:hanging="475"/>
        <w:spacing w:after="0" w:line="266"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brokers and agents for a significant portion of our business and the impact of our potential failure to maintain such relationships;</w:t>
      </w:r>
    </w:p>
    <w:p>
      <w:pPr>
        <w:spacing w:after="0" w:line="73" w:lineRule="exact"/>
        <w:rPr>
          <w:rFonts w:ascii="Arial" w:cs="Arial" w:eastAsia="Arial" w:hAnsi="Arial"/>
          <w:sz w:val="18"/>
          <w:szCs w:val="18"/>
          <w:color w:val="auto"/>
        </w:rPr>
      </w:pPr>
    </w:p>
    <w:p>
      <w:pPr>
        <w:ind w:left="800" w:right="200" w:hanging="475"/>
        <w:spacing w:after="0" w:line="266"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select group of customers for a significant portion of our business and the impact of our potential failure to maintain, or decision to terminate, such relationships;</w:t>
      </w:r>
    </w:p>
    <w:p>
      <w:pPr>
        <w:spacing w:after="0" w:line="73" w:lineRule="exact"/>
        <w:rPr>
          <w:rFonts w:ascii="Arial" w:cs="Arial" w:eastAsia="Arial" w:hAnsi="Arial"/>
          <w:sz w:val="18"/>
          <w:szCs w:val="18"/>
          <w:color w:val="auto"/>
        </w:rPr>
      </w:pPr>
    </w:p>
    <w:p>
      <w:pPr>
        <w:ind w:left="800" w:right="660" w:hanging="475"/>
        <w:spacing w:after="0" w:line="266"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reinsurance coverage at prices and on terms that allow us to transfer risk and adequately protect our Company against financial loss;</w:t>
      </w:r>
    </w:p>
    <w:p>
      <w:pPr>
        <w:spacing w:after="0" w:line="73" w:lineRule="exact"/>
        <w:rPr>
          <w:rFonts w:ascii="Arial" w:cs="Arial" w:eastAsia="Arial" w:hAnsi="Arial"/>
          <w:sz w:val="18"/>
          <w:szCs w:val="18"/>
          <w:color w:val="auto"/>
        </w:rPr>
      </w:pPr>
    </w:p>
    <w:p>
      <w:pPr>
        <w:ind w:left="800" w:right="480" w:hanging="475"/>
        <w:spacing w:after="0" w:line="256"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resulting from reinsurance counterparties failing to pay us on reinsurance claims, insurance companies with whom we have a fronting arrangement failing to pay us for claims, or a former customer with whom we have an indemnification arrangement failing to perform their reimbursement obligations;</w:t>
      </w:r>
    </w:p>
    <w:p>
      <w:pPr>
        <w:spacing w:after="0" w:line="82" w:lineRule="exact"/>
        <w:rPr>
          <w:rFonts w:ascii="Arial" w:cs="Arial" w:eastAsia="Arial" w:hAnsi="Arial"/>
          <w:sz w:val="18"/>
          <w:szCs w:val="18"/>
          <w:color w:val="auto"/>
        </w:rPr>
      </w:pPr>
    </w:p>
    <w:p>
      <w:pPr>
        <w:ind w:left="800" w:hanging="47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inadequacy of premiums we charge to compensate us for our losses incurred;</w:t>
      </w:r>
    </w:p>
    <w:p>
      <w:pPr>
        <w:spacing w:after="0" w:line="112" w:lineRule="exact"/>
        <w:rPr>
          <w:rFonts w:ascii="Arial" w:cs="Arial" w:eastAsia="Arial" w:hAnsi="Arial"/>
          <w:sz w:val="18"/>
          <w:szCs w:val="18"/>
          <w:color w:val="auto"/>
        </w:rPr>
      </w:pPr>
    </w:p>
    <w:p>
      <w:pPr>
        <w:ind w:left="800" w:hanging="47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or government regulation, including tax or insurance law and regulations;</w:t>
      </w:r>
    </w:p>
    <w:p>
      <w:pPr>
        <w:spacing w:after="0" w:line="112" w:lineRule="exact"/>
        <w:rPr>
          <w:rFonts w:ascii="Arial" w:cs="Arial" w:eastAsia="Arial" w:hAnsi="Arial"/>
          <w:sz w:val="18"/>
          <w:szCs w:val="18"/>
          <w:color w:val="auto"/>
        </w:rPr>
      </w:pPr>
    </w:p>
    <w:p>
      <w:pPr>
        <w:ind w:left="800" w:right="320" w:hanging="475"/>
        <w:spacing w:after="0" w:line="266"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ongoing effect of Public Law No. 115-97, informally titled the Tax Cuts and Jobs Act, which may have a significant effect on us including, among other things, by potentially increasing our tax rate, as well as on our shareholders;</w:t>
      </w:r>
    </w:p>
    <w:p>
      <w:pPr>
        <w:spacing w:after="0" w:line="73" w:lineRule="exact"/>
        <w:rPr>
          <w:rFonts w:ascii="Arial" w:cs="Arial" w:eastAsia="Arial" w:hAnsi="Arial"/>
          <w:sz w:val="18"/>
          <w:szCs w:val="18"/>
          <w:color w:val="auto"/>
        </w:rPr>
      </w:pPr>
    </w:p>
    <w:p>
      <w:pPr>
        <w:ind w:left="800" w:right="260" w:hanging="475"/>
        <w:spacing w:after="0" w:line="329" w:lineRule="auto"/>
        <w:tabs>
          <w:tab w:leader="none" w:pos="795"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spacing w:after="0" w:line="27" w:lineRule="exact"/>
        <w:rPr>
          <w:rFonts w:ascii="Arial" w:cs="Arial" w:eastAsia="Arial" w:hAnsi="Arial"/>
          <w:sz w:val="16"/>
          <w:szCs w:val="16"/>
          <w:color w:val="auto"/>
        </w:rPr>
      </w:pPr>
    </w:p>
    <w:p>
      <w:pPr>
        <w:ind w:left="800" w:hanging="47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or any of its foreign subsidiaries becoming subject to U.S. federal income taxation;</w:t>
      </w:r>
    </w:p>
    <w:p>
      <w:pPr>
        <w:spacing w:after="0" w:line="112" w:lineRule="exact"/>
        <w:rPr>
          <w:rFonts w:ascii="Arial" w:cs="Arial" w:eastAsia="Arial" w:hAnsi="Arial"/>
          <w:sz w:val="18"/>
          <w:szCs w:val="18"/>
          <w:color w:val="auto"/>
        </w:rPr>
      </w:pPr>
    </w:p>
    <w:p>
      <w:pPr>
        <w:ind w:left="800" w:right="720" w:hanging="475"/>
        <w:spacing w:after="0" w:line="266"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failure of any of the loss limitations or exclusions we utilize to shield us from unanticipated financial losses or legal exposures, or other liabilities;</w:t>
      </w:r>
    </w:p>
    <w:p>
      <w:pPr>
        <w:spacing w:after="0" w:line="73" w:lineRule="exact"/>
        <w:rPr>
          <w:rFonts w:ascii="Arial" w:cs="Arial" w:eastAsia="Arial" w:hAnsi="Arial"/>
          <w:sz w:val="18"/>
          <w:szCs w:val="18"/>
          <w:color w:val="auto"/>
        </w:rPr>
      </w:pPr>
    </w:p>
    <w:p>
      <w:pPr>
        <w:ind w:left="800" w:right="140" w:hanging="475"/>
        <w:spacing w:after="0" w:line="266" w:lineRule="auto"/>
        <w:tabs>
          <w:tab w:leader="none" w:pos="7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73" w:lineRule="exact"/>
        <w:rPr>
          <w:rFonts w:ascii="Arial" w:cs="Arial" w:eastAsia="Arial" w:hAnsi="Arial"/>
          <w:sz w:val="18"/>
          <w:szCs w:val="18"/>
          <w:color w:val="auto"/>
        </w:rPr>
      </w:pPr>
    </w:p>
    <w:p>
      <w:pPr>
        <w:ind w:left="800" w:hanging="475"/>
        <w:spacing w:after="0"/>
        <w:tabs>
          <w:tab w:leader="none" w:pos="80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the effects of the COVID-19 pandemic and associated government actions on our operations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3" w:name="page4"/>
    <w:bookmarkEnd w:id="3"/>
    <w:p>
      <w:pPr>
        <w:ind w:left="800" w:hanging="47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effects on our business of emerging claim and coverage issues;</w:t>
      </w:r>
    </w:p>
    <w:p>
      <w:pPr>
        <w:spacing w:after="0" w:line="112" w:lineRule="exact"/>
        <w:rPr>
          <w:rFonts w:ascii="Arial" w:cs="Arial" w:eastAsia="Arial" w:hAnsi="Arial"/>
          <w:sz w:val="18"/>
          <w:szCs w:val="18"/>
          <w:color w:val="auto"/>
        </w:rPr>
      </w:pPr>
    </w:p>
    <w:p>
      <w:pPr>
        <w:ind w:left="800" w:hanging="47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exposure to credit risk, interest rate risk and other market risk in our investment portfolio;</w:t>
      </w:r>
    </w:p>
    <w:p>
      <w:pPr>
        <w:spacing w:after="0" w:line="112" w:lineRule="exact"/>
        <w:rPr>
          <w:rFonts w:ascii="Arial" w:cs="Arial" w:eastAsia="Arial" w:hAnsi="Arial"/>
          <w:sz w:val="18"/>
          <w:szCs w:val="18"/>
          <w:color w:val="auto"/>
        </w:rPr>
      </w:pPr>
    </w:p>
    <w:p>
      <w:pPr>
        <w:ind w:left="800" w:hanging="47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internal or external fraud, operational errors, systems malfunctions or cyber security incidents;</w:t>
      </w:r>
    </w:p>
    <w:p>
      <w:pPr>
        <w:spacing w:after="0" w:line="112" w:lineRule="exact"/>
        <w:rPr>
          <w:rFonts w:ascii="Arial" w:cs="Arial" w:eastAsia="Arial" w:hAnsi="Arial"/>
          <w:sz w:val="18"/>
          <w:szCs w:val="18"/>
          <w:color w:val="auto"/>
        </w:rPr>
      </w:pPr>
    </w:p>
    <w:p>
      <w:pPr>
        <w:ind w:left="800" w:hanging="47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growth effectively;</w:t>
      </w:r>
    </w:p>
    <w:p>
      <w:pPr>
        <w:spacing w:after="0" w:line="112" w:lineRule="exact"/>
        <w:rPr>
          <w:rFonts w:ascii="Arial" w:cs="Arial" w:eastAsia="Arial" w:hAnsi="Arial"/>
          <w:sz w:val="18"/>
          <w:szCs w:val="18"/>
          <w:color w:val="auto"/>
        </w:rPr>
      </w:pPr>
    </w:p>
    <w:p>
      <w:pPr>
        <w:ind w:left="800" w:hanging="47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maintain effective internal controls in accordance with Sarbanes-Oxley Act of 2002, as amended (“Sarbanes-Oxley”); and</w:t>
      </w:r>
    </w:p>
    <w:p>
      <w:pPr>
        <w:spacing w:after="0" w:line="112" w:lineRule="exact"/>
        <w:rPr>
          <w:rFonts w:ascii="Arial" w:cs="Arial" w:eastAsia="Arial" w:hAnsi="Arial"/>
          <w:sz w:val="18"/>
          <w:szCs w:val="18"/>
          <w:color w:val="auto"/>
        </w:rPr>
      </w:pPr>
    </w:p>
    <w:p>
      <w:pPr>
        <w:ind w:left="800" w:hanging="475"/>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financial condition, regulations or other factors that may restrict our subsidiaries’ ability to pay us dividends.</w:t>
      </w:r>
    </w:p>
    <w:p>
      <w:pPr>
        <w:spacing w:after="0" w:line="112"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Additional information about these risks and uncertainties, as well as others that may cause actual results to differ materially from those in the forward-looking statements, is contained in Part II, Item 1A "Risk Factors" in this Quarterly Report, and our filings with the U.S. Securities and Exchange Commission ("SEC"), including our Annual Report on Form 10-K for the year ended December 31, 2020 filed with the SEC on February 26, 2021.</w:t>
      </w:r>
    </w:p>
    <w:p>
      <w:pPr>
        <w:spacing w:after="0" w:line="48"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FINANCIAL INFORMATION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(Unaudited)</w:t>
            </w:r>
          </w:p>
        </w:tc>
        <w:tc>
          <w:tcPr>
            <w:tcW w:w="200" w:type="dxa"/>
            <w:vAlign w:val="bottom"/>
          </w:tcPr>
          <w:p>
            <w:pPr>
              <w:spacing w:after="0"/>
              <w:rPr>
                <w:sz w:val="14"/>
                <w:szCs w:val="14"/>
                <w:color w:val="auto"/>
              </w:rPr>
            </w:pPr>
          </w:p>
        </w:tc>
        <w:tc>
          <w:tcPr>
            <w:tcW w:w="118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3"/>
        </w:trPr>
        <w:tc>
          <w:tcPr>
            <w:tcW w:w="8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8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4"/>
          </w:tcPr>
          <w:p>
            <w:pPr>
              <w:jc w:val="right"/>
              <w:ind w:right="933"/>
              <w:spacing w:after="0"/>
              <w:rPr>
                <w:sz w:val="20"/>
                <w:szCs w:val="20"/>
                <w:color w:val="auto"/>
              </w:rPr>
            </w:pPr>
            <w:r>
              <w:rPr>
                <w:rFonts w:ascii="Arial" w:cs="Arial" w:eastAsia="Arial" w:hAnsi="Arial"/>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Invested assets:</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w w:val="92"/>
              </w:rPr>
              <w:t>Fixed maturity securities, available-for-sale, at fair value (amortized cost: 2021 – $1,673,281; 2020 – $1,690,890)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Equity securities, at fair value (cost: 2021 – $88,900; 2020 – $81,698)</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99,980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88,975</w:t>
            </w: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Bank loan participations, at fair value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147,604</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130,289</w:t>
            </w: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Other invested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46,548</w:t>
            </w:r>
          </w:p>
        </w:tc>
        <w:tc>
          <w:tcPr>
            <w:tcW w:w="0" w:type="dxa"/>
            <w:vAlign w:val="bottom"/>
          </w:tcPr>
          <w:p>
            <w:pPr>
              <w:spacing w:after="0"/>
              <w:rPr>
                <w:sz w:val="1"/>
                <w:szCs w:val="1"/>
                <w:color w:val="auto"/>
              </w:rPr>
            </w:pPr>
          </w:p>
        </w:tc>
      </w:tr>
      <w:tr>
        <w:trPr>
          <w:trHeight w:val="219"/>
        </w:trPr>
        <w:tc>
          <w:tcPr>
            <w:tcW w:w="8320" w:type="dxa"/>
            <w:vAlign w:val="bottom"/>
          </w:tcPr>
          <w:p>
            <w:pPr>
              <w:spacing w:after="0"/>
              <w:rPr>
                <w:sz w:val="20"/>
                <w:szCs w:val="20"/>
                <w:color w:val="auto"/>
              </w:rPr>
            </w:pPr>
            <w:r>
              <w:rPr>
                <w:rFonts w:ascii="Arial" w:cs="Arial" w:eastAsia="Arial" w:hAnsi="Arial"/>
                <w:sz w:val="18"/>
                <w:szCs w:val="18"/>
                <w:color w:val="auto"/>
              </w:rPr>
              <w:t>Total invested assets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2,061,382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2,197,058</w:t>
            </w:r>
          </w:p>
        </w:tc>
        <w:tc>
          <w:tcPr>
            <w:tcW w:w="0" w:type="dxa"/>
            <w:vAlign w:val="bottom"/>
          </w:tcPr>
          <w:p>
            <w:pPr>
              <w:spacing w:after="0"/>
              <w:rPr>
                <w:sz w:val="1"/>
                <w:szCs w:val="1"/>
                <w:color w:val="auto"/>
              </w:rPr>
            </w:pPr>
          </w:p>
        </w:tc>
      </w:tr>
      <w:tr>
        <w:trPr>
          <w:trHeight w:val="253"/>
        </w:trPr>
        <w:tc>
          <w:tcPr>
            <w:tcW w:w="8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220,551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162,260</w:t>
            </w: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859,920</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Accrued investment income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10,980</w:t>
            </w: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and agents’ balances, net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369,577</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Reinsurance recoverable on unpaid losses,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1,348,864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805,684</w:t>
            </w: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 on paid losses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46,118</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Prepaid reinsurance premiums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292,490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243,741</w:t>
            </w: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62,953</w:t>
            </w:r>
          </w:p>
        </w:tc>
        <w:tc>
          <w:tcPr>
            <w:tcW w:w="0" w:type="dxa"/>
            <w:vAlign w:val="bottom"/>
          </w:tcPr>
          <w:p>
            <w:pPr>
              <w:spacing w:after="0"/>
              <w:rPr>
                <w:sz w:val="1"/>
                <w:szCs w:val="1"/>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36,402</w:t>
            </w:r>
          </w:p>
        </w:tc>
        <w:tc>
          <w:tcPr>
            <w:tcW w:w="0" w:type="dxa"/>
            <w:vAlign w:val="bottom"/>
          </w:tcPr>
          <w:p>
            <w:pPr>
              <w:spacing w:after="0"/>
              <w:rPr>
                <w:sz w:val="1"/>
                <w:szCs w:val="1"/>
                <w:color w:val="auto"/>
              </w:rPr>
            </w:pP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86,548</w:t>
            </w:r>
          </w:p>
        </w:tc>
        <w:tc>
          <w:tcPr>
            <w:tcW w:w="0" w:type="dxa"/>
            <w:vAlign w:val="bottom"/>
          </w:tcPr>
          <w:p>
            <w:pPr>
              <w:spacing w:after="0"/>
              <w:rPr>
                <w:sz w:val="1"/>
                <w:szCs w:val="1"/>
                <w:color w:val="auto"/>
              </w:rPr>
            </w:pPr>
          </w:p>
        </w:tc>
      </w:tr>
      <w:tr>
        <w:trPr>
          <w:trHeight w:val="245"/>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4,784,099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5,063,072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4"/>
                <w:szCs w:val="14"/>
                <w:color w:val="auto"/>
              </w:rPr>
            </w:pPr>
          </w:p>
        </w:tc>
        <w:tc>
          <w:tcPr>
            <w:tcW w:w="114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33"/>
        </w:trPr>
        <w:tc>
          <w:tcPr>
            <w:tcW w:w="8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8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4"/>
          </w:tcPr>
          <w:p>
            <w:pPr>
              <w:jc w:val="right"/>
              <w:ind w:right="213"/>
              <w:spacing w:after="0"/>
              <w:rPr>
                <w:sz w:val="20"/>
                <w:szCs w:val="20"/>
                <w:color w:val="auto"/>
              </w:rPr>
            </w:pPr>
            <w:r>
              <w:rPr>
                <w:rFonts w:ascii="Arial" w:cs="Arial" w:eastAsia="Arial" w:hAnsi="Arial"/>
                <w:sz w:val="14"/>
                <w:szCs w:val="14"/>
                <w:b w:val="1"/>
                <w:bCs w:val="1"/>
                <w:i w:val="1"/>
                <w:iCs w:val="1"/>
                <w:color w:val="auto"/>
                <w:w w:val="91"/>
              </w:rPr>
              <w:t>(in thousands, except share amounts)</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 for losses and loss adjustment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2,596,829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2,192,080</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Unearned premiums</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702,246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630,371</w:t>
            </w:r>
          </w:p>
        </w:tc>
        <w:tc>
          <w:tcPr>
            <w:tcW w:w="0" w:type="dxa"/>
            <w:vAlign w:val="bottom"/>
          </w:tcPr>
          <w:p>
            <w:pPr>
              <w:spacing w:after="0"/>
              <w:rPr>
                <w:sz w:val="1"/>
                <w:szCs w:val="1"/>
                <w:color w:val="auto"/>
              </w:rPr>
            </w:pPr>
          </w:p>
        </w:tc>
      </w:tr>
      <w:tr>
        <w:trPr>
          <w:trHeight w:val="227"/>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Payables to reinsurers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110,431</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Funds held</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859,920</w:t>
            </w:r>
          </w:p>
        </w:tc>
        <w:tc>
          <w:tcPr>
            <w:tcW w:w="0" w:type="dxa"/>
            <w:vAlign w:val="bottom"/>
          </w:tcPr>
          <w:p>
            <w:pPr>
              <w:spacing w:after="0"/>
              <w:rPr>
                <w:sz w:val="1"/>
                <w:szCs w:val="1"/>
                <w:color w:val="auto"/>
              </w:rPr>
            </w:pPr>
          </w:p>
        </w:tc>
      </w:tr>
      <w:tr>
        <w:trPr>
          <w:trHeight w:val="227"/>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debt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262,300</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Junior subordinated debt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104,055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104,055</w:t>
            </w:r>
          </w:p>
        </w:tc>
        <w:tc>
          <w:tcPr>
            <w:tcW w:w="0" w:type="dxa"/>
            <w:vAlign w:val="bottom"/>
          </w:tcPr>
          <w:p>
            <w:pPr>
              <w:spacing w:after="0"/>
              <w:rPr>
                <w:sz w:val="1"/>
                <w:szCs w:val="1"/>
                <w:color w:val="auto"/>
              </w:rPr>
            </w:pPr>
          </w:p>
        </w:tc>
      </w:tr>
      <w:tr>
        <w:trPr>
          <w:trHeight w:val="227"/>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55,989</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108,046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52,318</w:t>
            </w:r>
          </w:p>
        </w:tc>
        <w:tc>
          <w:tcPr>
            <w:tcW w:w="0" w:type="dxa"/>
            <w:vAlign w:val="bottom"/>
          </w:tcPr>
          <w:p>
            <w:pPr>
              <w:spacing w:after="0"/>
              <w:rPr>
                <w:sz w:val="1"/>
                <w:szCs w:val="1"/>
                <w:color w:val="auto"/>
              </w:rPr>
            </w:pPr>
          </w:p>
        </w:tc>
      </w:tr>
      <w:tr>
        <w:trPr>
          <w:trHeight w:val="22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3,970,460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4,267,464</w:t>
            </w: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Commitments and contingent liabilities</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440" w:type="dxa"/>
            <w:vAlign w:val="bottom"/>
          </w:tcPr>
          <w:p>
            <w:pPr>
              <w:ind w:left="140"/>
              <w:spacing w:after="0" w:line="174" w:lineRule="exact"/>
              <w:rPr>
                <w:sz w:val="20"/>
                <w:szCs w:val="20"/>
                <w:color w:val="auto"/>
              </w:rPr>
            </w:pPr>
            <w:r>
              <w:rPr>
                <w:rFonts w:ascii="Arial" w:cs="Arial" w:eastAsia="Arial" w:hAnsi="Arial"/>
                <w:sz w:val="18"/>
                <w:szCs w:val="18"/>
                <w:color w:val="auto"/>
                <w:w w:val="90"/>
              </w:rPr>
              <w:t>Common Shares – 2021 and 2020: $0.0002 par value; 200,000,000 shares authorized; 37,287,244 and 30,649,261</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844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w w:val="95"/>
              </w:rPr>
              <w:t>Preferred Shares – 2021 and 2020: $0.00125 par value; 20,000,000 shares authorized; no shares issued and</w:t>
            </w:r>
          </w:p>
        </w:tc>
        <w:tc>
          <w:tcPr>
            <w:tcW w:w="18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18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859,634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664,476</w:t>
            </w:r>
          </w:p>
        </w:tc>
        <w:tc>
          <w:tcPr>
            <w:tcW w:w="0" w:type="dxa"/>
            <w:vAlign w:val="bottom"/>
          </w:tcPr>
          <w:p>
            <w:pPr>
              <w:spacing w:after="0"/>
              <w:rPr>
                <w:sz w:val="1"/>
                <w:szCs w:val="1"/>
                <w:color w:val="auto"/>
              </w:rPr>
            </w:pPr>
          </w:p>
        </w:tc>
      </w:tr>
      <w:tr>
        <w:trPr>
          <w:trHeight w:val="227"/>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(deficit) earnings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49,227</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81,899</w:t>
            </w:r>
          </w:p>
        </w:tc>
        <w:tc>
          <w:tcPr>
            <w:tcW w:w="0" w:type="dxa"/>
            <w:vAlign w:val="bottom"/>
          </w:tcPr>
          <w:p>
            <w:pPr>
              <w:spacing w:after="0"/>
              <w:rPr>
                <w:sz w:val="1"/>
                <w:szCs w:val="1"/>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813,639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795,608</w:t>
            </w:r>
          </w:p>
        </w:tc>
        <w:tc>
          <w:tcPr>
            <w:tcW w:w="0" w:type="dxa"/>
            <w:vAlign w:val="bottom"/>
          </w:tcPr>
          <w:p>
            <w:pPr>
              <w:spacing w:after="0"/>
              <w:rPr>
                <w:sz w:val="1"/>
                <w:szCs w:val="1"/>
                <w:color w:val="auto"/>
              </w:rPr>
            </w:pPr>
          </w:p>
        </w:tc>
      </w:tr>
      <w:tr>
        <w:trPr>
          <w:trHeight w:val="220"/>
        </w:trPr>
        <w:tc>
          <w:tcPr>
            <w:tcW w:w="8440" w:type="dxa"/>
            <w:vAlign w:val="bottom"/>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4,784,099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5,063,072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(Loss) Income and Comprehensive (Loss) Income (Unaudited)</w:t>
      </w:r>
    </w:p>
    <w:p>
      <w:pPr>
        <w:spacing w:after="0" w:line="200" w:lineRule="exact"/>
        <w:rPr>
          <w:sz w:val="20"/>
          <w:szCs w:val="20"/>
          <w:color w:val="auto"/>
        </w:rPr>
      </w:pP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4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56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5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5"/>
          </w:tcPr>
          <w:p>
            <w:pPr>
              <w:ind w:left="10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spacing w:after="0"/>
              <w:rPr>
                <w:sz w:val="20"/>
                <w:szCs w:val="20"/>
                <w:color w:val="auto"/>
              </w:rPr>
            </w:pPr>
            <w:r>
              <w:rPr>
                <w:rFonts w:ascii="Arial" w:cs="Arial" w:eastAsia="Arial" w:hAnsi="Arial"/>
                <w:sz w:val="18"/>
                <w:szCs w:val="18"/>
                <w:color w:val="auto"/>
              </w:rPr>
              <w:t>Gross written premiums</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346,599</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311,852</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897,332</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Ceded written premiums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(166,693)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(573,587)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(451,762)</w:t>
            </w:r>
          </w:p>
        </w:tc>
        <w:tc>
          <w:tcPr>
            <w:tcW w:w="0" w:type="dxa"/>
            <w:vAlign w:val="bottom"/>
          </w:tcPr>
          <w:p>
            <w:pPr>
              <w:spacing w:after="0"/>
              <w:rPr>
                <w:sz w:val="1"/>
                <w:szCs w:val="1"/>
                <w:color w:val="auto"/>
              </w:rPr>
            </w:pPr>
          </w:p>
        </w:tc>
      </w:tr>
      <w:tr>
        <w:trPr>
          <w:trHeight w:val="219"/>
        </w:trPr>
        <w:tc>
          <w:tcPr>
            <w:tcW w:w="5560" w:type="dxa"/>
            <w:vAlign w:val="bottom"/>
          </w:tcPr>
          <w:p>
            <w:pPr>
              <w:spacing w:after="0"/>
              <w:rPr>
                <w:sz w:val="20"/>
                <w:szCs w:val="20"/>
                <w:color w:val="auto"/>
              </w:rPr>
            </w:pPr>
            <w:r>
              <w:rPr>
                <w:rFonts w:ascii="Arial" w:cs="Arial" w:eastAsia="Arial" w:hAnsi="Arial"/>
                <w:sz w:val="18"/>
                <w:szCs w:val="18"/>
                <w:color w:val="auto"/>
              </w:rPr>
              <w:t>Net written premiums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158,210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145,159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526,413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445,570</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Change in net unearned premiums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19"/>
        </w:trPr>
        <w:tc>
          <w:tcPr>
            <w:tcW w:w="5560" w:type="dxa"/>
            <w:vAlign w:val="bottom"/>
          </w:tcPr>
          <w:p>
            <w:pPr>
              <w:spacing w:after="0"/>
              <w:rPr>
                <w:sz w:val="20"/>
                <w:szCs w:val="20"/>
                <w:color w:val="auto"/>
              </w:rPr>
            </w:pPr>
            <w:r>
              <w:rPr>
                <w:rFonts w:ascii="Arial" w:cs="Arial" w:eastAsia="Arial" w:hAnsi="Arial"/>
                <w:sz w:val="18"/>
                <w:szCs w:val="18"/>
                <w:color w:val="auto"/>
              </w:rPr>
              <w:t>Net earned premiums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170,608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152,962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503,906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447,695</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51,145</w:t>
            </w:r>
          </w:p>
        </w:tc>
        <w:tc>
          <w:tcPr>
            <w:tcW w:w="0" w:type="dxa"/>
            <w:vAlign w:val="bottom"/>
          </w:tcPr>
          <w:p>
            <w:pPr>
              <w:spacing w:after="0"/>
              <w:rPr>
                <w:sz w:val="1"/>
                <w:szCs w:val="1"/>
                <w:color w:val="auto"/>
              </w:rPr>
            </w:pPr>
          </w:p>
        </w:tc>
      </w:tr>
      <w:tr>
        <w:trPr>
          <w:trHeight w:val="225"/>
        </w:trPr>
        <w:tc>
          <w:tcPr>
            <w:tcW w:w="5560" w:type="dxa"/>
            <w:vAlign w:val="bottom"/>
          </w:tcPr>
          <w:p>
            <w:pPr>
              <w:spacing w:after="0"/>
              <w:rPr>
                <w:sz w:val="20"/>
                <w:szCs w:val="20"/>
                <w:color w:val="auto"/>
              </w:rPr>
            </w:pPr>
            <w:r>
              <w:rPr>
                <w:rFonts w:ascii="Arial" w:cs="Arial" w:eastAsia="Arial" w:hAnsi="Arial"/>
                <w:sz w:val="18"/>
                <w:szCs w:val="18"/>
                <w:color w:val="auto"/>
              </w:rPr>
              <w:t>Net realized and unrealized gains (losses) on investments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(27,885)</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19"/>
        </w:trPr>
        <w:tc>
          <w:tcPr>
            <w:tcW w:w="5560" w:type="dxa"/>
            <w:vAlign w:val="bottom"/>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190,993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177,465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565,540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474,498</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spacing w:after="0"/>
              <w:rPr>
                <w:sz w:val="20"/>
                <w:szCs w:val="20"/>
                <w:color w:val="auto"/>
              </w:rPr>
            </w:pPr>
            <w:r>
              <w:rPr>
                <w:rFonts w:ascii="Arial" w:cs="Arial" w:eastAsia="Arial" w:hAnsi="Arial"/>
                <w:sz w:val="18"/>
                <w:szCs w:val="18"/>
                <w:color w:val="auto"/>
              </w:rPr>
              <w:t>Losses and loss adjustment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166,078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106,155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549,578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301,757</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133,242</w:t>
            </w:r>
          </w:p>
        </w:tc>
        <w:tc>
          <w:tcPr>
            <w:tcW w:w="0" w:type="dxa"/>
            <w:vAlign w:val="bottom"/>
          </w:tcPr>
          <w:p>
            <w:pPr>
              <w:spacing w:after="0"/>
              <w:rPr>
                <w:sz w:val="1"/>
                <w:szCs w:val="1"/>
                <w:color w:val="auto"/>
              </w:rPr>
            </w:pPr>
          </w:p>
        </w:tc>
      </w:tr>
      <w:tr>
        <w:trPr>
          <w:trHeight w:val="225"/>
        </w:trPr>
        <w:tc>
          <w:tcPr>
            <w:tcW w:w="5560" w:type="dxa"/>
            <w:vAlign w:val="bottom"/>
          </w:tcPr>
          <w:p>
            <w:pPr>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212,294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146,717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695,187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445,208</w:t>
            </w:r>
          </w:p>
        </w:tc>
        <w:tc>
          <w:tcPr>
            <w:tcW w:w="0" w:type="dxa"/>
            <w:vAlign w:val="bottom"/>
          </w:tcPr>
          <w:p>
            <w:pPr>
              <w:spacing w:after="0"/>
              <w:rPr>
                <w:sz w:val="1"/>
                <w:szCs w:val="1"/>
                <w:color w:val="auto"/>
              </w:rPr>
            </w:pPr>
          </w:p>
        </w:tc>
      </w:tr>
      <w:tr>
        <w:trPr>
          <w:trHeight w:val="219"/>
        </w:trPr>
        <w:tc>
          <w:tcPr>
            <w:tcW w:w="556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30,748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(129,647)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19"/>
        </w:trPr>
        <w:tc>
          <w:tcPr>
            <w:tcW w:w="556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(106,506)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25,082</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560" w:type="dxa"/>
            <w:vAlign w:val="bottom"/>
          </w:tcPr>
          <w:p>
            <w:pPr>
              <w:spacing w:after="0" w:line="174" w:lineRule="exact"/>
              <w:rPr>
                <w:sz w:val="20"/>
                <w:szCs w:val="20"/>
                <w:color w:val="auto"/>
              </w:rPr>
            </w:pPr>
            <w:r>
              <w:rPr>
                <w:rFonts w:ascii="Arial" w:cs="Arial" w:eastAsia="Arial" w:hAnsi="Arial"/>
                <w:sz w:val="18"/>
                <w:szCs w:val="18"/>
                <w:color w:val="auto"/>
                <w:w w:val="92"/>
              </w:rPr>
              <w:t>Net unrealized (losses) gains, net of taxes of $(1,882) and $(5,517) in 2021</w:t>
            </w:r>
          </w:p>
        </w:tc>
        <w:tc>
          <w:tcPr>
            <w:tcW w:w="2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(11,459)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5,039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(38,789)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47,433</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and $849 and $6,384 in 2020</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income</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(145,295)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 share data: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(loss) earnings per share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25"/>
        </w:trPr>
        <w:tc>
          <w:tcPr>
            <w:tcW w:w="5560" w:type="dxa"/>
            <w:vAlign w:val="bottom"/>
          </w:tcPr>
          <w:p>
            <w:pPr>
              <w:ind w:left="120"/>
              <w:spacing w:after="0"/>
              <w:rPr>
                <w:sz w:val="20"/>
                <w:szCs w:val="20"/>
                <w:color w:val="auto"/>
              </w:rPr>
            </w:pPr>
            <w:r>
              <w:rPr>
                <w:rFonts w:ascii="Arial" w:cs="Arial" w:eastAsia="Arial" w:hAnsi="Arial"/>
                <w:sz w:val="18"/>
                <w:szCs w:val="18"/>
                <w:color w:val="auto"/>
              </w:rPr>
              <w:t>Diluted (loss) earnings per share</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declared per share</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25"/>
        </w:trPr>
        <w:tc>
          <w:tcPr>
            <w:tcW w:w="556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37,278,469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30,582,540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34,161,022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30,529,557</w:t>
            </w:r>
          </w:p>
        </w:tc>
        <w:tc>
          <w:tcPr>
            <w:tcW w:w="0" w:type="dxa"/>
            <w:vAlign w:val="bottom"/>
          </w:tcPr>
          <w:p>
            <w:pPr>
              <w:spacing w:after="0"/>
              <w:rPr>
                <w:sz w:val="1"/>
                <w:szCs w:val="1"/>
                <w:color w:val="auto"/>
              </w:rPr>
            </w:pPr>
          </w:p>
        </w:tc>
      </w:tr>
      <w:tr>
        <w:trPr>
          <w:trHeight w:val="225"/>
        </w:trPr>
        <w:tc>
          <w:tcPr>
            <w:tcW w:w="5560" w:type="dxa"/>
            <w:vAlign w:val="bottom"/>
          </w:tcPr>
          <w:p>
            <w:pPr>
              <w:ind w:left="12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37,278,469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30,946,843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34,161,022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30,838,595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8"/>
              </w:rPr>
              <w:t>Retained</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2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2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1"/>
                <w:szCs w:val="11"/>
                <w:color w:val="auto"/>
              </w:rPr>
            </w:pPr>
          </w:p>
        </w:tc>
        <w:tc>
          <w:tcPr>
            <w:tcW w:w="94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tcPr>
          <w:p>
            <w:pPr>
              <w:spacing w:after="0"/>
              <w:rPr>
                <w:sz w:val="11"/>
                <w:szCs w:val="11"/>
                <w:color w:val="auto"/>
              </w:rPr>
            </w:pPr>
          </w:p>
        </w:tc>
        <w:tc>
          <w:tcPr>
            <w:tcW w:w="8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10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Shares (Par)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8"/>
          </w:tcPr>
          <w:p>
            <w:pPr>
              <w:ind w:left="44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37,275,562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858,499</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(23,889)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(23,889)</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33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0"/>
              </w:rPr>
              <w:t>Compensation expense under share incentive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25"/>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2021</w:t>
            </w:r>
          </w:p>
        </w:tc>
        <w:tc>
          <w:tcPr>
            <w:tcW w:w="1180" w:type="dxa"/>
            <w:vAlign w:val="bottom"/>
          </w:tcPr>
          <w:p>
            <w:pPr>
              <w:jc w:val="right"/>
              <w:spacing w:after="0"/>
              <w:rPr>
                <w:sz w:val="20"/>
                <w:szCs w:val="20"/>
                <w:color w:val="auto"/>
              </w:rPr>
            </w:pPr>
            <w:r>
              <w:rPr>
                <w:rFonts w:ascii="Arial" w:cs="Arial" w:eastAsia="Arial" w:hAnsi="Arial"/>
                <w:sz w:val="18"/>
                <w:szCs w:val="18"/>
                <w:color w:val="auto"/>
              </w:rPr>
              <w:t>37,287,244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859,634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(89,112)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43,110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813,639</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2020</w:t>
            </w:r>
          </w:p>
        </w:tc>
        <w:tc>
          <w:tcPr>
            <w:tcW w:w="1180" w:type="dxa"/>
            <w:vAlign w:val="bottom"/>
          </w:tcPr>
          <w:p>
            <w:pPr>
              <w:jc w:val="right"/>
              <w:spacing w:after="0"/>
              <w:rPr>
                <w:sz w:val="20"/>
                <w:szCs w:val="20"/>
                <w:color w:val="auto"/>
              </w:rPr>
            </w:pPr>
            <w:r>
              <w:rPr>
                <w:rFonts w:ascii="Arial" w:cs="Arial" w:eastAsia="Arial" w:hAnsi="Arial"/>
                <w:sz w:val="18"/>
                <w:szCs w:val="18"/>
                <w:color w:val="auto"/>
              </w:rPr>
              <w:t>30,649,261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664,476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49,227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81,899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795,608</w:t>
            </w:r>
          </w:p>
        </w:tc>
        <w:tc>
          <w:tcPr>
            <w:tcW w:w="0" w:type="dxa"/>
            <w:vAlign w:val="bottom"/>
          </w:tcPr>
          <w:p>
            <w:pPr>
              <w:spacing w:after="0"/>
              <w:rPr>
                <w:sz w:val="1"/>
                <w:szCs w:val="1"/>
                <w:color w:val="auto"/>
              </w:rPr>
            </w:pPr>
          </w:p>
        </w:tc>
      </w:tr>
      <w:tr>
        <w:trPr>
          <w:trHeight w:val="22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(106,506)</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(38,789)</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(31,833)</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Issuance of common shares</w:t>
            </w:r>
          </w:p>
        </w:tc>
        <w:tc>
          <w:tcPr>
            <w:tcW w:w="1180" w:type="dxa"/>
            <w:vAlign w:val="bottom"/>
          </w:tcPr>
          <w:p>
            <w:pPr>
              <w:jc w:val="right"/>
              <w:spacing w:after="0"/>
              <w:rPr>
                <w:sz w:val="20"/>
                <w:szCs w:val="20"/>
                <w:color w:val="auto"/>
              </w:rPr>
            </w:pPr>
            <w:r>
              <w:rPr>
                <w:rFonts w:ascii="Arial" w:cs="Arial" w:eastAsia="Arial" w:hAnsi="Arial"/>
                <w:sz w:val="18"/>
                <w:szCs w:val="18"/>
                <w:color w:val="auto"/>
              </w:rPr>
              <w:t>6,497,500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192,107</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180" w:type="dxa"/>
            <w:vAlign w:val="bottom"/>
          </w:tcPr>
          <w:p>
            <w:pPr>
              <w:jc w:val="right"/>
              <w:spacing w:after="0"/>
              <w:rPr>
                <w:sz w:val="20"/>
                <w:szCs w:val="20"/>
                <w:color w:val="auto"/>
              </w:rPr>
            </w:pPr>
            <w:r>
              <w:rPr>
                <w:rFonts w:ascii="Arial" w:cs="Arial" w:eastAsia="Arial" w:hAnsi="Arial"/>
                <w:sz w:val="18"/>
                <w:szCs w:val="18"/>
                <w:color w:val="auto"/>
              </w:rPr>
              <w:t>112,504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174"/>
        </w:trPr>
        <w:tc>
          <w:tcPr>
            <w:tcW w:w="33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0"/>
              </w:rPr>
              <w:t>Compensation expense under share incentive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25"/>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2021</w:t>
            </w:r>
          </w:p>
        </w:tc>
        <w:tc>
          <w:tcPr>
            <w:tcW w:w="1180" w:type="dxa"/>
            <w:vAlign w:val="bottom"/>
          </w:tcPr>
          <w:p>
            <w:pPr>
              <w:jc w:val="right"/>
              <w:spacing w:after="0"/>
              <w:rPr>
                <w:sz w:val="20"/>
                <w:szCs w:val="20"/>
                <w:color w:val="auto"/>
              </w:rPr>
            </w:pPr>
            <w:r>
              <w:rPr>
                <w:rFonts w:ascii="Arial" w:cs="Arial" w:eastAsia="Arial" w:hAnsi="Arial"/>
                <w:sz w:val="18"/>
                <w:szCs w:val="18"/>
                <w:color w:val="auto"/>
              </w:rPr>
              <w:t>37,287,244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859,634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(89,112)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43,110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813,639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Shareholders’ Equity (Unaudited)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28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28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1"/>
                <w:szCs w:val="11"/>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3360" w:type="dxa"/>
            <w:vAlign w:val="bottom"/>
          </w:tcPr>
          <w:p>
            <w:pPr>
              <w:spacing w:after="0"/>
              <w:rPr>
                <w:sz w:val="16"/>
                <w:szCs w:val="16"/>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10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Shares (Par)</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Income</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8"/>
          </w:tcPr>
          <w:p>
            <w:pPr>
              <w:ind w:left="440"/>
              <w:spacing w:after="0"/>
              <w:rPr>
                <w:sz w:val="20"/>
                <w:szCs w:val="20"/>
                <w:color w:val="auto"/>
              </w:rPr>
            </w:pPr>
            <w:r>
              <w:rPr>
                <w:rFonts w:ascii="Arial" w:cs="Arial" w:eastAsia="Arial" w:hAnsi="Arial"/>
                <w:sz w:val="14"/>
                <w:szCs w:val="14"/>
                <w:b w:val="1"/>
                <w:bCs w:val="1"/>
                <w:i w:val="1"/>
                <w:iCs w:val="1"/>
                <w:color w:val="auto"/>
              </w:rPr>
              <w:t>(in thousands, except share amounts)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June 30, 2020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30,553,178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795,711</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26,283</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Dividends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Vesting of RSUs</w:t>
            </w:r>
          </w:p>
        </w:tc>
        <w:tc>
          <w:tcPr>
            <w:tcW w:w="1180" w:type="dxa"/>
            <w:vAlign w:val="bottom"/>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74"/>
        </w:trPr>
        <w:tc>
          <w:tcPr>
            <w:tcW w:w="33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0"/>
              </w:rPr>
              <w:t>Compensation expense under share incentive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25"/>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Balances at September 30, 2020</w:t>
            </w:r>
          </w:p>
        </w:tc>
        <w:tc>
          <w:tcPr>
            <w:tcW w:w="1180" w:type="dxa"/>
            <w:vAlign w:val="bottom"/>
          </w:tcPr>
          <w:p>
            <w:pPr>
              <w:jc w:val="right"/>
              <w:spacing w:after="0"/>
              <w:rPr>
                <w:sz w:val="20"/>
                <w:szCs w:val="20"/>
                <w:color w:val="auto"/>
              </w:rPr>
            </w:pPr>
            <w:r>
              <w:rPr>
                <w:rFonts w:ascii="Arial" w:cs="Arial" w:eastAsia="Arial" w:hAnsi="Arial"/>
                <w:sz w:val="18"/>
                <w:szCs w:val="18"/>
                <w:color w:val="auto"/>
              </w:rPr>
              <w:t>30,610,153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664,092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78,761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78,547</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821,406</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Balances at December 31, 2019</w:t>
            </w:r>
          </w:p>
        </w:tc>
        <w:tc>
          <w:tcPr>
            <w:tcW w:w="1180" w:type="dxa"/>
            <w:vAlign w:val="bottom"/>
          </w:tcPr>
          <w:p>
            <w:pPr>
              <w:jc w:val="right"/>
              <w:spacing w:after="0"/>
              <w:rPr>
                <w:sz w:val="20"/>
                <w:szCs w:val="20"/>
                <w:color w:val="auto"/>
              </w:rPr>
            </w:pPr>
            <w:r>
              <w:rPr>
                <w:rFonts w:ascii="Arial" w:cs="Arial" w:eastAsia="Arial" w:hAnsi="Arial"/>
                <w:sz w:val="18"/>
                <w:szCs w:val="18"/>
                <w:color w:val="auto"/>
              </w:rPr>
              <w:t>30,424,391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657,875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89,586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31,114</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778,581</w:t>
            </w:r>
          </w:p>
        </w:tc>
        <w:tc>
          <w:tcPr>
            <w:tcW w:w="0" w:type="dxa"/>
            <w:vAlign w:val="bottom"/>
          </w:tcPr>
          <w:p>
            <w:pPr>
              <w:spacing w:after="0"/>
              <w:rPr>
                <w:sz w:val="1"/>
                <w:szCs w:val="1"/>
                <w:color w:val="auto"/>
              </w:rPr>
            </w:pPr>
          </w:p>
        </w:tc>
      </w:tr>
      <w:tr>
        <w:trPr>
          <w:trHeight w:val="22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25,082</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47,433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47,433</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(27,815)</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8"/>
                <w:szCs w:val="18"/>
                <w:color w:val="auto"/>
              </w:rPr>
              <w:t>79,615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Vesting of RSUs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174"/>
        </w:trPr>
        <w:tc>
          <w:tcPr>
            <w:tcW w:w="3360" w:type="dxa"/>
            <w:vAlign w:val="bottom"/>
          </w:tcPr>
          <w:p>
            <w:pPr>
              <w:ind w:left="20"/>
              <w:spacing w:after="0" w:line="174" w:lineRule="exact"/>
              <w:rPr>
                <w:sz w:val="20"/>
                <w:szCs w:val="20"/>
                <w:color w:val="auto"/>
              </w:rPr>
            </w:pPr>
            <w:r>
              <w:rPr>
                <w:rFonts w:ascii="Arial" w:cs="Arial" w:eastAsia="Arial" w:hAnsi="Arial"/>
                <w:sz w:val="18"/>
                <w:szCs w:val="18"/>
                <w:color w:val="auto"/>
                <w:w w:val="90"/>
              </w:rPr>
              <w:t>Compensation expense under share incentive</w:t>
            </w: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60" w:type="dxa"/>
            <w:vAlign w:val="bottom"/>
            <w:gridSpan w:val="2"/>
            <w:vMerge w:val="restart"/>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8"/>
                <w:szCs w:val="18"/>
                <w:color w:val="auto"/>
              </w:rPr>
              <w:t>plans</w:t>
            </w:r>
          </w:p>
        </w:tc>
        <w:tc>
          <w:tcPr>
            <w:tcW w:w="1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Cumulative effect of fair value option election</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174"/>
        </w:trPr>
        <w:tc>
          <w:tcPr>
            <w:tcW w:w="3360" w:type="dxa"/>
            <w:vAlign w:val="bottom"/>
          </w:tcPr>
          <w:p>
            <w:pPr>
              <w:ind w:left="20"/>
              <w:spacing w:after="0" w:line="174" w:lineRule="exact"/>
              <w:rPr>
                <w:sz w:val="20"/>
                <w:szCs w:val="20"/>
                <w:color w:val="auto"/>
              </w:rPr>
            </w:pPr>
            <w:r>
              <w:rPr>
                <w:rFonts w:ascii="Arial" w:cs="Arial" w:eastAsia="Arial" w:hAnsi="Arial"/>
                <w:sz w:val="18"/>
                <w:szCs w:val="18"/>
                <w:color w:val="auto"/>
              </w:rPr>
              <w:t>Cumulative effect of adoption of ASU No.</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5"/>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2016-13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at September 30, 2020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30,610,153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664,092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78,761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821,406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HOLDINGS, LTD.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4"/>
        </w:trPr>
        <w:tc>
          <w:tcPr>
            <w:tcW w:w="8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177"/>
        </w:trPr>
        <w:tc>
          <w:tcPr>
            <w:tcW w:w="8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3"/>
          </w:tcPr>
          <w:p>
            <w:pPr>
              <w:jc w:val="right"/>
              <w:ind w:right="11"/>
              <w:spacing w:after="0"/>
              <w:rPr>
                <w:sz w:val="20"/>
                <w:szCs w:val="20"/>
                <w:color w:val="auto"/>
              </w:rPr>
            </w:pPr>
            <w:r>
              <w:rPr>
                <w:rFonts w:ascii="Arial" w:cs="Arial" w:eastAsia="Arial" w:hAnsi="Arial"/>
                <w:sz w:val="14"/>
                <w:szCs w:val="14"/>
                <w:b w:val="1"/>
                <w:bCs w:val="1"/>
                <w:i w:val="1"/>
                <w:iCs w:val="1"/>
                <w:color w:val="auto"/>
              </w:rPr>
              <w:t>(in thousands)</w:t>
            </w:r>
          </w:p>
        </w:tc>
        <w:tc>
          <w:tcPr>
            <w:tcW w:w="920" w:type="dxa"/>
            <w:vAlign w:val="bottom"/>
          </w:tcPr>
          <w:p>
            <w:pPr>
              <w:spacing w:after="0"/>
              <w:rPr>
                <w:sz w:val="15"/>
                <w:szCs w:val="15"/>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Net cash used in operating activities (a)</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(1,061,314)</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(222,060)</w:t>
            </w: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Securities available-for-sale:</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fixed maturity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(509,764)</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Sales – fixed maturity securities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118,260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17,465</w:t>
            </w:r>
          </w:p>
        </w:tc>
      </w:tr>
      <w:tr>
        <w:trPr>
          <w:trHeight w:val="227"/>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and calls – fixed maturity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163,974</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Purchases – equity securities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(10,057)</w:t>
            </w:r>
          </w:p>
        </w:tc>
      </w:tr>
      <w:tr>
        <w:trPr>
          <w:trHeight w:val="227"/>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 equity securities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Bank loan participations: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(36,168)</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48,854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113,432</w:t>
            </w:r>
          </w:p>
        </w:tc>
      </w:tr>
      <w:tr>
        <w:trPr>
          <w:trHeight w:val="227"/>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22,786</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Other invested assets: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r>
      <w:tr>
        <w:trPr>
          <w:trHeight w:val="225"/>
        </w:trPr>
        <w:tc>
          <w:tcPr>
            <w:tcW w:w="8320" w:type="dxa"/>
            <w:vAlign w:val="bottom"/>
          </w:tcPr>
          <w:p>
            <w:pPr>
              <w:ind w:left="160"/>
              <w:spacing w:after="0"/>
              <w:rPr>
                <w:sz w:val="20"/>
                <w:szCs w:val="20"/>
                <w:color w:val="auto"/>
              </w:rPr>
            </w:pPr>
            <w:r>
              <w:rPr>
                <w:rFonts w:ascii="Arial" w:cs="Arial" w:eastAsia="Arial" w:hAnsi="Arial"/>
                <w:sz w:val="18"/>
                <w:szCs w:val="18"/>
                <w:color w:val="auto"/>
              </w:rPr>
              <w:t>Return of capital</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7"/>
        </w:trPr>
        <w:tc>
          <w:tcPr>
            <w:tcW w:w="8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16,292</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Short-term investments, net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103,347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84,939</w:t>
            </w: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Securities receivable or payable,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2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(135,331)</w:t>
            </w:r>
          </w:p>
        </w:tc>
      </w:tr>
      <w:tr>
        <w:trPr>
          <w:trHeight w:val="226"/>
        </w:trPr>
        <w:tc>
          <w:tcPr>
            <w:tcW w:w="83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Senior debt issuances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Senior debt repayments</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(27,838)</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Issuance of common shares - public offering (Note 12)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192,107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under equity incentive plans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r>
      <w:tr>
        <w:trPr>
          <w:trHeight w:val="225"/>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share repurchases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w:t>
            </w:r>
          </w:p>
        </w:tc>
      </w:tr>
      <w:tr>
        <w:trPr>
          <w:trHeight w:val="220"/>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157,926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31,505</w:t>
            </w:r>
          </w:p>
        </w:tc>
      </w:tr>
      <w:tr>
        <w:trPr>
          <w:trHeight w:val="219"/>
        </w:trPr>
        <w:tc>
          <w:tcPr>
            <w:tcW w:w="8320" w:type="dxa"/>
            <w:vAlign w:val="bottom"/>
          </w:tcPr>
          <w:p>
            <w:pPr>
              <w:spacing w:after="0"/>
              <w:rPr>
                <w:sz w:val="20"/>
                <w:szCs w:val="20"/>
                <w:color w:val="auto"/>
              </w:rPr>
            </w:pPr>
            <w:r>
              <w:rPr>
                <w:rFonts w:ascii="Arial" w:cs="Arial" w:eastAsia="Arial" w:hAnsi="Arial"/>
                <w:sz w:val="18"/>
                <w:szCs w:val="18"/>
                <w:color w:val="auto"/>
              </w:rPr>
              <w:t>Change in cash, cash equivalents, and restricted cash equivalents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(791,629)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(325,886)</w:t>
            </w:r>
          </w:p>
        </w:tc>
      </w:tr>
      <w:tr>
        <w:trPr>
          <w:trHeight w:val="22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equivalents at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1,022,180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1,406,076</w:t>
            </w:r>
          </w:p>
        </w:tc>
      </w:tr>
      <w:tr>
        <w:trPr>
          <w:trHeight w:val="220"/>
        </w:trPr>
        <w:tc>
          <w:tcPr>
            <w:tcW w:w="8320" w:type="dxa"/>
            <w:vAlign w:val="bottom"/>
          </w:tcPr>
          <w:p>
            <w:pPr>
              <w:spacing w:after="0"/>
              <w:rPr>
                <w:sz w:val="20"/>
                <w:szCs w:val="20"/>
                <w:color w:val="auto"/>
              </w:rPr>
            </w:pPr>
            <w:r>
              <w:rPr>
                <w:rFonts w:ascii="Arial" w:cs="Arial" w:eastAsia="Arial" w:hAnsi="Arial"/>
                <w:sz w:val="18"/>
                <w:szCs w:val="18"/>
                <w:color w:val="auto"/>
              </w:rPr>
              <w:t>Cash, cash equivalents, and restricted cash equivalents at end of period</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230,551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1,080,190</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6"/>
        </w:trPr>
        <w:tc>
          <w:tcPr>
            <w:tcW w:w="8320" w:type="dxa"/>
            <w:vAlign w:val="bottom"/>
          </w:tcPr>
          <w:p>
            <w:pPr>
              <w:spacing w:after="0"/>
              <w:rPr>
                <w:sz w:val="20"/>
                <w:szCs w:val="20"/>
                <w:color w:val="auto"/>
              </w:rPr>
            </w:pPr>
            <w:r>
              <w:rPr>
                <w:rFonts w:ascii="Arial" w:cs="Arial" w:eastAsia="Arial" w:hAnsi="Arial"/>
                <w:sz w:val="18"/>
                <w:szCs w:val="18"/>
                <w:color w:val="auto"/>
              </w:rPr>
              <w:t>Interest paid</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9,023</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9"/>
        </w:trPr>
        <w:tc>
          <w:tcPr>
            <w:tcW w:w="8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Restricted cash equivalents at beginning of period</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859,920</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1,199,164</w:t>
            </w:r>
          </w:p>
        </w:tc>
      </w:tr>
      <w:tr>
        <w:trPr>
          <w:trHeight w:val="227"/>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equivalents at end of period</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940,221</w:t>
            </w:r>
          </w:p>
        </w:tc>
      </w:tr>
      <w:tr>
        <w:trPr>
          <w:trHeight w:val="225"/>
        </w:trPr>
        <w:tc>
          <w:tcPr>
            <w:tcW w:w="8320" w:type="dxa"/>
            <w:vAlign w:val="bottom"/>
          </w:tcPr>
          <w:p>
            <w:pPr>
              <w:spacing w:after="0"/>
              <w:rPr>
                <w:sz w:val="20"/>
                <w:szCs w:val="20"/>
                <w:color w:val="auto"/>
              </w:rPr>
            </w:pPr>
            <w:r>
              <w:rPr>
                <w:rFonts w:ascii="Arial" w:cs="Arial" w:eastAsia="Arial" w:hAnsi="Arial"/>
                <w:sz w:val="18"/>
                <w:szCs w:val="18"/>
                <w:color w:val="auto"/>
              </w:rPr>
              <w:t>Change in restricted cash equivalents</w:t>
            </w: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(849,920)</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(258,943)</w:t>
            </w:r>
          </w:p>
        </w:tc>
      </w:tr>
    </w:tbl>
    <w:p>
      <w:pPr>
        <w:spacing w:after="0" w:line="315" w:lineRule="exact"/>
        <w:rPr>
          <w:sz w:val="20"/>
          <w:szCs w:val="20"/>
          <w:color w:val="auto"/>
        </w:rPr>
      </w:pPr>
    </w:p>
    <w:p>
      <w:pPr>
        <w:jc w:val="both"/>
        <w:ind w:firstLine="6"/>
        <w:spacing w:after="0" w:line="245" w:lineRule="auto"/>
        <w:tabs>
          <w:tab w:leader="none" w:pos="194"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Cash used in operating activities for the nine months ended September 30, 2021 and 2020 primarily reflect $849.9 million and $258.9 million, respectively, of restricted cash equivalents returned to a former insured, per the terms of a collateral trust (see Amounts Recoverable from an Indemnifying Party in </w:t>
      </w:r>
      <w:r>
        <w:rPr>
          <w:rFonts w:ascii="Arial" w:cs="Arial" w:eastAsia="Arial" w:hAnsi="Arial"/>
          <w:sz w:val="14"/>
          <w:szCs w:val="14"/>
          <w:i w:val="1"/>
          <w:iCs w:val="1"/>
          <w:color w:val="auto"/>
        </w:rPr>
        <w:t>Liquidity and Capital Resources</w:t>
      </w:r>
      <w:r>
        <w:rPr>
          <w:rFonts w:ascii="Arial" w:cs="Arial" w:eastAsia="Arial" w:hAnsi="Arial"/>
          <w:sz w:val="14"/>
          <w:szCs w:val="14"/>
          <w:color w:val="auto"/>
        </w:rPr>
        <w:t>). Excluding the reduction in the collateral funds, cash (used in) provided by operating activities was $(211.4) million and $36.9 million for the nine months ended September 30, 2021 and 2020, respectively. The cash used in operating activities excluding the reduction in collateral funds for the nine months ended September 30, 2021 primarily reflects $317.6 million paid to effect a loss portfolio transfer reinsurance transaction in the third quarter.</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9460" w:firstLine="6"/>
        <w:spacing w:after="0" w:line="395" w:lineRule="auto"/>
        <w:tabs>
          <w:tab w:leader="none" w:pos="30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Policies Organization</w:t>
      </w:r>
    </w:p>
    <w:p>
      <w:pPr>
        <w:spacing w:after="0" w:line="1"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James River Group Holdings, Ltd. (referred to as “JRG Holdings” or, with its subsidiaries, the “Company”) is an exempted holding company registered in Bermuda, organized for the purpose of acquiring and managing insurance and reinsurance entities.</w:t>
      </w:r>
    </w:p>
    <w:p>
      <w:pPr>
        <w:spacing w:after="0" w:line="73"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Company owns five insurance companies based in the United States (“U.S.”) focused on specialty insurance niches and two Bermuda-based reinsurance companies as described below:</w:t>
      </w:r>
    </w:p>
    <w:p>
      <w:pPr>
        <w:spacing w:after="0" w:line="73" w:lineRule="exact"/>
        <w:rPr>
          <w:sz w:val="20"/>
          <w:szCs w:val="20"/>
          <w:color w:val="auto"/>
        </w:rPr>
      </w:pPr>
    </w:p>
    <w:p>
      <w:pPr>
        <w:ind w:left="640" w:hanging="315"/>
        <w:spacing w:after="0" w:line="329" w:lineRule="auto"/>
        <w:tabs>
          <w:tab w:leader="none" w:pos="635" w:val="left"/>
        </w:tabs>
        <w:numPr>
          <w:ilvl w:val="0"/>
          <w:numId w:val="7"/>
        </w:numPr>
        <w:rPr>
          <w:rFonts w:ascii="Arial" w:cs="Arial" w:eastAsia="Arial" w:hAnsi="Arial"/>
          <w:sz w:val="16"/>
          <w:szCs w:val="16"/>
          <w:color w:val="auto"/>
        </w:rPr>
      </w:pPr>
      <w:r>
        <w:rPr>
          <w:rFonts w:ascii="Arial" w:cs="Arial" w:eastAsia="Arial" w:hAnsi="Arial"/>
          <w:sz w:val="16"/>
          <w:szCs w:val="16"/>
          <w:color w:val="auto"/>
        </w:rPr>
        <w:t>James River Group Holdings UK Limited (“James River UK”) is an insurance holding company formed in 2015 in the United Kingdom (“U.K.”). JRG Holdings contributed James River Group, Inc. (“James River Group”), a U.S. insurance holding company, to James River UK in 2015.</w:t>
      </w:r>
    </w:p>
    <w:p>
      <w:pPr>
        <w:spacing w:after="0" w:line="27" w:lineRule="exact"/>
        <w:rPr>
          <w:sz w:val="20"/>
          <w:szCs w:val="20"/>
          <w:color w:val="auto"/>
        </w:rPr>
      </w:pPr>
    </w:p>
    <w:p>
      <w:pPr>
        <w:jc w:val="both"/>
        <w:ind w:left="640" w:hanging="315"/>
        <w:spacing w:after="0" w:line="256" w:lineRule="auto"/>
        <w:tabs>
          <w:tab w:leader="none" w:pos="636" w:val="left"/>
        </w:tabs>
        <w:numPr>
          <w:ilvl w:val="0"/>
          <w:numId w:val="8"/>
        </w:numPr>
        <w:rPr>
          <w:rFonts w:ascii="Arial" w:cs="Arial" w:eastAsia="Arial" w:hAnsi="Arial"/>
          <w:sz w:val="18"/>
          <w:szCs w:val="18"/>
          <w:color w:val="auto"/>
        </w:rPr>
      </w:pPr>
      <w:r>
        <w:rPr>
          <w:rFonts w:ascii="Arial" w:cs="Arial" w:eastAsia="Arial" w:hAnsi="Arial"/>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spacing w:after="0" w:line="82" w:lineRule="exact"/>
        <w:rPr>
          <w:sz w:val="20"/>
          <w:szCs w:val="20"/>
          <w:color w:val="auto"/>
        </w:rPr>
      </w:pPr>
    </w:p>
    <w:p>
      <w:pPr>
        <w:ind w:left="640" w:hanging="315"/>
        <w:spacing w:after="0" w:line="329" w:lineRule="auto"/>
        <w:tabs>
          <w:tab w:leader="none" w:pos="636" w:val="left"/>
        </w:tabs>
        <w:numPr>
          <w:ilvl w:val="0"/>
          <w:numId w:val="9"/>
        </w:numPr>
        <w:rPr>
          <w:rFonts w:ascii="Arial" w:cs="Arial" w:eastAsia="Arial" w:hAnsi="Arial"/>
          <w:sz w:val="16"/>
          <w:szCs w:val="16"/>
          <w:color w:val="auto"/>
        </w:rPr>
      </w:pPr>
      <w:r>
        <w:rPr>
          <w:rFonts w:ascii="Arial" w:cs="Arial" w:eastAsia="Arial" w:hAnsi="Arial"/>
          <w:sz w:val="16"/>
          <w:szCs w:val="16"/>
          <w:color w:val="auto"/>
        </w:rPr>
        <w:t>James River Insurance Company is an Ohio domiciled excess and surplus lines insurance company that, with its wholly-owned insurance subsidiary, James River Casualty Company, a Virginia domiciled company, is authorized to write business in every state and the District of Columbia.</w:t>
      </w:r>
    </w:p>
    <w:p>
      <w:pPr>
        <w:spacing w:after="0" w:line="27" w:lineRule="exact"/>
        <w:rPr>
          <w:rFonts w:ascii="Arial" w:cs="Arial" w:eastAsia="Arial" w:hAnsi="Arial"/>
          <w:sz w:val="16"/>
          <w:szCs w:val="16"/>
          <w:color w:val="auto"/>
        </w:rPr>
      </w:pPr>
    </w:p>
    <w:p>
      <w:pPr>
        <w:jc w:val="both"/>
        <w:ind w:left="640" w:hanging="315"/>
        <w:spacing w:after="0" w:line="253" w:lineRule="auto"/>
        <w:tabs>
          <w:tab w:leader="none" w:pos="636" w:val="left"/>
        </w:tabs>
        <w:numPr>
          <w:ilvl w:val="0"/>
          <w:numId w:val="9"/>
        </w:numPr>
        <w:rPr>
          <w:rFonts w:ascii="Arial" w:cs="Arial" w:eastAsia="Arial" w:hAnsi="Arial"/>
          <w:sz w:val="18"/>
          <w:szCs w:val="18"/>
          <w:color w:val="auto"/>
        </w:rPr>
      </w:pPr>
      <w:r>
        <w:rPr>
          <w:rFonts w:ascii="Arial" w:cs="Arial" w:eastAsia="Arial" w:hAnsi="Arial"/>
          <w:sz w:val="18"/>
          <w:szCs w:val="18"/>
          <w:color w:val="auto"/>
        </w:rPr>
        <w:t>Falls Lake National Insurance Company (“Falls Lake National”) is an Ohio domiciled insurance company which wholly owns Stonewood Insurance Company (“Stonewood Insurance”), a North Carolina domiciled company, and Falls Lake Fire and Casualty Company, a California domiciled company. Falls Lake National and its subsidiaries primarily write specialty admitted fronting and program business and individual risk workers' compensation insurance.</w:t>
      </w:r>
    </w:p>
    <w:p>
      <w:pPr>
        <w:spacing w:after="0" w:line="84" w:lineRule="exact"/>
        <w:rPr>
          <w:rFonts w:ascii="Arial" w:cs="Arial" w:eastAsia="Arial" w:hAnsi="Arial"/>
          <w:sz w:val="18"/>
          <w:szCs w:val="18"/>
          <w:color w:val="auto"/>
        </w:rPr>
      </w:pPr>
    </w:p>
    <w:p>
      <w:pPr>
        <w:jc w:val="both"/>
        <w:ind w:left="640" w:hanging="315"/>
        <w:spacing w:after="0" w:line="256" w:lineRule="auto"/>
        <w:tabs>
          <w:tab w:leader="none" w:pos="650" w:val="left"/>
        </w:tabs>
        <w:numPr>
          <w:ilvl w:val="0"/>
          <w:numId w:val="9"/>
        </w:numPr>
        <w:rPr>
          <w:rFonts w:ascii="Arial" w:cs="Arial" w:eastAsia="Arial" w:hAnsi="Arial"/>
          <w:sz w:val="18"/>
          <w:szCs w:val="18"/>
          <w:color w:val="auto"/>
        </w:rPr>
      </w:pPr>
      <w:r>
        <w:rPr>
          <w:rFonts w:ascii="Arial" w:cs="Arial" w:eastAsia="Arial" w:hAnsi="Arial"/>
          <w:sz w:val="18"/>
          <w:szCs w:val="18"/>
          <w:color w:val="auto"/>
        </w:rPr>
        <w:t>JRG Reinsurance Company Ltd. (“JRG Re”) was formed in 2007 and commenced operations in 2008. JRG Re, a Bermuda domiciled reinsurer, primarily provides non-catastrophe casualty reinsurance to U.S. third parties and, through December 31, 2017, to the Company’s U.S.-based insurance subsidiaries.</w:t>
      </w:r>
    </w:p>
    <w:p>
      <w:pPr>
        <w:spacing w:after="0" w:line="82" w:lineRule="exact"/>
        <w:rPr>
          <w:rFonts w:ascii="Arial" w:cs="Arial" w:eastAsia="Arial" w:hAnsi="Arial"/>
          <w:sz w:val="18"/>
          <w:szCs w:val="18"/>
          <w:color w:val="auto"/>
        </w:rPr>
      </w:pPr>
    </w:p>
    <w:p>
      <w:pPr>
        <w:ind w:left="640" w:hanging="315"/>
        <w:spacing w:after="0" w:line="266" w:lineRule="auto"/>
        <w:tabs>
          <w:tab w:leader="none" w:pos="663" w:val="left"/>
        </w:tabs>
        <w:numPr>
          <w:ilvl w:val="0"/>
          <w:numId w:val="9"/>
        </w:numPr>
        <w:rPr>
          <w:rFonts w:ascii="Arial" w:cs="Arial" w:eastAsia="Arial" w:hAnsi="Arial"/>
          <w:sz w:val="18"/>
          <w:szCs w:val="18"/>
          <w:color w:val="auto"/>
        </w:rPr>
      </w:pPr>
      <w:r>
        <w:rPr>
          <w:rFonts w:ascii="Arial" w:cs="Arial" w:eastAsia="Arial" w:hAnsi="Arial"/>
          <w:sz w:val="18"/>
          <w:szCs w:val="18"/>
          <w:color w:val="auto"/>
        </w:rPr>
        <w:t>Carolina Re Ltd (“Carolina Re”) was formed in 2018 and as of January 1, 2018 provides reinsurance to the Company’s U.S.-based insurance subsidiaries. Carolina Re is also the cedent on an aggregate stop loss reinsurance treaty with JRG 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2020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2020 was derived from the Company’s audited annual consolidated financial statements.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Intercompany transactions and balances have been eliminated.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Assumptions</w:t>
      </w:r>
    </w:p>
    <w:p>
      <w:pPr>
        <w:spacing w:after="0" w:line="1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11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7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$28.2 million and $30.1 million at September 30, 2021 and December 31, 2020, respectively, representing the Company’s maximum exposure to loss.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18"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The Company had a pre-tax loss of $129.6 million for the nine months ended September 30, 2021 and recorded a U.S. federal income tax benefit of $23.1 million. The pre-tax loss was largely driven by the $210.8 million of net adverse reserve development on prior accident years, including $190.7 million of net adverse development from the Excess and Surplus Lines segment that was primarily related to a former commercial auto account. For the nine months ended September 30, 2021, our U.S. federal income tax benefit was 17.8% of the loss before taxes. For the nine months ended September 30, 2020, our U.S. federal income tax expense was 14.4% of income before taxes. The change in effective tax rate for the two periods reflects changes in reserve estimates in the commercial auto business, and the related impact on the mix of income reported by country in those respective periods.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7"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18"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Company’s available-for-sale fixed maturity securities are summarized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5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5"/>
          </w:tcPr>
          <w:p>
            <w:pPr>
              <w:ind w:left="72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335,635</w:t>
            </w:r>
          </w:p>
        </w:tc>
        <w:tc>
          <w:tcPr>
            <w:tcW w:w="0" w:type="dxa"/>
            <w:vAlign w:val="bottom"/>
          </w:tcPr>
          <w:p>
            <w:pPr>
              <w:spacing w:after="0"/>
              <w:rPr>
                <w:sz w:val="1"/>
                <w:szCs w:val="1"/>
                <w:color w:val="auto"/>
              </w:rPr>
            </w:pPr>
          </w:p>
        </w:tc>
      </w:tr>
      <w:tr>
        <w:trPr>
          <w:trHeight w:val="225"/>
        </w:trPr>
        <w:tc>
          <w:tcPr>
            <w:tcW w:w="558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258,302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261,075</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698,454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725,872</w:t>
            </w:r>
          </w:p>
        </w:tc>
        <w:tc>
          <w:tcPr>
            <w:tcW w:w="0" w:type="dxa"/>
            <w:vAlign w:val="bottom"/>
          </w:tcPr>
          <w:p>
            <w:pPr>
              <w:spacing w:after="0"/>
              <w:rPr>
                <w:sz w:val="1"/>
                <w:szCs w:val="1"/>
                <w:color w:val="auto"/>
              </w:rPr>
            </w:pPr>
          </w:p>
        </w:tc>
      </w:tr>
      <w:tr>
        <w:trPr>
          <w:trHeight w:val="225"/>
        </w:trPr>
        <w:tc>
          <w:tcPr>
            <w:tcW w:w="558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307,223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313,158</w:t>
            </w:r>
          </w:p>
        </w:tc>
        <w:tc>
          <w:tcPr>
            <w:tcW w:w="0" w:type="dxa"/>
            <w:vAlign w:val="bottom"/>
          </w:tcPr>
          <w:p>
            <w:pPr>
              <w:spacing w:after="0"/>
              <w:rPr>
                <w:sz w:val="1"/>
                <w:szCs w:val="1"/>
                <w:color w:val="auto"/>
              </w:rPr>
            </w:pPr>
          </w:p>
        </w:tc>
      </w:tr>
      <w:tr>
        <w:trPr>
          <w:trHeight w:val="174"/>
        </w:trPr>
        <w:tc>
          <w:tcPr>
            <w:tcW w:w="5580" w:type="dxa"/>
            <w:vAlign w:val="bottom"/>
            <w:shd w:val="clear" w:color="auto" w:fill="CCEEFF"/>
          </w:tcPr>
          <w:p>
            <w:pPr>
              <w:ind w:left="180"/>
              <w:spacing w:after="0" w:line="175"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85,252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85,987</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1,673,281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56,351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1,721,727</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and municipal</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277,241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296,405</w:t>
            </w:r>
          </w:p>
        </w:tc>
        <w:tc>
          <w:tcPr>
            <w:tcW w:w="0" w:type="dxa"/>
            <w:vAlign w:val="bottom"/>
          </w:tcPr>
          <w:p>
            <w:pPr>
              <w:spacing w:after="0"/>
              <w:rPr>
                <w:sz w:val="1"/>
                <w:szCs w:val="1"/>
                <w:color w:val="auto"/>
              </w:rPr>
            </w:pPr>
          </w:p>
        </w:tc>
      </w:tr>
      <w:tr>
        <w:trPr>
          <w:trHeight w:val="225"/>
        </w:trPr>
        <w:tc>
          <w:tcPr>
            <w:tcW w:w="5580" w:type="dxa"/>
            <w:vAlign w:val="bottom"/>
          </w:tcPr>
          <w:p>
            <w:pPr>
              <w:ind w:left="180"/>
              <w:spacing w:after="0"/>
              <w:rPr>
                <w:sz w:val="20"/>
                <w:szCs w:val="20"/>
                <w:color w:val="auto"/>
              </w:rPr>
            </w:pPr>
            <w:r>
              <w:rPr>
                <w:rFonts w:ascii="Arial" w:cs="Arial" w:eastAsia="Arial" w:hAnsi="Arial"/>
                <w:sz w:val="18"/>
                <w:szCs w:val="18"/>
                <w:color w:val="auto"/>
              </w:rPr>
              <w:t>Residential mortgage-backed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286,104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293,848</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766,822</w:t>
            </w:r>
          </w:p>
        </w:tc>
        <w:tc>
          <w:tcPr>
            <w:tcW w:w="0" w:type="dxa"/>
            <w:vAlign w:val="bottom"/>
          </w:tcPr>
          <w:p>
            <w:pPr>
              <w:spacing w:after="0"/>
              <w:rPr>
                <w:sz w:val="1"/>
                <w:szCs w:val="1"/>
                <w:color w:val="auto"/>
              </w:rPr>
            </w:pPr>
          </w:p>
        </w:tc>
      </w:tr>
      <w:tr>
        <w:trPr>
          <w:trHeight w:val="225"/>
        </w:trPr>
        <w:tc>
          <w:tcPr>
            <w:tcW w:w="5580" w:type="dxa"/>
            <w:vAlign w:val="bottom"/>
          </w:tcPr>
          <w:p>
            <w:pPr>
              <w:ind w:left="18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314,911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326,719</w:t>
            </w:r>
          </w:p>
        </w:tc>
        <w:tc>
          <w:tcPr>
            <w:tcW w:w="0" w:type="dxa"/>
            <w:vAlign w:val="bottom"/>
          </w:tcPr>
          <w:p>
            <w:pPr>
              <w:spacing w:after="0"/>
              <w:rPr>
                <w:sz w:val="1"/>
                <w:szCs w:val="1"/>
                <w:color w:val="auto"/>
              </w:rPr>
            </w:pPr>
          </w:p>
        </w:tc>
      </w:tr>
      <w:tr>
        <w:trPr>
          <w:trHeight w:val="174"/>
        </w:trPr>
        <w:tc>
          <w:tcPr>
            <w:tcW w:w="5580" w:type="dxa"/>
            <w:vAlign w:val="bottom"/>
            <w:shd w:val="clear" w:color="auto" w:fill="CCEEFF"/>
          </w:tcPr>
          <w:p>
            <w:pPr>
              <w:ind w:left="180"/>
              <w:spacing w:after="0" w:line="175" w:lineRule="exact"/>
              <w:rPr>
                <w:sz w:val="20"/>
                <w:szCs w:val="20"/>
                <w:color w:val="auto"/>
              </w:rPr>
            </w:pPr>
            <w:r>
              <w:rPr>
                <w:rFonts w:ascii="Arial" w:cs="Arial" w:eastAsia="Arial" w:hAnsi="Arial"/>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97,489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99,848</w:t>
            </w:r>
          </w:p>
        </w:tc>
        <w:tc>
          <w:tcPr>
            <w:tcW w:w="0" w:type="dxa"/>
            <w:vAlign w:val="bottom"/>
          </w:tcPr>
          <w:p>
            <w:pPr>
              <w:spacing w:after="0"/>
              <w:rPr>
                <w:sz w:val="1"/>
                <w:szCs w:val="1"/>
                <w:color w:val="auto"/>
              </w:rPr>
            </w:pPr>
          </w:p>
        </w:tc>
      </w:tr>
      <w:tr>
        <w:trPr>
          <w:trHeight w:val="225"/>
        </w:trPr>
        <w:tc>
          <w:tcPr>
            <w:tcW w:w="5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government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1,690,890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94,056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right="300" w:firstLine="319"/>
        <w:spacing w:after="0" w:line="266" w:lineRule="auto"/>
        <w:rPr>
          <w:sz w:val="20"/>
          <w:szCs w:val="20"/>
          <w:color w:val="auto"/>
        </w:rPr>
      </w:pPr>
      <w:r>
        <w:rPr>
          <w:rFonts w:ascii="Arial" w:cs="Arial" w:eastAsia="Arial" w:hAnsi="Arial"/>
          <w:sz w:val="18"/>
          <w:szCs w:val="18"/>
          <w:color w:val="auto"/>
        </w:rPr>
        <w:t>The amortized cost and fair value of available-for-sale investments in fixed maturity securities at September 30, 2021 are summarized, by contractual maturity,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 or</w:t>
            </w:r>
          </w:p>
        </w:tc>
        <w:tc>
          <w:tcPr>
            <w:tcW w:w="440" w:type="dxa"/>
            <w:vAlign w:val="bottom"/>
          </w:tcPr>
          <w:p>
            <w:pPr>
              <w:spacing w:after="0"/>
              <w:rPr>
                <w:sz w:val="14"/>
                <w:szCs w:val="14"/>
                <w:color w:val="auto"/>
              </w:rPr>
            </w:pPr>
          </w:p>
        </w:tc>
        <w:tc>
          <w:tcPr>
            <w:tcW w:w="90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3"/>
        </w:trPr>
        <w:tc>
          <w:tcPr>
            <w:tcW w:w="8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Amortized</w:t>
            </w:r>
          </w:p>
        </w:tc>
        <w:tc>
          <w:tcPr>
            <w:tcW w:w="4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8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8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year or less</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104,859</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458,454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477,708</w:t>
            </w:r>
          </w:p>
        </w:tc>
        <w:tc>
          <w:tcPr>
            <w:tcW w:w="0" w:type="dxa"/>
            <w:vAlign w:val="bottom"/>
          </w:tcPr>
          <w:p>
            <w:pPr>
              <w:spacing w:after="0"/>
              <w:rPr>
                <w:sz w:val="1"/>
                <w:szCs w:val="1"/>
                <w:color w:val="auto"/>
              </w:rPr>
            </w:pPr>
          </w:p>
        </w:tc>
      </w:tr>
      <w:tr>
        <w:trPr>
          <w:trHeight w:val="227"/>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310,034</w:t>
            </w:r>
          </w:p>
        </w:tc>
        <w:tc>
          <w:tcPr>
            <w:tcW w:w="0" w:type="dxa"/>
            <w:vAlign w:val="bottom"/>
          </w:tcPr>
          <w:p>
            <w:pPr>
              <w:spacing w:after="0"/>
              <w:rPr>
                <w:sz w:val="1"/>
                <w:szCs w:val="1"/>
                <w:color w:val="auto"/>
              </w:rPr>
            </w:pPr>
          </w:p>
        </w:tc>
      </w:tr>
      <w:tr>
        <w:trPr>
          <w:trHeight w:val="225"/>
        </w:trPr>
        <w:tc>
          <w:tcPr>
            <w:tcW w:w="8460" w:type="dxa"/>
            <w:vAlign w:val="bottom"/>
          </w:tcPr>
          <w:p>
            <w:pPr>
              <w:ind w:left="20"/>
              <w:spacing w:after="0"/>
              <w:rPr>
                <w:sz w:val="20"/>
                <w:szCs w:val="20"/>
                <w:color w:val="auto"/>
              </w:rPr>
            </w:pPr>
            <w:r>
              <w:rPr>
                <w:rFonts w:ascii="Arial" w:cs="Arial" w:eastAsia="Arial" w:hAnsi="Arial"/>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242,072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254,893</w:t>
            </w:r>
          </w:p>
        </w:tc>
        <w:tc>
          <w:tcPr>
            <w:tcW w:w="0" w:type="dxa"/>
            <w:vAlign w:val="bottom"/>
          </w:tcPr>
          <w:p>
            <w:pPr>
              <w:spacing w:after="0"/>
              <w:rPr>
                <w:sz w:val="1"/>
                <w:szCs w:val="1"/>
                <w:color w:val="auto"/>
              </w:rPr>
            </w:pPr>
          </w:p>
        </w:tc>
      </w:tr>
      <w:tr>
        <w:trPr>
          <w:trHeight w:val="227"/>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261,075</w:t>
            </w:r>
          </w:p>
        </w:tc>
        <w:tc>
          <w:tcPr>
            <w:tcW w:w="0" w:type="dxa"/>
            <w:vAlign w:val="bottom"/>
          </w:tcPr>
          <w:p>
            <w:pPr>
              <w:spacing w:after="0"/>
              <w:rPr>
                <w:sz w:val="1"/>
                <w:szCs w:val="1"/>
                <w:color w:val="auto"/>
              </w:rPr>
            </w:pPr>
          </w:p>
        </w:tc>
      </w:tr>
      <w:tr>
        <w:trPr>
          <w:trHeight w:val="225"/>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307,223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313,158</w:t>
            </w:r>
          </w:p>
        </w:tc>
        <w:tc>
          <w:tcPr>
            <w:tcW w:w="0" w:type="dxa"/>
            <w:vAlign w:val="bottom"/>
          </w:tcPr>
          <w:p>
            <w:pPr>
              <w:spacing w:after="0"/>
              <w:rPr>
                <w:sz w:val="1"/>
                <w:szCs w:val="1"/>
                <w:color w:val="auto"/>
              </w:rPr>
            </w:pPr>
          </w:p>
        </w:tc>
      </w:tr>
      <w:tr>
        <w:trPr>
          <w:trHeight w:val="245"/>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1,673,281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1,721,727</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12 Months or More</w:t>
            </w:r>
          </w:p>
        </w:tc>
        <w:tc>
          <w:tcPr>
            <w:tcW w:w="2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5"/>
              <w:spacing w:after="0" w:line="132"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2"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75"/>
              <w:spacing w:after="0" w:line="132"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78"/>
              </w:rPr>
              <w:t>Losses</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77"/>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7"/>
              </w:rPr>
              <w:t>(in thousands)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126,424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126,735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110,471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112,909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260"/>
              <w:spacing w:after="0" w:line="175" w:lineRule="exact"/>
              <w:rPr>
                <w:sz w:val="20"/>
                <w:szCs w:val="20"/>
                <w:color w:val="auto"/>
              </w:rPr>
            </w:pPr>
            <w:r>
              <w:rPr>
                <w:rFonts w:ascii="Arial" w:cs="Arial" w:eastAsia="Arial" w:hAnsi="Arial"/>
                <w:sz w:val="18"/>
                <w:szCs w:val="18"/>
                <w:color w:val="auto"/>
                <w:w w:val="92"/>
              </w:rPr>
              <w:t>U.S. Treasury securities and obligations guaranteed</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by the U.S. government</w:t>
            </w: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508,007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12,964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520,971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(7,905)</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2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 and municipal</w:t>
            </w: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Residential mortgage-backed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7"/>
        </w:trPr>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5"/>
        </w:trPr>
        <w:tc>
          <w:tcPr>
            <w:tcW w:w="4120" w:type="dxa"/>
            <w:vAlign w:val="bottom"/>
          </w:tcPr>
          <w:p>
            <w:pPr>
              <w:ind w:left="260"/>
              <w:spacing w:after="0"/>
              <w:rPr>
                <w:sz w:val="20"/>
                <w:szCs w:val="20"/>
                <w:color w:val="auto"/>
              </w:rPr>
            </w:pPr>
            <w:r>
              <w:rPr>
                <w:rFonts w:ascii="Arial" w:cs="Arial" w:eastAsia="Arial" w:hAnsi="Arial"/>
                <w:sz w:val="18"/>
                <w:szCs w:val="18"/>
                <w:color w:val="auto"/>
              </w:rPr>
              <w:t>Commercial mortgage and asset-backed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38,802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174"/>
        </w:trPr>
        <w:tc>
          <w:tcPr>
            <w:tcW w:w="4120" w:type="dxa"/>
            <w:vAlign w:val="bottom"/>
            <w:shd w:val="clear" w:color="auto" w:fill="CCEEFF"/>
          </w:tcPr>
          <w:p>
            <w:pPr>
              <w:ind w:left="260"/>
              <w:spacing w:after="0" w:line="175" w:lineRule="exact"/>
              <w:rPr>
                <w:sz w:val="20"/>
                <w:szCs w:val="20"/>
                <w:color w:val="auto"/>
              </w:rPr>
            </w:pPr>
            <w:r>
              <w:rPr>
                <w:rFonts w:ascii="Arial" w:cs="Arial" w:eastAsia="Arial" w:hAnsi="Arial"/>
                <w:sz w:val="18"/>
                <w:szCs w:val="18"/>
                <w:color w:val="auto"/>
                <w:w w:val="92"/>
              </w:rPr>
              <w:t>U.S. Treasury securities and obligations guaranteed</w:t>
            </w: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by the U.S. government</w:t>
            </w: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60,167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98,969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At September 30, 2021, the Company held fixed maturity securities of 200 issuers that were in an unrealized loss position with a total fair value of $521.0 million and gross unrealized losses of $7.9 million. None of the fixed maturity securities with unrealized losses has ever missed, or been delinquent on, a scheduled principal or interest payment. At September 30, 2021, 99.4% of the Company’s fixed maturity security portfolio was rated “BBB-” or better (“investment grade”) by Standard &amp; Poor’s or received an equivalent rating from another nationally recognized rating agency. Fixed maturity securities with ratings below investment grade by Standard &amp; Poor’s or another nationally recognized rating agency at September 30, 2021 had an aggregate fair value of $10.0 million and an aggregate net unrealized gain of $96,000.</w:t>
      </w:r>
    </w:p>
    <w:p>
      <w:pPr>
        <w:spacing w:after="0" w:line="73"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231F20"/>
        </w:rPr>
        <w:t xml:space="preserve">The Company adopted ASU 2016-13, </w:t>
      </w:r>
      <w:r>
        <w:rPr>
          <w:rFonts w:ascii="Arial" w:cs="Arial" w:eastAsia="Arial" w:hAnsi="Arial"/>
          <w:sz w:val="16"/>
          <w:szCs w:val="16"/>
          <w:i w:val="1"/>
          <w:iCs w:val="1"/>
          <w:color w:val="231F20"/>
        </w:rPr>
        <w:t>Financial Instruments - Credit Losses (Topic 326): Measurement of Credit Losses on Financial Instruments</w:t>
      </w:r>
      <w:r>
        <w:rPr>
          <w:rFonts w:ascii="Arial" w:cs="Arial" w:eastAsia="Arial" w:hAnsi="Arial"/>
          <w:sz w:val="16"/>
          <w:szCs w:val="16"/>
          <w:color w:val="231F20"/>
        </w:rPr>
        <w:t xml:space="preserve"> on January 1, 2020. This update changed the impairment model for available-for-sale fixed maturities and requires the Company to determine whether unrealized losses on available-for-sale fixed maturities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Arial" w:cs="Arial" w:eastAsia="Arial" w:hAnsi="Arial"/>
          <w:sz w:val="16"/>
          <w:szCs w:val="16"/>
          <w:color w:val="000000"/>
        </w:rPr>
        <w:t>et</w:t>
      </w:r>
      <w:r>
        <w:rPr>
          <w:rFonts w:ascii="Arial" w:cs="Arial" w:eastAsia="Arial" w:hAnsi="Arial"/>
          <w:sz w:val="16"/>
          <w:szCs w:val="16"/>
          <w:color w:val="231F20"/>
        </w:rPr>
        <w:t xml:space="preserve"> </w:t>
      </w:r>
      <w:r>
        <w:rPr>
          <w:rFonts w:ascii="Arial" w:cs="Arial" w:eastAsia="Arial" w:hAnsi="Arial"/>
          <w:sz w:val="16"/>
          <w:szCs w:val="16"/>
          <w:color w:val="000000"/>
        </w:rPr>
        <w:t>realized and unrealized gains (losses) on investments</w:t>
      </w:r>
      <w:r>
        <w:rPr>
          <w:rFonts w:ascii="Arial" w:cs="Arial" w:eastAsia="Arial" w:hAnsi="Arial"/>
          <w:sz w:val="16"/>
          <w:szCs w:val="16"/>
          <w:color w:val="231F20"/>
        </w:rPr>
        <w:t>. Unrealized losses that are not credit-related continue to be recognized in other comprehensive income.</w:t>
      </w:r>
    </w:p>
    <w:p>
      <w:pPr>
        <w:spacing w:after="0" w:line="5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September 30, 2021, December 31, 2020, or September 30, 2020. </w:t>
      </w:r>
      <w:r>
        <w:rPr>
          <w:rFonts w:ascii="Arial" w:cs="Arial" w:eastAsia="Arial" w:hAnsi="Arial"/>
          <w:sz w:val="17"/>
          <w:szCs w:val="17"/>
          <w:color w:val="231F20"/>
        </w:rPr>
        <w:t>Management does not intend to sell the securities in an unrealized loss position, and it is not “more likely than not” that the Company will be 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231F20"/>
        </w:rPr>
        <w:t xml:space="preserve">In connection with the adoption of ASU 2016-13, the Company elected the fair value option in accounting for bank loan participations effective January 1, 2020. The targeted transition relief offered by ASU 2019-05, </w:t>
      </w:r>
      <w:r>
        <w:rPr>
          <w:rFonts w:ascii="Arial" w:cs="Arial" w:eastAsia="Arial" w:hAnsi="Arial"/>
          <w:sz w:val="17"/>
          <w:szCs w:val="17"/>
          <w:i w:val="1"/>
          <w:iCs w:val="1"/>
          <w:color w:val="231F20"/>
        </w:rPr>
        <w:t>Financial Instruments - Credit Losses (Topic 326): Targeted Transition Relief</w:t>
      </w:r>
      <w:r>
        <w:rPr>
          <w:rFonts w:ascii="Arial" w:cs="Arial" w:eastAsia="Arial" w:hAnsi="Arial"/>
          <w:sz w:val="17"/>
          <w:szCs w:val="17"/>
          <w:color w:val="231F20"/>
        </w:rPr>
        <w:t xml:space="preserve"> was applied to elect the fair value option to account for bank loan participations already held at the January 1, 2020 date of adoption. Under the fair value option, bank loan participations are measured at fair value, and changes in unrealized gains and losses in bank loan participations are reported in our income statement as net realized and unrealized gains (losses) on investments. At adoption on January 1, 2020, the Company applied the amendments on a modified retrospective basis, reducing the carrying value of its bank loan portfolio to fair value through an $8.4 million adjustment with a $7.8 million (net of tax) cumulative effect adjustment to reduce retained earnings.</w:t>
      </w:r>
    </w:p>
    <w:p>
      <w:pPr>
        <w:spacing w:after="0" w:line="73"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231F20"/>
        </w:rPr>
        <w:t xml:space="preserve">Applying the fair value option to the bank loan portfolio increases volatility in the Company's financial statements, but management believes it is less subjective and less burdensome to implement and maintain than ASU 2016-13, which would have otherwise been required. At September 30, 2021, the Company's bank loan portfolio had an aggregate fair value of $155.0 million and unpaid principal of $158.5 million. Investment income on bank loan participations included in net investment income was $2.8 million and $8.2 million for the </w:t>
      </w:r>
      <w:r>
        <w:rPr>
          <w:rFonts w:ascii="Arial" w:cs="Arial" w:eastAsia="Arial" w:hAnsi="Arial"/>
          <w:sz w:val="17"/>
          <w:szCs w:val="17"/>
          <w:color w:val="000000"/>
        </w:rPr>
        <w:t>three and nine</w:t>
      </w:r>
      <w:r>
        <w:rPr>
          <w:rFonts w:ascii="Arial" w:cs="Arial" w:eastAsia="Arial" w:hAnsi="Arial"/>
          <w:sz w:val="17"/>
          <w:szCs w:val="17"/>
          <w:color w:val="231F20"/>
        </w:rPr>
        <w:t xml:space="preserve"> months ended September 30, 2021, respectively ($2.4 million and $9.7 million for the </w:t>
      </w:r>
      <w:r>
        <w:rPr>
          <w:rFonts w:ascii="Arial" w:cs="Arial" w:eastAsia="Arial" w:hAnsi="Arial"/>
          <w:sz w:val="17"/>
          <w:szCs w:val="17"/>
          <w:color w:val="000000"/>
        </w:rPr>
        <w:t>three and nine</w:t>
      </w:r>
      <w:r>
        <w:rPr>
          <w:rFonts w:ascii="Arial" w:cs="Arial" w:eastAsia="Arial" w:hAnsi="Arial"/>
          <w:sz w:val="17"/>
          <w:szCs w:val="17"/>
          <w:color w:val="231F20"/>
        </w:rPr>
        <w:t xml:space="preserve"> months ended September 30, 2020, respectively). Net realized and unrealized gains (losses) on investments includes gains of $375,000 and $6.6 million for the </w:t>
      </w:r>
      <w:r>
        <w:rPr>
          <w:rFonts w:ascii="Arial" w:cs="Arial" w:eastAsia="Arial" w:hAnsi="Arial"/>
          <w:sz w:val="17"/>
          <w:szCs w:val="17"/>
          <w:color w:val="000000"/>
        </w:rPr>
        <w:t>three and nine</w:t>
      </w:r>
      <w:r>
        <w:rPr>
          <w:rFonts w:ascii="Arial" w:cs="Arial" w:eastAsia="Arial" w:hAnsi="Arial"/>
          <w:sz w:val="17"/>
          <w:szCs w:val="17"/>
          <w:color w:val="231F20"/>
        </w:rPr>
        <w:t xml:space="preserve"> months ended September 30, 2021, respectively, related to changes in unrealized gains and losses on bank loan participations (gains of $9.7 million and losses of $7.6 million in the </w:t>
      </w:r>
      <w:r>
        <w:rPr>
          <w:rFonts w:ascii="Arial" w:cs="Arial" w:eastAsia="Arial" w:hAnsi="Arial"/>
          <w:sz w:val="17"/>
          <w:szCs w:val="17"/>
          <w:color w:val="000000"/>
        </w:rPr>
        <w:t>three and nine</w:t>
      </w:r>
      <w:r>
        <w:rPr>
          <w:rFonts w:ascii="Arial" w:cs="Arial" w:eastAsia="Arial" w:hAnsi="Arial"/>
          <w:sz w:val="17"/>
          <w:szCs w:val="17"/>
          <w:color w:val="231F20"/>
        </w:rPr>
        <w:t xml:space="preserve"> months ended September 30, 2020, respectively). For the </w:t>
      </w:r>
      <w:r>
        <w:rPr>
          <w:rFonts w:ascii="Arial" w:cs="Arial" w:eastAsia="Arial" w:hAnsi="Arial"/>
          <w:sz w:val="17"/>
          <w:szCs w:val="17"/>
          <w:color w:val="000000"/>
        </w:rPr>
        <w:t>three and nine</w:t>
      </w:r>
      <w:r>
        <w:rPr>
          <w:rFonts w:ascii="Arial" w:cs="Arial" w:eastAsia="Arial" w:hAnsi="Arial"/>
          <w:sz w:val="17"/>
          <w:szCs w:val="17"/>
          <w:color w:val="231F20"/>
        </w:rPr>
        <w:t xml:space="preserve"> months ended September 30, 2021, management concluded that none of the unrealized losses were due to credit-related impairments. Management concluded that $437,000 and $8.2 million of unrealized losses in the </w:t>
      </w:r>
      <w:r>
        <w:rPr>
          <w:rFonts w:ascii="Arial" w:cs="Arial" w:eastAsia="Arial" w:hAnsi="Arial"/>
          <w:sz w:val="17"/>
          <w:szCs w:val="17"/>
          <w:color w:val="000000"/>
        </w:rPr>
        <w:t>three and nine</w:t>
      </w:r>
      <w:r>
        <w:rPr>
          <w:rFonts w:ascii="Arial" w:cs="Arial" w:eastAsia="Arial" w:hAnsi="Arial"/>
          <w:sz w:val="17"/>
          <w:szCs w:val="17"/>
          <w:color w:val="231F20"/>
        </w:rPr>
        <w:t xml:space="preserve"> months ended September 30, 2020, respectively, were due to credit-related impairments. 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79"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231F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92"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231F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September 30, 2021 or December 31, 2020.</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net realized and unrealized gains and losses on investments are summarized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3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79"/>
        </w:trPr>
        <w:tc>
          <w:tcPr>
            <w:tcW w:w="55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r>
      <w:tr>
        <w:trPr>
          <w:trHeight w:val="177"/>
        </w:trPr>
        <w:tc>
          <w:tcPr>
            <w:tcW w:w="5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3,170</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9"/>
        </w:trPr>
        <w:tc>
          <w:tcPr>
            <w:tcW w:w="55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3,167</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4,334</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loan participations: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w:t>
            </w: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values of bank loan participations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(7,636)</w:t>
            </w:r>
          </w:p>
        </w:tc>
      </w:tr>
      <w:tr>
        <w:trPr>
          <w:trHeight w:val="220"/>
        </w:trPr>
        <w:tc>
          <w:tcPr>
            <w:tcW w:w="5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(21,763)</w:t>
            </w: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values of equity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w:t>
            </w:r>
          </w:p>
        </w:tc>
      </w:tr>
      <w:tr>
        <w:trPr>
          <w:trHeight w:val="219"/>
        </w:trPr>
        <w:tc>
          <w:tcPr>
            <w:tcW w:w="5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(7,052)</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 and other: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Gross realized gains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7"/>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5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fair values of short-term investments and 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19"/>
        </w:trPr>
        <w:tc>
          <w:tcPr>
            <w:tcW w:w="55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(27,885)</w:t>
            </w:r>
          </w:p>
        </w:tc>
      </w:tr>
      <w:tr>
        <w:trPr>
          <w:trHeight w:val="20"/>
        </w:trPr>
        <w:tc>
          <w:tcPr>
            <w:tcW w:w="5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Realized investment gains or losses are determined on a specific identification basis.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6" w:name="page17"/>
    <w:bookmarkEnd w:id="16"/>
    <w:p>
      <w:pPr>
        <w:ind w:left="94"/>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214"/>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174"/>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94" w:firstLine="319"/>
        <w:spacing w:after="0" w:line="266" w:lineRule="auto"/>
        <w:rPr>
          <w:sz w:val="20"/>
          <w:szCs w:val="20"/>
          <w:color w:val="auto"/>
        </w:rPr>
      </w:pPr>
      <w:r>
        <w:rPr>
          <w:rFonts w:ascii="Arial" w:cs="Arial" w:eastAsia="Arial" w:hAnsi="Arial"/>
          <w:sz w:val="18"/>
          <w:szCs w:val="18"/>
          <w:color w:val="auto"/>
        </w:rPr>
        <w:t>The Company invests selectively in private debt and equity opportunities. These investments, which together comprise the Company’s other invested assets, are primarily focused in renewable energy, limited partnerships, and bank holding companies.</w:t>
      </w:r>
    </w:p>
    <w:p>
      <w:pPr>
        <w:spacing w:after="0" w:line="103" w:lineRule="exact"/>
        <w:rPr>
          <w:sz w:val="20"/>
          <w:szCs w:val="20"/>
          <w:color w:val="auto"/>
        </w:rPr>
      </w:pPr>
    </w:p>
    <w:tbl>
      <w:tblPr>
        <w:tblLayout w:type="fixed"/>
        <w:tblInd w:w="94"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Carrying Value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Investment Income</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1"/>
                <w:szCs w:val="1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640" w:type="dxa"/>
            <w:vAlign w:val="bottom"/>
            <w:gridSpan w:val="3"/>
          </w:tcPr>
          <w:p>
            <w:pPr>
              <w:jc w:val="right"/>
              <w:ind w:right="20"/>
              <w:spacing w:after="0" w:line="132"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gridSpan w:val="4"/>
          </w:tcPr>
          <w:p>
            <w:pPr>
              <w:jc w:val="right"/>
              <w:ind w:right="472"/>
              <w:spacing w:after="0" w:line="132"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7"/>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82"/>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3"/>
          </w:tcPr>
          <w:p>
            <w:pPr>
              <w:jc w:val="right"/>
              <w:ind w:right="420"/>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Renewable energy LLCs </w:t>
            </w:r>
            <w:r>
              <w:rPr>
                <w:rFonts w:ascii="Arial" w:cs="Arial" w:eastAsia="Arial" w:hAnsi="Arial"/>
                <w:sz w:val="18"/>
                <w:szCs w:val="18"/>
                <w:i w:val="1"/>
                <w:iCs w:val="1"/>
                <w:color w:val="auto"/>
              </w:rPr>
              <w:t>(a)</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25,471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19"/>
                <w:szCs w:val="19"/>
                <w:color w:val="auto"/>
              </w:rPr>
            </w:pPr>
          </w:p>
        </w:tc>
        <w:tc>
          <w:tcPr>
            <w:tcW w:w="680" w:type="dxa"/>
            <w:vAlign w:val="bottom"/>
          </w:tcPr>
          <w:p>
            <w:pPr>
              <w:jc w:val="right"/>
              <w:ind w:right="50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400" w:type="dxa"/>
            <w:vAlign w:val="bottom"/>
          </w:tcPr>
          <w:p>
            <w:pPr>
              <w:jc w:val="right"/>
              <w:ind w:right="191"/>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(526)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9"/>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5"/>
              </w:rPr>
              <w:t>(526)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Renewable energy notes receivable (</w:t>
            </w:r>
            <w:r>
              <w:rPr>
                <w:rFonts w:ascii="Arial" w:cs="Arial" w:eastAsia="Arial" w:hAnsi="Arial"/>
                <w:sz w:val="18"/>
                <w:szCs w:val="18"/>
                <w:i w:val="1"/>
                <w:iCs w:val="1"/>
                <w:color w:val="auto"/>
              </w:rPr>
              <w:t>b)</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9"/>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2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Limited partnerships </w:t>
            </w:r>
            <w:r>
              <w:rPr>
                <w:rFonts w:ascii="Arial" w:cs="Arial" w:eastAsia="Arial" w:hAnsi="Arial"/>
                <w:sz w:val="18"/>
                <w:szCs w:val="18"/>
                <w:i w:val="1"/>
                <w:iCs w:val="1"/>
                <w:color w:val="auto"/>
              </w:rPr>
              <w:t>(c)</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9"/>
        </w:trPr>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Bank holding companies </w:t>
            </w:r>
            <w:r>
              <w:rPr>
                <w:rFonts w:ascii="Arial" w:cs="Arial" w:eastAsia="Arial" w:hAnsi="Arial"/>
                <w:sz w:val="18"/>
                <w:szCs w:val="18"/>
                <w:i w:val="1"/>
                <w:iCs w:val="1"/>
                <w:color w:val="auto"/>
              </w:rPr>
              <w:t>(d)</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9"/>
        </w:trPr>
        <w:tc>
          <w:tcPr>
            <w:tcW w:w="3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invested assets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620" w:type="dxa"/>
            <w:vAlign w:val="bottom"/>
          </w:tcPr>
          <w:p>
            <w:pPr>
              <w:ind w:left="100"/>
              <w:spacing w:after="0"/>
              <w:rPr>
                <w:sz w:val="20"/>
                <w:szCs w:val="20"/>
                <w:color w:val="auto"/>
              </w:rPr>
            </w:pPr>
            <w:r>
              <w:rPr>
                <w:rFonts w:ascii="Arial" w:cs="Arial" w:eastAsia="Arial" w:hAnsi="Arial"/>
                <w:sz w:val="18"/>
                <w:szCs w:val="18"/>
                <w:color w:val="auto"/>
              </w:rPr>
              <w:t>Excess and Surplus Lines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6"/>
        </w:trPr>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&amp; Other</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9"/>
        </w:trPr>
        <w:tc>
          <w:tcPr>
            <w:tcW w:w="36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ind w:right="50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left="254" w:hanging="254"/>
        <w:spacing w:after="0" w:line="265" w:lineRule="auto"/>
        <w:tabs>
          <w:tab w:leader="none" w:pos="251"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Company's Excess and Surplus Lines and Corporate and Other segments own equity interests ranging from 2.6% to 32.6% in various LLCs whose principal objective is capital appreciation and income generation from owning and operating renewable energy production facilities (wind and solar). The LLCs are managed by an entity for which two former directors served as officers, and the Company’s Non-Executive Chairman has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During the nine months ended </w:t>
      </w:r>
      <w:r>
        <w:rPr>
          <w:rFonts w:ascii="Arial" w:cs="Arial" w:eastAsia="Arial" w:hAnsi="Arial"/>
          <w:sz w:val="17"/>
          <w:szCs w:val="17"/>
          <w:color w:val="231F20"/>
        </w:rPr>
        <w:t>September 30, 2021,</w:t>
      </w:r>
      <w:r>
        <w:rPr>
          <w:rFonts w:ascii="Arial" w:cs="Arial" w:eastAsia="Arial" w:hAnsi="Arial"/>
          <w:sz w:val="17"/>
          <w:szCs w:val="17"/>
          <w:color w:val="auto"/>
        </w:rPr>
        <w:t xml:space="preserve"> </w:t>
      </w:r>
      <w:r>
        <w:rPr>
          <w:rFonts w:ascii="Arial" w:cs="Arial" w:eastAsia="Arial" w:hAnsi="Arial"/>
          <w:sz w:val="17"/>
          <w:szCs w:val="17"/>
          <w:color w:val="231F20"/>
        </w:rPr>
        <w:t xml:space="preserve">the Company transferred $26.3 million of its investments in the LLCs from the Corporate and Other segment to the Excess and Surplus Lines segment. </w:t>
      </w:r>
      <w:r>
        <w:rPr>
          <w:rFonts w:ascii="Arial" w:cs="Arial" w:eastAsia="Arial" w:hAnsi="Arial"/>
          <w:sz w:val="17"/>
          <w:szCs w:val="17"/>
          <w:color w:val="000000"/>
        </w:rPr>
        <w:t>The</w:t>
      </w:r>
      <w:r>
        <w:rPr>
          <w:rFonts w:ascii="Arial" w:cs="Arial" w:eastAsia="Arial" w:hAnsi="Arial"/>
          <w:sz w:val="17"/>
          <w:szCs w:val="17"/>
          <w:color w:val="231F20"/>
        </w:rPr>
        <w:t xml:space="preserve"> </w:t>
      </w:r>
      <w:r>
        <w:rPr>
          <w:rFonts w:ascii="Arial" w:cs="Arial" w:eastAsia="Arial" w:hAnsi="Arial"/>
          <w:sz w:val="17"/>
          <w:szCs w:val="17"/>
          <w:color w:val="000000"/>
        </w:rPr>
        <w:t>Company received cash distributions from these investments totaling $1.8 million and $1.0 million in the nine months ended September 30, 2021 and 2020, respectively.</w:t>
      </w:r>
    </w:p>
    <w:p>
      <w:pPr>
        <w:spacing w:after="0" w:line="78" w:lineRule="exact"/>
        <w:rPr>
          <w:rFonts w:ascii="Arial" w:cs="Arial" w:eastAsia="Arial" w:hAnsi="Arial"/>
          <w:sz w:val="17"/>
          <w:szCs w:val="17"/>
          <w:color w:val="auto"/>
        </w:rPr>
      </w:pPr>
    </w:p>
    <w:p>
      <w:pPr>
        <w:jc w:val="both"/>
        <w:ind w:left="254" w:hanging="254"/>
        <w:spacing w:after="0" w:line="256" w:lineRule="auto"/>
        <w:tabs>
          <w:tab w:leader="none" w:pos="248" w:val="left"/>
        </w:tabs>
        <w:numPr>
          <w:ilvl w:val="0"/>
          <w:numId w:val="11"/>
        </w:numPr>
        <w:rPr>
          <w:rFonts w:ascii="Arial" w:cs="Arial" w:eastAsia="Arial" w:hAnsi="Arial"/>
          <w:sz w:val="18"/>
          <w:szCs w:val="18"/>
          <w:color w:val="auto"/>
        </w:rPr>
      </w:pPr>
      <w:r>
        <w:rPr>
          <w:rFonts w:ascii="Arial" w:cs="Arial" w:eastAsia="Arial" w:hAnsi="Arial"/>
          <w:sz w:val="18"/>
          <w:szCs w:val="18"/>
          <w:color w:val="231F20"/>
        </w:rPr>
        <w:t xml:space="preserve">The Company's </w:t>
      </w:r>
      <w:r>
        <w:rPr>
          <w:rFonts w:ascii="Arial" w:cs="Arial" w:eastAsia="Arial" w:hAnsi="Arial"/>
          <w:sz w:val="18"/>
          <w:szCs w:val="18"/>
          <w:color w:val="000000"/>
        </w:rPr>
        <w:t>Excess and Surplus Lines and</w:t>
      </w:r>
      <w:r>
        <w:rPr>
          <w:rFonts w:ascii="Arial" w:cs="Arial" w:eastAsia="Arial" w:hAnsi="Arial"/>
          <w:sz w:val="18"/>
          <w:szCs w:val="18"/>
          <w:color w:val="231F20"/>
        </w:rPr>
        <w:t xml:space="preserve"> Corporate and Other segments have invested in notes receivable for renewable energy projects. At September 30, 2021, the Company held two notes issued by an </w:t>
      </w:r>
      <w:r>
        <w:rPr>
          <w:rFonts w:ascii="Arial" w:cs="Arial" w:eastAsia="Arial" w:hAnsi="Arial"/>
          <w:sz w:val="18"/>
          <w:szCs w:val="18"/>
          <w:color w:val="000000"/>
        </w:rPr>
        <w:t>entity for which two of our former directors serve as officers</w:t>
      </w:r>
      <w:r>
        <w:rPr>
          <w:rFonts w:ascii="Arial" w:cs="Arial" w:eastAsia="Arial" w:hAnsi="Arial"/>
          <w:sz w:val="18"/>
          <w:szCs w:val="18"/>
          <w:color w:val="231F20"/>
        </w:rPr>
        <w:t>. Interest on the notes, which mature in 2025, is fixed at 12%.</w:t>
      </w:r>
    </w:p>
    <w:p>
      <w:pPr>
        <w:spacing w:after="0" w:line="82" w:lineRule="exact"/>
        <w:rPr>
          <w:rFonts w:ascii="Arial" w:cs="Arial" w:eastAsia="Arial" w:hAnsi="Arial"/>
          <w:sz w:val="18"/>
          <w:szCs w:val="18"/>
          <w:color w:val="auto"/>
        </w:rPr>
      </w:pPr>
    </w:p>
    <w:p>
      <w:pPr>
        <w:jc w:val="both"/>
        <w:ind w:left="254" w:hanging="254"/>
        <w:spacing w:after="0" w:line="235" w:lineRule="auto"/>
        <w:tabs>
          <w:tab w:leader="none" w:pos="251"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and tranches of distressed home loans. </w:t>
      </w:r>
      <w:r>
        <w:rPr>
          <w:rFonts w:ascii="Arial" w:cs="Arial" w:eastAsia="Arial" w:hAnsi="Arial"/>
          <w:sz w:val="18"/>
          <w:szCs w:val="18"/>
          <w:color w:val="231F20"/>
        </w:rPr>
        <w:t>Income f</w:t>
      </w:r>
      <w:r>
        <w:rPr>
          <w:rFonts w:ascii="Arial" w:cs="Arial" w:eastAsia="Arial" w:hAnsi="Arial"/>
          <w:sz w:val="18"/>
          <w:szCs w:val="18"/>
          <w:color w:val="auto"/>
        </w:rPr>
        <w:t xml:space="preserve">rom the partnerships is recognized under the equity method of accounting. During the nine months ended </w:t>
      </w:r>
      <w:r>
        <w:rPr>
          <w:rFonts w:ascii="Arial" w:cs="Arial" w:eastAsia="Arial" w:hAnsi="Arial"/>
          <w:sz w:val="18"/>
          <w:szCs w:val="18"/>
          <w:color w:val="231F20"/>
        </w:rPr>
        <w:t>September 30, 2021, the</w:t>
      </w:r>
      <w:r>
        <w:rPr>
          <w:rFonts w:ascii="Arial" w:cs="Arial" w:eastAsia="Arial" w:hAnsi="Arial"/>
          <w:sz w:val="18"/>
          <w:szCs w:val="18"/>
          <w:color w:val="auto"/>
        </w:rPr>
        <w:t xml:space="preserve"> </w:t>
      </w:r>
      <w:r>
        <w:rPr>
          <w:rFonts w:ascii="Arial" w:cs="Arial" w:eastAsia="Arial" w:hAnsi="Arial"/>
          <w:sz w:val="18"/>
          <w:szCs w:val="18"/>
          <w:color w:val="231F20"/>
        </w:rPr>
        <w:t xml:space="preserve">Company transferred $5.1 million of its investments in the limited partnerships from the Corporate and Other segment to the Excess and Surplus Lines segment. </w:t>
      </w:r>
      <w:r>
        <w:rPr>
          <w:rFonts w:ascii="Arial" w:cs="Arial" w:eastAsia="Arial" w:hAnsi="Arial"/>
          <w:sz w:val="18"/>
          <w:szCs w:val="18"/>
          <w:color w:val="000000"/>
        </w:rPr>
        <w:t>At September 30, 2021, the Company’s Excess and Surplus Lines segment has outstanding commitments to invest another $6.1 million in these</w:t>
      </w:r>
      <w:r>
        <w:rPr>
          <w:rFonts w:ascii="Arial" w:cs="Arial" w:eastAsia="Arial" w:hAnsi="Arial"/>
          <w:sz w:val="18"/>
          <w:szCs w:val="18"/>
          <w:color w:val="231F20"/>
        </w:rPr>
        <w:t xml:space="preserve"> </w:t>
      </w:r>
      <w:r>
        <w:rPr>
          <w:rFonts w:ascii="Arial" w:cs="Arial" w:eastAsia="Arial" w:hAnsi="Arial"/>
          <w:sz w:val="18"/>
          <w:szCs w:val="18"/>
          <w:color w:val="000000"/>
        </w:rPr>
        <w:t>limited partnerships.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66040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34"/>
          </w:cols>
          <w:pgMar w:left="226" w:top="127" w:right="339" w:bottom="1440" w:gutter="0" w:footer="0" w:header="0"/>
        </w:sectPr>
      </w:pPr>
    </w:p>
    <w:bookmarkStart w:id="17" w:name="page18"/>
    <w:bookmarkEnd w:id="17"/>
    <w:p>
      <w:pPr>
        <w:ind w:left="94"/>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214"/>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174"/>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left="254" w:hanging="254"/>
        <w:spacing w:after="0" w:line="251" w:lineRule="auto"/>
        <w:tabs>
          <w:tab w:leader="none" w:pos="2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Company's Excess and Surplus Lines segment holds $4.5 million of subordinated notes issued by a bank holding company for which the Company’s Non-Executive Chairman was previously the Lead Independent Director and an investor and for which one of the Company’s directors was an investor and is currently a holder of the subordinated notes (the "Bank Holding Company"). During the nine months ended </w:t>
      </w:r>
      <w:r>
        <w:rPr>
          <w:rFonts w:ascii="Arial" w:cs="Arial" w:eastAsia="Arial" w:hAnsi="Arial"/>
          <w:sz w:val="18"/>
          <w:szCs w:val="18"/>
          <w:color w:val="231F20"/>
        </w:rPr>
        <w:t>September 30, 2021, the Company</w:t>
      </w:r>
      <w:r>
        <w:rPr>
          <w:rFonts w:ascii="Arial" w:cs="Arial" w:eastAsia="Arial" w:hAnsi="Arial"/>
          <w:sz w:val="18"/>
          <w:szCs w:val="18"/>
          <w:color w:val="auto"/>
        </w:rPr>
        <w:t xml:space="preserve"> </w:t>
      </w:r>
      <w:r>
        <w:rPr>
          <w:rFonts w:ascii="Arial" w:cs="Arial" w:eastAsia="Arial" w:hAnsi="Arial"/>
          <w:sz w:val="18"/>
          <w:szCs w:val="18"/>
          <w:color w:val="231F20"/>
        </w:rPr>
        <w:t xml:space="preserve">transferred ownership of the subordinated notes from the Corporate and Other segment to the Excess and Surplus Lines segment. </w:t>
      </w:r>
      <w:r>
        <w:rPr>
          <w:rFonts w:ascii="Arial" w:cs="Arial" w:eastAsia="Arial" w:hAnsi="Arial"/>
          <w:sz w:val="18"/>
          <w:szCs w:val="18"/>
          <w:color w:val="000000"/>
        </w:rPr>
        <w:t>Interest on the notes,</w:t>
      </w:r>
      <w:r>
        <w:rPr>
          <w:rFonts w:ascii="Arial" w:cs="Arial" w:eastAsia="Arial" w:hAnsi="Arial"/>
          <w:sz w:val="18"/>
          <w:szCs w:val="18"/>
          <w:color w:val="231F20"/>
        </w:rPr>
        <w:t xml:space="preserve"> </w:t>
      </w:r>
      <w:r>
        <w:rPr>
          <w:rFonts w:ascii="Arial" w:cs="Arial" w:eastAsia="Arial" w:hAnsi="Arial"/>
          <w:sz w:val="18"/>
          <w:szCs w:val="18"/>
          <w:color w:val="000000"/>
        </w:rPr>
        <w:t>which mature on August 12, 2023, is fixed at 7.6% per annum.</w:t>
      </w:r>
    </w:p>
    <w:p>
      <w:pPr>
        <w:spacing w:after="0" w:line="88" w:lineRule="exact"/>
        <w:rPr>
          <w:sz w:val="20"/>
          <w:szCs w:val="20"/>
          <w:color w:val="auto"/>
        </w:rPr>
      </w:pPr>
    </w:p>
    <w:p>
      <w:pPr>
        <w:jc w:val="both"/>
        <w:ind w:left="94" w:firstLine="319"/>
        <w:spacing w:after="0" w:line="256" w:lineRule="auto"/>
        <w:rPr>
          <w:sz w:val="20"/>
          <w:szCs w:val="20"/>
          <w:color w:val="auto"/>
        </w:rPr>
      </w:pPr>
      <w:r>
        <w:rPr>
          <w:rFonts w:ascii="Arial" w:cs="Arial" w:eastAsia="Arial" w:hAnsi="Arial"/>
          <w:sz w:val="18"/>
          <w:szCs w:val="18"/>
          <w:color w:val="231F20"/>
        </w:rPr>
        <w:t>At December 31, 2020, the Company held an investment in a CLO where one of the underlying loans was issued by the Bank Holding Company. The investment, with a carrying value of $520,000 at December 31, 2020, was classified as an available-for-sale fixed maturity. During the nine months ended September 30, 2021, the Company received the final principal repayment for the investment.</w:t>
      </w:r>
    </w:p>
    <w:p>
      <w:pPr>
        <w:spacing w:after="0" w:line="76" w:lineRule="exact"/>
        <w:rPr>
          <w:sz w:val="20"/>
          <w:szCs w:val="20"/>
          <w:color w:val="auto"/>
        </w:rPr>
      </w:pPr>
    </w:p>
    <w:p>
      <w:pPr>
        <w:ind w:left="94"/>
        <w:spacing w:after="0"/>
        <w:tabs>
          <w:tab w:leader="none" w:pos="394"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4"/>
          <w:szCs w:val="14"/>
          <w:b w:val="1"/>
          <w:bCs w:val="1"/>
          <w:color w:val="auto"/>
        </w:rPr>
        <w:t>Goodwill and Intangible Assets</w:t>
      </w:r>
    </w:p>
    <w:p>
      <w:pPr>
        <w:spacing w:after="0" w:line="118" w:lineRule="exact"/>
        <w:rPr>
          <w:sz w:val="20"/>
          <w:szCs w:val="20"/>
          <w:color w:val="auto"/>
        </w:rPr>
      </w:pPr>
    </w:p>
    <w:p>
      <w:pPr>
        <w:jc w:val="both"/>
        <w:ind w:left="94" w:firstLine="319"/>
        <w:spacing w:after="0" w:line="253" w:lineRule="auto"/>
        <w:rPr>
          <w:sz w:val="20"/>
          <w:szCs w:val="20"/>
          <w:color w:val="auto"/>
        </w:rPr>
      </w:pPr>
      <w:r>
        <w:rPr>
          <w:rFonts w:ascii="Arial" w:cs="Arial" w:eastAsia="Arial" w:hAnsi="Arial"/>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September 30, 2021 and December 31, 2020.</w:t>
      </w:r>
    </w:p>
    <w:p>
      <w:pPr>
        <w:spacing w:after="0" w:line="85" w:lineRule="exact"/>
        <w:rPr>
          <w:sz w:val="20"/>
          <w:szCs w:val="20"/>
          <w:color w:val="auto"/>
        </w:rPr>
      </w:pPr>
    </w:p>
    <w:p>
      <w:pPr>
        <w:ind w:left="414"/>
        <w:spacing w:after="0"/>
        <w:rPr>
          <w:sz w:val="20"/>
          <w:szCs w:val="20"/>
          <w:color w:val="auto"/>
        </w:rPr>
      </w:pPr>
      <w:r>
        <w:rPr>
          <w:rFonts w:ascii="Arial" w:cs="Arial" w:eastAsia="Arial" w:hAnsi="Arial"/>
          <w:sz w:val="18"/>
          <w:szCs w:val="18"/>
          <w:color w:val="auto"/>
        </w:rPr>
        <w:t>The gross carrying amounts and accumulated amortization for each major specifically identifiable intangible asset class were as follows:</w:t>
      </w:r>
    </w:p>
    <w:p>
      <w:pPr>
        <w:spacing w:after="0" w:line="142" w:lineRule="exact"/>
        <w:rPr>
          <w:sz w:val="20"/>
          <w:szCs w:val="20"/>
          <w:color w:val="auto"/>
        </w:rPr>
      </w:pPr>
    </w:p>
    <w:tbl>
      <w:tblPr>
        <w:tblLayout w:type="fixed"/>
        <w:tblInd w:w="94"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16"/>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2"/>
        </w:trPr>
        <w:tc>
          <w:tcPr>
            <w:tcW w:w="4060" w:type="dxa"/>
            <w:vAlign w:val="bottom"/>
          </w:tcPr>
          <w:p>
            <w:pPr>
              <w:spacing w:after="0"/>
              <w:rPr>
                <w:sz w:val="11"/>
                <w:szCs w:val="11"/>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1"/>
                <w:szCs w:val="11"/>
                <w:color w:val="auto"/>
              </w:rPr>
            </w:pPr>
          </w:p>
        </w:tc>
        <w:tc>
          <w:tcPr>
            <w:tcW w:w="118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2"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1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7"/>
              </w:rPr>
              <w:t>Accumulated</w:t>
            </w: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(Years)</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Pr>
          <w:p>
            <w:pPr>
              <w:spacing w:after="0"/>
              <w:rPr>
                <w:sz w:val="16"/>
                <w:szCs w:val="16"/>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77"/>
        </w:trPr>
        <w:tc>
          <w:tcPr>
            <w:tcW w:w="406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40" w:type="dxa"/>
            <w:vAlign w:val="bottom"/>
            <w:tcBorders>
              <w:top w:val="single" w:sz="8" w:color="auto"/>
            </w:tcBorders>
            <w:gridSpan w:val="5"/>
          </w:tcPr>
          <w:p>
            <w:pPr>
              <w:ind w:left="70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Intangible Assets</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6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Indefinite</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22,200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Insurance licenses and authorities</w:t>
            </w:r>
          </w:p>
        </w:tc>
        <w:tc>
          <w:tcPr>
            <w:tcW w:w="1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4060" w:type="dxa"/>
            <w:vAlign w:val="bottom"/>
          </w:tcPr>
          <w:p>
            <w:pPr>
              <w:ind w:left="20"/>
              <w:spacing w:after="0"/>
              <w:rPr>
                <w:sz w:val="20"/>
                <w:szCs w:val="20"/>
                <w:color w:val="auto"/>
              </w:rPr>
            </w:pPr>
            <w:r>
              <w:rPr>
                <w:rFonts w:ascii="Arial" w:cs="Arial" w:eastAsia="Arial" w:hAnsi="Arial"/>
                <w:sz w:val="18"/>
                <w:szCs w:val="18"/>
                <w:color w:val="auto"/>
              </w:rPr>
              <w:t>Identifiable intangibles not subject to amortization</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 relationships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Identifiable intangible assets subject to amortization</w:t>
            </w: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51435</wp:posOffset>
            </wp:positionH>
            <wp:positionV relativeFrom="paragraph">
              <wp:posOffset>66040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34"/>
          </w:cols>
          <w:pgMar w:left="226"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4"/>
          <w:szCs w:val="14"/>
          <w:b w:val="1"/>
          <w:bCs w:val="1"/>
          <w:color w:val="auto"/>
        </w:rPr>
        <w:t>(Loss) Earnings Per Share</w:t>
      </w:r>
    </w:p>
    <w:p>
      <w:pPr>
        <w:spacing w:after="0" w:line="11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represents a reconciliation of the numerator and denominator of the basic and diluted (loss) earnings per share computations contained in the condensed consolidated financial statements: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85"/>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79"/>
        </w:trPr>
        <w:tc>
          <w:tcPr>
            <w:tcW w:w="51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2020</w:t>
            </w:r>
          </w:p>
        </w:tc>
      </w:tr>
      <w:tr>
        <w:trPr>
          <w:trHeight w:val="177"/>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180" w:type="dxa"/>
            <w:vAlign w:val="bottom"/>
            <w:gridSpan w:val="7"/>
          </w:tcPr>
          <w:p>
            <w:pPr>
              <w:ind w:left="80"/>
              <w:spacing w:after="0"/>
              <w:rPr>
                <w:sz w:val="20"/>
                <w:szCs w:val="20"/>
                <w:color w:val="auto"/>
              </w:rPr>
            </w:pPr>
            <w:r>
              <w:rPr>
                <w:rFonts w:ascii="Arial" w:cs="Arial" w:eastAsia="Arial" w:hAnsi="Arial"/>
                <w:sz w:val="14"/>
                <w:szCs w:val="14"/>
                <w:b w:val="1"/>
                <w:bCs w:val="1"/>
                <w:i w:val="1"/>
                <w:iCs w:val="1"/>
                <w:color w:val="auto"/>
                <w:w w:val="88"/>
              </w:rPr>
              <w:t>(in thousands, except share and per share amounts)</w:t>
            </w: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 to shareholders</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(23,889)</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25,082</w:t>
            </w:r>
          </w:p>
        </w:tc>
      </w:tr>
      <w:tr>
        <w:trPr>
          <w:trHeight w:val="266"/>
        </w:trPr>
        <w:tc>
          <w:tcPr>
            <w:tcW w:w="5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6"/>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518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37,278,469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5"/>
              </w:rPr>
              <w:t>30,582,540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34,161,022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30,529,557</w:t>
            </w:r>
          </w:p>
        </w:tc>
      </w:tr>
      <w:tr>
        <w:trPr>
          <w:trHeight w:val="226"/>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309,038</w:t>
            </w:r>
          </w:p>
        </w:tc>
      </w:tr>
      <w:tr>
        <w:trPr>
          <w:trHeight w:val="220"/>
        </w:trPr>
        <w:tc>
          <w:tcPr>
            <w:tcW w:w="518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37,278,469</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30,946,843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34,161,022</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30,838,595</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3"/>
        </w:trPr>
        <w:tc>
          <w:tcPr>
            <w:tcW w:w="5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8"/>
                <w:szCs w:val="18"/>
                <w:color w:val="auto"/>
              </w:rPr>
              <w:t>(Loss) earnings per share: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7"/>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r>
      <w:tr>
        <w:trPr>
          <w:trHeight w:val="225"/>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Common share 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4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right="20" w:firstLine="319"/>
        <w:spacing w:after="0" w:line="256" w:lineRule="auto"/>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color w:val="231F20"/>
        </w:rPr>
        <w:t>the</w:t>
      </w:r>
      <w:r>
        <w:rPr>
          <w:rFonts w:ascii="Arial" w:cs="Arial" w:eastAsia="Arial" w:hAnsi="Arial"/>
          <w:sz w:val="18"/>
          <w:szCs w:val="18"/>
          <w:color w:val="auto"/>
        </w:rPr>
        <w:t xml:space="preserve"> three and nine </w:t>
      </w:r>
      <w:r>
        <w:rPr>
          <w:rFonts w:ascii="Arial" w:cs="Arial" w:eastAsia="Arial" w:hAnsi="Arial"/>
          <w:sz w:val="18"/>
          <w:szCs w:val="18"/>
          <w:color w:val="231F20"/>
        </w:rPr>
        <w:t>months ended September 30, 2021, c</w:t>
      </w:r>
      <w:r>
        <w:rPr>
          <w:rFonts w:ascii="Arial" w:cs="Arial" w:eastAsia="Arial" w:hAnsi="Arial"/>
          <w:sz w:val="18"/>
          <w:szCs w:val="18"/>
          <w:color w:val="auto"/>
        </w:rPr>
        <w:t xml:space="preserve">ommon share equivalents of 133,994 and 203,077, respectively, were excluded from the calculation of diluted (loss) earnings per share as their effects were anti-dilutive. For the three and nine months ended </w:t>
      </w:r>
      <w:r>
        <w:rPr>
          <w:rFonts w:ascii="Arial" w:cs="Arial" w:eastAsia="Arial" w:hAnsi="Arial"/>
          <w:sz w:val="18"/>
          <w:szCs w:val="18"/>
          <w:color w:val="231F20"/>
        </w:rPr>
        <w:t>September 30, 2020</w:t>
      </w:r>
      <w:r>
        <w:rPr>
          <w:rFonts w:ascii="Arial" w:cs="Arial" w:eastAsia="Arial" w:hAnsi="Arial"/>
          <w:sz w:val="18"/>
          <w:szCs w:val="18"/>
          <w:color w:val="auto"/>
        </w:rPr>
        <w:t>, all common share equivalents were dilutive.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4"/>
          <w:szCs w:val="14"/>
          <w:b w:val="1"/>
          <w:bCs w:val="1"/>
          <w:color w:val="auto"/>
        </w:rPr>
        <w:t>Reserve for Losses and Loss Adjustment Expenses</w:t>
      </w:r>
    </w:p>
    <w:p>
      <w:pPr>
        <w:spacing w:after="0" w:line="118"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of $515,000 at September 30, 2021 and $335,000 at December 31, 2020 and September 30,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32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Reserve for losses and loss adjustment expenses net of reinsurance</w:t>
            </w:r>
          </w:p>
        </w:tc>
        <w:tc>
          <w:tcPr>
            <w:tcW w:w="32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1,511,106</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1,339,534</w:t>
            </w:r>
          </w:p>
        </w:tc>
        <w:tc>
          <w:tcPr>
            <w:tcW w:w="1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1,386,061</w:t>
            </w:r>
          </w:p>
        </w:tc>
        <w:tc>
          <w:tcPr>
            <w:tcW w:w="1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1,377,461</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recoverables at beginning of period</w:t>
            </w:r>
          </w:p>
        </w:tc>
        <w:tc>
          <w:tcPr>
            <w:tcW w:w="32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w w:val="98"/>
              </w:rPr>
              <w:t>Add: Incurred losses and loss adjustment expenses net of reinsurance: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295,523</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210,782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incurred losses and loss and adjustment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106,155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549,578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301,757</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w w:val="95"/>
              </w:rPr>
              <w:t>Deduct: Loss and loss adjustment expense payments net of reinsurance: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13,558</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Prior years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373,276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329,061</w:t>
            </w: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loss and loss adjustment expense payments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137,587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109,090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342,619</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Deduct: Loss reserves ceded in LPT Transaction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292,147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292,147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600" w:type="dxa"/>
            <w:vAlign w:val="bottom"/>
          </w:tcPr>
          <w:p>
            <w:pPr>
              <w:ind w:left="20"/>
              <w:spacing w:after="0" w:line="175" w:lineRule="exact"/>
              <w:rPr>
                <w:sz w:val="20"/>
                <w:szCs w:val="20"/>
                <w:color w:val="auto"/>
              </w:rPr>
            </w:pPr>
            <w:r>
              <w:rPr>
                <w:rFonts w:ascii="Arial" w:cs="Arial" w:eastAsia="Arial" w:hAnsi="Arial"/>
                <w:sz w:val="18"/>
                <w:szCs w:val="18"/>
                <w:color w:val="auto"/>
              </w:rPr>
              <w:t>Reserve for losses and loss adjustment expenses net of reinsurance</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1,247,450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7"/>
              </w:rPr>
              <w:t>1,336,599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9"/>
              </w:rPr>
              <w:t>1,247,450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9"/>
              </w:rPr>
              <w:t>1,336,599</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recoverables at end of period</w:t>
            </w:r>
          </w:p>
        </w:tc>
        <w:tc>
          <w:tcPr>
            <w:tcW w:w="3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6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87"/>
              </w:rPr>
              <w:t>Add: Reinsurance recoverables on unpaid losses and loss adjustment expenses</w:t>
            </w:r>
          </w:p>
        </w:tc>
        <w:tc>
          <w:tcPr>
            <w:tcW w:w="3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1,349,379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770,150</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1,349,379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770,150</w:t>
            </w:r>
          </w:p>
        </w:tc>
        <w:tc>
          <w:tcPr>
            <w:tcW w:w="0" w:type="dxa"/>
            <w:vAlign w:val="bottom"/>
          </w:tcPr>
          <w:p>
            <w:pPr>
              <w:spacing w:after="0"/>
              <w:rPr>
                <w:sz w:val="1"/>
                <w:szCs w:val="1"/>
                <w:color w:val="auto"/>
              </w:rPr>
            </w:pPr>
          </w:p>
        </w:tc>
      </w:tr>
      <w:tr>
        <w:trPr>
          <w:trHeight w:val="225"/>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end of period</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5600" w:type="dxa"/>
            <w:vAlign w:val="bottom"/>
          </w:tcPr>
          <w:p>
            <w:pPr>
              <w:ind w:left="20"/>
              <w:spacing w:after="0" w:line="154" w:lineRule="exact"/>
              <w:rPr>
                <w:sz w:val="20"/>
                <w:szCs w:val="20"/>
                <w:color w:val="auto"/>
              </w:rPr>
            </w:pPr>
            <w:r>
              <w:rPr>
                <w:rFonts w:ascii="Arial" w:cs="Arial" w:eastAsia="Arial" w:hAnsi="Arial"/>
                <w:sz w:val="17"/>
                <w:szCs w:val="17"/>
                <w:color w:val="auto"/>
              </w:rPr>
              <w:t>Reserve for losses and loss adjustment expenses gross of reinsurance</w:t>
            </w:r>
          </w:p>
        </w:tc>
        <w:tc>
          <w:tcPr>
            <w:tcW w:w="320" w:type="dxa"/>
            <w:vAlign w:val="bottom"/>
            <w:vMerge w:val="restart"/>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2,596,829</w:t>
            </w:r>
          </w:p>
        </w:tc>
        <w:tc>
          <w:tcPr>
            <w:tcW w:w="100" w:type="dxa"/>
            <w:vAlign w:val="bottom"/>
          </w:tcPr>
          <w:p>
            <w:pPr>
              <w:spacing w:after="0"/>
              <w:rPr>
                <w:sz w:val="13"/>
                <w:szCs w:val="13"/>
                <w:color w:val="auto"/>
              </w:rPr>
            </w:pPr>
          </w:p>
        </w:tc>
        <w:tc>
          <w:tcPr>
            <w:tcW w:w="460" w:type="dxa"/>
            <w:vAlign w:val="bottom"/>
            <w:vMerge w:val="restart"/>
          </w:tcPr>
          <w:p>
            <w:pPr>
              <w:jc w:val="right"/>
              <w:ind w:right="271"/>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7"/>
              </w:rPr>
              <w:t>2,106,749</w:t>
            </w:r>
          </w:p>
        </w:tc>
        <w:tc>
          <w:tcPr>
            <w:tcW w:w="120" w:type="dxa"/>
            <w:vAlign w:val="bottom"/>
          </w:tcPr>
          <w:p>
            <w:pPr>
              <w:spacing w:after="0"/>
              <w:rPr>
                <w:sz w:val="13"/>
                <w:szCs w:val="13"/>
                <w:color w:val="auto"/>
              </w:rPr>
            </w:pPr>
          </w:p>
        </w:tc>
        <w:tc>
          <w:tcPr>
            <w:tcW w:w="440" w:type="dxa"/>
            <w:vAlign w:val="bottom"/>
            <w:vMerge w:val="restart"/>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9"/>
              </w:rPr>
              <w:t>2,596,829</w:t>
            </w:r>
          </w:p>
        </w:tc>
        <w:tc>
          <w:tcPr>
            <w:tcW w:w="120" w:type="dxa"/>
            <w:vAlign w:val="bottom"/>
          </w:tcPr>
          <w:p>
            <w:pPr>
              <w:spacing w:after="0"/>
              <w:rPr>
                <w:sz w:val="13"/>
                <w:szCs w:val="13"/>
                <w:color w:val="auto"/>
              </w:rPr>
            </w:pPr>
          </w:p>
        </w:tc>
        <w:tc>
          <w:tcPr>
            <w:tcW w:w="440" w:type="dxa"/>
            <w:vAlign w:val="bottom"/>
            <w:vMerge w:val="restart"/>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9"/>
              </w:rPr>
              <w:t>2,106,749</w:t>
            </w:r>
          </w:p>
        </w:tc>
        <w:tc>
          <w:tcPr>
            <w:tcW w:w="0" w:type="dxa"/>
            <w:vAlign w:val="bottom"/>
          </w:tcPr>
          <w:p>
            <w:pPr>
              <w:spacing w:after="0"/>
              <w:rPr>
                <w:sz w:val="1"/>
                <w:szCs w:val="1"/>
                <w:color w:val="auto"/>
              </w:rPr>
            </w:pPr>
          </w:p>
        </w:tc>
      </w:tr>
      <w:tr>
        <w:trPr>
          <w:trHeight w:val="204"/>
        </w:trPr>
        <w:tc>
          <w:tcPr>
            <w:tcW w:w="5600" w:type="dxa"/>
            <w:vAlign w:val="bottom"/>
          </w:tcPr>
          <w:p>
            <w:pPr>
              <w:ind w:left="20"/>
              <w:spacing w:after="0" w:line="199" w:lineRule="exact"/>
              <w:rPr>
                <w:sz w:val="20"/>
                <w:szCs w:val="20"/>
                <w:color w:val="auto"/>
              </w:rPr>
            </w:pPr>
            <w:r>
              <w:rPr>
                <w:rFonts w:ascii="Arial" w:cs="Arial" w:eastAsia="Arial" w:hAnsi="Arial"/>
                <w:sz w:val="18"/>
                <w:szCs w:val="18"/>
                <w:color w:val="auto"/>
                <w:w w:val="89"/>
              </w:rPr>
              <w:t>recoverables on unpaid losses and loss adjustment expenses at end of period</w:t>
            </w:r>
          </w:p>
        </w:tc>
        <w:tc>
          <w:tcPr>
            <w:tcW w:w="3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Company experienced $44.1 million of net adverse reserve development in the three months ended September 30, 2021 on the reserve for losses and loss adjustment expenses held at December 31, 2020. This reserve development included $29.5 million of net adverse development in the Excess and Surplus Lines segment, $500,000 of net favorable development in the Specialty Admitted Insurance segment, and $15.1 million of net adverse development in the Casualty Reinsurance segment, primarily associated with treaties the Company has exited.</w:t>
      </w:r>
    </w:p>
    <w:p>
      <w:pPr>
        <w:spacing w:after="0" w:line="71"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On September 27, 2021, James River Insurance Company and James River Casualty Company (together, “James River”) entered into a loss portfolio transfer transaction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fully collateralized, not subject to an aggregate limit, and subject to certain exclusions. A pre-tax loss of $29.6 million was recognized as adverse loss and loss adjustment reserve development in the Excess and Surplus Lines segment for the third quarter of 2021 associated with the loss portfolio transfer, of which $15.8 million was related to claims handling costs. The $15.8 million claims handling costs constitutes James River’s contribution to the fees of an administrator appointed by James River and Aleka to handle the claims on the Rasier commercial auto policies for the remaining life of those claims, and unallocated loss adjustment expenses required to facilitate the transition of the claims to the administrator. The Company also experienced $5.0 million of net catastrophe losses in the current accident year for the three months ended September 30, 2021 related to Hurricane Ida. The losses were primarily in the Excess Property book in the Excess and Surplus Lines segment.</w:t>
      </w:r>
    </w:p>
    <w:p>
      <w:pPr>
        <w:spacing w:after="0" w:line="6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experienced $4.2 million of net adverse reserve development in the three months ended September 30, 2020 on the reserve for losses and loss adjustment expenses held at December 31, 2019. This reserve development included $27,000</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net adverse development in the Excess and Surplus Lines segment, $2.0 million of net favorable development in the Specialty Admitted Insurance segment due to favorable development in the workers' compensation business for prior accident years, and $6.2 million of net adverse development in the Casualty Reinsurance segment.</w:t>
      </w:r>
    </w:p>
    <w:p>
      <w:pPr>
        <w:spacing w:after="0" w:line="82" w:lineRule="exact"/>
        <w:rPr>
          <w:sz w:val="20"/>
          <w:szCs w:val="20"/>
          <w:color w:val="auto"/>
        </w:rPr>
      </w:pPr>
    </w:p>
    <w:p>
      <w:pPr>
        <w:jc w:val="both"/>
        <w:ind w:firstLine="319"/>
        <w:spacing w:after="0" w:line="280" w:lineRule="auto"/>
        <w:rPr>
          <w:sz w:val="20"/>
          <w:szCs w:val="20"/>
          <w:color w:val="auto"/>
        </w:rPr>
      </w:pPr>
      <w:r>
        <w:rPr>
          <w:rFonts w:ascii="Arial" w:cs="Arial" w:eastAsia="Arial" w:hAnsi="Arial"/>
          <w:sz w:val="16"/>
          <w:szCs w:val="16"/>
          <w:color w:val="auto"/>
        </w:rPr>
        <w:t>The Company experienced $210.8 million of net adverse reserve development in the nine months ended September 30, 2021 on the reserve for losses and loss adjustment expenses held at December 31, 2020. This reserve development included $190.7 million of net adverse development in the Excess and Surplus Lines segment including $200.1 million on commercial auto business, almost entirely related to a previously canceled account that has been in runoff since 2019. The reported losses on this terminated commercial auto account meaningfully exceeded our expectations for the three months ended March 31, 2021. We had expected that reported losses would decline as the account moved further into runoff, but the continued heavy reported loss emergence in the first quarter of 2021 indicated more inherent severity than anticipated. In response, we meaningfully adjusted our actuarial methodology, resulting in a significant strengthening of reserves for this account at March 31, 2021. In prior quarters, our actuarial work for this terminated commercial auto account had been based on industry data, pricing data, experience data, average claims severity data, and blended methodologies. However, the continuation of the highly elevated reported losses in the first quarter of 2021 led us to conclude that using only our own loss experience in our paid and incurred reserve projections rather than the array of inputs that we had used in prior quarters, and giving greater weight to incurred methods, would give us a better estimate of ultimate losses on this account. Loss emergence on the terminated commercial auto account in the second quarter was in line with our expectations, and accordingly, no additional reserve development was taken. In the third quarter, an additional $29.6 million was recognized as adverse loss and loss adjustment reserve development upon entering the loss portfolio transaction as described above, of which $15.8 million was related to claims handling costs. The Company also experienced $2.5 million of net favorable development in the Specialty Admitted Insurance segment, and $22.6 million of net adverse development in the Casualty Reinsurance segment, primarily associated with treaties the Company has exited. The Company also experienced $5.0 million of net catastrophe losses in the current accident year for the nine months ended September 30, 2021 related to Hurricane Ida. The losses were primarily in the Excess Property book in the Excess and Surplus Lines segment.</w:t>
      </w:r>
    </w:p>
    <w:p>
      <w:pPr>
        <w:spacing w:after="0" w:line="74"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Company experienced $6.2 million of net adverse reserve development in the nine months ended September 30, 2020 on the reserve for losses and loss adjustment expenses held at December 31, 2019. This reserve development included $2.8 million of net favorable development in the Excess and Surplus Lines segment, $4.0 million of net favorable development in the Specialty Admitted Insurance segment due to favorable development in the workers' compensation business for prior accident years, and $13.1 million of net adverse development in the Casualty Reinsurance segment.</w:t>
      </w:r>
    </w:p>
    <w:p>
      <w:pPr>
        <w:spacing w:after="0" w:line="50" w:lineRule="exact"/>
        <w:rPr>
          <w:sz w:val="20"/>
          <w:szCs w:val="20"/>
          <w:color w:val="auto"/>
        </w:rPr>
      </w:pPr>
    </w:p>
    <w:p>
      <w:pPr>
        <w:ind w:left="320" w:hanging="314"/>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Comprehensive (Loss) Income</w:t>
      </w:r>
    </w:p>
    <w:p>
      <w:pPr>
        <w:spacing w:after="0" w:line="118"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components of other comprehensive (loss)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60" w:type="dxa"/>
            <w:vAlign w:val="bottom"/>
            <w:gridSpan w:val="3"/>
          </w:tcPr>
          <w:p>
            <w:pPr>
              <w:jc w:val="right"/>
              <w:ind w:right="157"/>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2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77"/>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79"/>
        </w:trPr>
        <w:tc>
          <w:tcPr>
            <w:tcW w:w="5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177"/>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97"/>
              </w:rPr>
              <w:t>(in thousands)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Unrealized (losses) gains arising during the period, before U.S. income taxes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7"/>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6,274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54,722</w:t>
            </w: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(6,441)</w:t>
            </w: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Unrealized (losses) gains arising during the period, net of U.S.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48,281</w:t>
            </w: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Less reclassification adjustment: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investment gains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Reclassification adjustment for investment gains realized in net income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r>
        <w:trPr>
          <w:trHeight w:val="220"/>
        </w:trPr>
        <w:tc>
          <w:tcPr>
            <w:tcW w:w="560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657"/>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5,039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(38,789)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47,433</w:t>
            </w: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 xml:space="preserve">In addition to the $3.2 million and $4.3 million of net realized investment gains on available-for-sale fixed maturities for the three and nine </w:t>
      </w:r>
      <w:r>
        <w:rPr>
          <w:rFonts w:ascii="Arial" w:cs="Arial" w:eastAsia="Arial" w:hAnsi="Arial"/>
          <w:sz w:val="17"/>
          <w:szCs w:val="17"/>
          <w:color w:val="231F20"/>
        </w:rPr>
        <w:t>months ended</w:t>
      </w:r>
      <w:r>
        <w:rPr>
          <w:rFonts w:ascii="Arial" w:cs="Arial" w:eastAsia="Arial" w:hAnsi="Arial"/>
          <w:sz w:val="17"/>
          <w:szCs w:val="17"/>
          <w:color w:val="auto"/>
        </w:rPr>
        <w:t xml:space="preserve"> September 30, 2021</w:t>
      </w:r>
      <w:r>
        <w:rPr>
          <w:rFonts w:ascii="Arial" w:cs="Arial" w:eastAsia="Arial" w:hAnsi="Arial"/>
          <w:sz w:val="17"/>
          <w:szCs w:val="17"/>
          <w:color w:val="231F20"/>
        </w:rPr>
        <w:t>, respectively (</w:t>
      </w:r>
      <w:r>
        <w:rPr>
          <w:rFonts w:ascii="Arial" w:cs="Arial" w:eastAsia="Arial" w:hAnsi="Arial"/>
          <w:sz w:val="17"/>
          <w:szCs w:val="17"/>
          <w:color w:val="auto"/>
        </w:rPr>
        <w:t xml:space="preserve">$386,000 and $905,000 of net realized investment gains for the three and nine </w:t>
      </w:r>
      <w:r>
        <w:rPr>
          <w:rFonts w:ascii="Arial" w:cs="Arial" w:eastAsia="Arial" w:hAnsi="Arial"/>
          <w:sz w:val="17"/>
          <w:szCs w:val="17"/>
          <w:color w:val="231F20"/>
        </w:rPr>
        <w:t>months ended September 30, 2020,</w:t>
      </w:r>
      <w:r>
        <w:rPr>
          <w:rFonts w:ascii="Arial" w:cs="Arial" w:eastAsia="Arial" w:hAnsi="Arial"/>
          <w:sz w:val="17"/>
          <w:szCs w:val="17"/>
          <w:color w:val="auto"/>
        </w:rPr>
        <w:t xml:space="preserve"> </w:t>
      </w:r>
      <w:r>
        <w:rPr>
          <w:rFonts w:ascii="Arial" w:cs="Arial" w:eastAsia="Arial" w:hAnsi="Arial"/>
          <w:sz w:val="17"/>
          <w:szCs w:val="17"/>
          <w:color w:val="231F20"/>
        </w:rPr>
        <w:t>respectively)</w:t>
      </w:r>
      <w:r>
        <w:rPr>
          <w:rFonts w:ascii="Arial" w:cs="Arial" w:eastAsia="Arial" w:hAnsi="Arial"/>
          <w:sz w:val="17"/>
          <w:szCs w:val="17"/>
          <w:color w:val="000000"/>
        </w:rPr>
        <w:t>, the Company also recognized net realized and unrealized investment gains (losses) of $195,000 and $6.0 million in the respective periods on its</w:t>
      </w:r>
      <w:r>
        <w:rPr>
          <w:rFonts w:ascii="Arial" w:cs="Arial" w:eastAsia="Arial" w:hAnsi="Arial"/>
          <w:sz w:val="17"/>
          <w:szCs w:val="17"/>
          <w:color w:val="231F20"/>
        </w:rPr>
        <w:t xml:space="preserve"> </w:t>
      </w:r>
      <w:r>
        <w:rPr>
          <w:rFonts w:ascii="Arial" w:cs="Arial" w:eastAsia="Arial" w:hAnsi="Arial"/>
          <w:sz w:val="17"/>
          <w:szCs w:val="17"/>
          <w:color w:val="000000"/>
        </w:rPr>
        <w:t>investments in bank loan participations ($6.3 million and $(21.8) million in the respective prior year periods) and $641,000 and $3.4 million in the respective periods on its investments in equity securities ($2.4 million and $(7.1) million in the respective prior year periods).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 w:hanging="434"/>
        <w:spacing w:after="0"/>
        <w:tabs>
          <w:tab w:leader="none" w:pos="4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Contingent Liabilities</w:t>
      </w:r>
    </w:p>
    <w:p>
      <w:pPr>
        <w:spacing w:after="0" w:line="118"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Company is involved in various legal proceedings, including commercial matters and litigation regarding insurance claims arising in the ordinary course of business as well as an alleged class action lawsuit. The Company believes that the outcome of such matters, individually and in the aggregate, is not reasonably likely to have a material adverse effect on its consolidated financial position, results of operations or cash flows.</w:t>
      </w:r>
    </w:p>
    <w:p>
      <w:pPr>
        <w:spacing w:after="0" w:line="65" w:lineRule="exact"/>
        <w:rPr>
          <w:sz w:val="20"/>
          <w:szCs w:val="20"/>
          <w:color w:val="auto"/>
        </w:rPr>
      </w:pPr>
    </w:p>
    <w:p>
      <w:pPr>
        <w:jc w:val="both"/>
        <w:ind w:firstLine="319"/>
        <w:spacing w:after="0" w:line="296" w:lineRule="auto"/>
        <w:rPr>
          <w:sz w:val="20"/>
          <w:szCs w:val="20"/>
          <w:color w:val="auto"/>
        </w:rPr>
      </w:pPr>
      <w:r>
        <w:rPr>
          <w:rFonts w:ascii="Arial" w:cs="Arial" w:eastAsia="Arial" w:hAnsi="Arial"/>
          <w:sz w:val="17"/>
          <w:szCs w:val="17"/>
          <w:color w:val="auto"/>
        </w:rPr>
        <w:t>For a description of the potential future impacts of COVID-19 on the Company, see the “The global coronavirus outbreak could harm business and results of operations of the Company” risk factor in Part I—Item IA in our Annual Report on Form 10-K for the year ended December 31, 2020.</w:t>
      </w:r>
    </w:p>
    <w:p>
      <w:pPr>
        <w:spacing w:after="0" w:line="50"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JRG Re has entered into three letter of credit facilities with banks as security to third-party reinsureds on reinsurance assumed by JRG Re. JRG Re has established custodial accounts to secure these letters of credit. Under a $75.0 million facility, $6.4 million of letters of credit were issued through September 30, 2021 which were secured by deposits of $9.6 million. Under a $102.5 million facility, $45.9 million of letters of credit were issued through September 30, 2021 which were secured by deposits of $61.5 million. Under a $100.0 million facility, $14.0 million of letters of credit were issued through September 30, 2021 which were secured by deposits of $28.3 million. JRG Re has also established trust accounts to secure its obligations to selected reinsureds. The total amount deposited in the trust accounts for the benefit of third-party reinsureds was $359.5 million at September 30, 2021.</w:t>
      </w:r>
    </w:p>
    <w:p>
      <w:pPr>
        <w:spacing w:after="0" w:line="63"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James River previously issued a set of insurance contracts to Rasier under which James River pays losses and loss adjustment expenses on the contracts. James River has indemnity agreements with Rasier (non-insurance entities) and is contractually entitled to reimbursement for a significant portion of the losses and loss adjustment expenses paid on behalf of Rasier and other expenses incurred by James River. Rasier is required to collateralize amounts currently due to James River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conjunction with the LPT Transaction described below, James River returned $691.3 million to the Indemnity Trust, representing the remaining balance of the amount withdrawn in October 2019, as was permitted under the indemnification agreements with Rasier and the associated trust agreement, and previously held on our balance sheet. As of September 30, 2021, the cash equivalent collateral held in the Indemnity Trust was $691.1 million.</w:t>
      </w:r>
    </w:p>
    <w:p>
      <w:pPr>
        <w:spacing w:after="0" w:line="62"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On September 27, 2021, James River entered into a loss portfolio transfer transaction (the “LPT Transaction”) with Aleka to reinsure substantially all of the Excess and Surplus Lines segment's legacy portfolio of commercial auto policies previously issued to Raiser for which James River is not otherwise indemnified by Rasier. Under the terms of the LPT Transaction, effective as of July 1, 2021, James River ceded to Aleka approximately $345.1 million of</w:t>
      </w:r>
    </w:p>
    <w:p>
      <w:pPr>
        <w:spacing w:after="0" w:line="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commercial auto liabilities relating to Rasier policies written in the years 2013-2019, which amount constituted the reinsurance premium. Aleka is required to post collateral equal to 102% of James River’s estimate of Aleka’s obligations under the reinsurance agreement, calculated in accordance with statutory accounting principles. The collateral is provided through a collateral trust arrangement (the “LPT Trust”) established in favor of James River by Aleka. The balance in the LPT Trust at September 30, 2021 is $309.6 million securing total reinsurance recoverables of $305.8 million (including $292.1 million of unpaid recoverables and $13.7 million of paid recoverables) associated with the LPT Transaction.</w:t>
      </w:r>
    </w:p>
    <w:p>
      <w:pPr>
        <w:spacing w:after="0" w:line="7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As part of the LPT Transaction, James River and Aleka entered into an administrative services agreement with a third party claims administrator pursuant to which the administrator will handle the claims on the Rasier commercial auto policies for the remaining life of those claims following a transition period. The claims paid by the claims manager are reimbursable by James River, and pursuant to the terms of the administrative services agreement James River established a loss fund trust account for the benefit of the claims manager (the “Loss Fund Trust”) to collateralize its claims payment reimbursement</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obligations. James River will fund the Loss Fund Trust using funds withdrawn from the Indemnity Trust, funds withdrawn from the LPT Trust, and its own funds, in each case in an amount equal to the pro rata portion of the required Loss Fund Trust balance attributable to the Rasier indemnity agreements, the LPT Transaction and James River’s existing third party reinsurance agreements, respectively. As of September 30, 2021, in accordance with the administrative services agreement, the Company posted $10.0 million as collateral for the claims paid by the administrator, including $6.8 million of which represents collateral supporting Rasier’s obligations under the indemnity agreements and $2.8 million of which represents collateral supporting Aleka’s obligations under the under the LPT Transaction. The $10.0 million collateral is classified as restricted cash equivalents on the Company’s balance sheet at September 30, 2021.</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On July 9, 2021 a purported class action lawsuit was filed in US District Court, Eastern District of Virginia (the “Court”) by Employees’ Retirement Fund of the City of Fort Worth against James River Group Holdings, Ltd. and certain of its present and former officers (together, “Defendants”) asserting claims under Sections 10(b) and 20(a) of the Securities Exchange Act of 1934 on behalf of a putative class of persons and entities that purchased the Company’s stock between August 1, 2019 and May 5, 2021 (the “Complaint”). The Complaint alleges that Defendants failed to make appropriate disclosures concerning the adequacy of reserves for policies that covered Rasier LLC, a subsidiary of Uber Technologies, Inc. On September 22, 2021, the Court entered an order appointing Employees’ Retirement Fund of the City of Fort Worth and the City of Miami General Employees’ and Sanitation Employees’ Retirement Trust as co-lead plaintiffs (together, “Plaintiffs”). Plaintiffs’ consolidated amended complaint is due to be filed on November 19, 2021. We believe that Plaintiffs’ claims are without merit and we intend to vigorously defend this lawsuit.</w:t>
      </w:r>
    </w:p>
    <w:p>
      <w:pPr>
        <w:spacing w:after="0" w:line="6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Information</w:t>
      </w:r>
    </w:p>
    <w:p>
      <w:pPr>
        <w:spacing w:after="0" w:line="118"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Company has four reportable segments: the Excess and Surplus Lines segment, the Specialty Admitted Insurance segment, the Casualty Reinsurance segment, and the Corporate and Other segment. Segment profit (loss) is measured by underwriting profit (loss), which is generally defined as net earned premiums and gross fee income (in specific instances when the Company is not retaining insurance risk) in “other income” in the condensed consolidated statements of (loss) income and comprehensive (loss) income less loss and loss adjustment expenses and other operating expenses of the operating segments. Segment results are reported prior to the effects of intercompany reinsurance agreements among the Company’s insurance subsidiaries.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fee income included in other income and underwriting (loss) profit is summarized in the table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320" w:type="dxa"/>
            <w:vAlign w:val="bottom"/>
            <w:gridSpan w:val="4"/>
          </w:tcPr>
          <w:p>
            <w:pPr>
              <w:jc w:val="right"/>
              <w:ind w:right="19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197"/>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4"/>
                <w:szCs w:val="14"/>
                <w:color w:val="auto"/>
              </w:rPr>
            </w:pPr>
          </w:p>
        </w:tc>
      </w:tr>
      <w:tr>
        <w:trPr>
          <w:trHeight w:val="185"/>
        </w:trPr>
        <w:tc>
          <w:tcPr>
            <w:tcW w:w="5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r>
      <w:tr>
        <w:trPr>
          <w:trHeight w:val="179"/>
        </w:trPr>
        <w:tc>
          <w:tcPr>
            <w:tcW w:w="56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177"/>
        </w:trPr>
        <w:tc>
          <w:tcPr>
            <w:tcW w:w="5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4"/>
                <w:szCs w:val="14"/>
                <w:b w:val="1"/>
                <w:bCs w:val="1"/>
                <w:i w:val="1"/>
                <w:iCs w:val="1"/>
                <w:color w:val="auto"/>
                <w:w w:val="93"/>
              </w:rPr>
              <w:t>(in thousands)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84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1,571</w:t>
            </w: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Specialty Admitted Insurance</w:t>
            </w: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1,022</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2,903</w:t>
            </w:r>
          </w:p>
        </w:tc>
        <w:tc>
          <w:tcPr>
            <w:tcW w:w="1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1,147</w:t>
            </w:r>
          </w:p>
        </w:tc>
      </w:tr>
      <w:tr>
        <w:trPr>
          <w:trHeight w:val="24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1,022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7"/>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2,903</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2,718</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segment results: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73"/>
              <w:spacing w:after="0"/>
              <w:rPr>
                <w:sz w:val="20"/>
                <w:szCs w:val="20"/>
                <w:color w:val="auto"/>
              </w:rPr>
            </w:pPr>
            <w:r>
              <w:rPr>
                <w:rFonts w:ascii="Arial" w:cs="Arial" w:eastAsia="Arial" w:hAnsi="Arial"/>
                <w:sz w:val="14"/>
                <w:szCs w:val="14"/>
                <w:b w:val="1"/>
                <w:bCs w:val="1"/>
                <w:color w:val="auto"/>
                <w:w w:val="85"/>
              </w:rPr>
              <w:t>Excess and</w:t>
            </w:r>
          </w:p>
        </w:tc>
        <w:tc>
          <w:tcPr>
            <w:tcW w:w="300" w:type="dxa"/>
            <w:vAlign w:val="bottom"/>
          </w:tcPr>
          <w:p>
            <w:pPr>
              <w:spacing w:after="0"/>
              <w:rPr>
                <w:sz w:val="14"/>
                <w:szCs w:val="14"/>
                <w:color w:val="auto"/>
              </w:rPr>
            </w:pPr>
          </w:p>
        </w:tc>
        <w:tc>
          <w:tcPr>
            <w:tcW w:w="1120" w:type="dxa"/>
            <w:vAlign w:val="bottom"/>
          </w:tcPr>
          <w:p>
            <w:pPr>
              <w:jc w:val="center"/>
              <w:ind w:right="173"/>
              <w:spacing w:after="0"/>
              <w:rPr>
                <w:sz w:val="20"/>
                <w:szCs w:val="20"/>
                <w:color w:val="auto"/>
              </w:rPr>
            </w:pPr>
            <w:r>
              <w:rPr>
                <w:rFonts w:ascii="Arial" w:cs="Arial" w:eastAsia="Arial" w:hAnsi="Arial"/>
                <w:sz w:val="14"/>
                <w:szCs w:val="14"/>
                <w:b w:val="1"/>
                <w:bCs w:val="1"/>
                <w:color w:val="auto"/>
                <w:w w:val="87"/>
              </w:rPr>
              <w:t>Specialty</w:t>
            </w:r>
          </w:p>
        </w:tc>
        <w:tc>
          <w:tcPr>
            <w:tcW w:w="260" w:type="dxa"/>
            <w:vAlign w:val="bottom"/>
          </w:tcPr>
          <w:p>
            <w:pPr>
              <w:spacing w:after="0"/>
              <w:rPr>
                <w:sz w:val="14"/>
                <w:szCs w:val="14"/>
                <w:color w:val="auto"/>
              </w:rPr>
            </w:pPr>
          </w:p>
        </w:tc>
        <w:tc>
          <w:tcPr>
            <w:tcW w:w="1200" w:type="dxa"/>
            <w:vAlign w:val="bottom"/>
            <w:vMerge w:val="restart"/>
          </w:tcPr>
          <w:p>
            <w:pPr>
              <w:jc w:val="center"/>
              <w:ind w:right="133"/>
              <w:spacing w:after="0"/>
              <w:rPr>
                <w:sz w:val="20"/>
                <w:szCs w:val="20"/>
                <w:color w:val="auto"/>
              </w:rPr>
            </w:pPr>
            <w:r>
              <w:rPr>
                <w:rFonts w:ascii="Arial" w:cs="Arial" w:eastAsia="Arial" w:hAnsi="Arial"/>
                <w:sz w:val="14"/>
                <w:szCs w:val="14"/>
                <w:b w:val="1"/>
                <w:bCs w:val="1"/>
                <w:color w:val="auto"/>
                <w:w w:val="92"/>
              </w:rPr>
              <w:t>Casualty</w:t>
            </w:r>
          </w:p>
        </w:tc>
        <w:tc>
          <w:tcPr>
            <w:tcW w:w="280" w:type="dxa"/>
            <w:vAlign w:val="bottom"/>
          </w:tcPr>
          <w:p>
            <w:pPr>
              <w:spacing w:after="0"/>
              <w:rPr>
                <w:sz w:val="14"/>
                <w:szCs w:val="14"/>
                <w:color w:val="auto"/>
              </w:rPr>
            </w:pPr>
          </w:p>
        </w:tc>
        <w:tc>
          <w:tcPr>
            <w:tcW w:w="114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Corporate</w:t>
            </w: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73"/>
              <w:spacing w:after="0" w:line="133" w:lineRule="exact"/>
              <w:rPr>
                <w:sz w:val="20"/>
                <w:szCs w:val="20"/>
                <w:color w:val="auto"/>
              </w:rPr>
            </w:pPr>
            <w:r>
              <w:rPr>
                <w:rFonts w:ascii="Arial" w:cs="Arial" w:eastAsia="Arial" w:hAnsi="Arial"/>
                <w:sz w:val="14"/>
                <w:szCs w:val="14"/>
                <w:b w:val="1"/>
                <w:bCs w:val="1"/>
                <w:color w:val="auto"/>
                <w:w w:val="88"/>
              </w:rPr>
              <w:t>Surplus</w:t>
            </w:r>
          </w:p>
        </w:tc>
        <w:tc>
          <w:tcPr>
            <w:tcW w:w="300" w:type="dxa"/>
            <w:vAlign w:val="bottom"/>
          </w:tcPr>
          <w:p>
            <w:pPr>
              <w:spacing w:after="0"/>
              <w:rPr>
                <w:sz w:val="11"/>
                <w:szCs w:val="11"/>
                <w:color w:val="auto"/>
              </w:rPr>
            </w:pPr>
          </w:p>
        </w:tc>
        <w:tc>
          <w:tcPr>
            <w:tcW w:w="1120" w:type="dxa"/>
            <w:vAlign w:val="bottom"/>
          </w:tcPr>
          <w:p>
            <w:pPr>
              <w:jc w:val="center"/>
              <w:ind w:right="173"/>
              <w:spacing w:after="0" w:line="133" w:lineRule="exact"/>
              <w:rPr>
                <w:sz w:val="20"/>
                <w:szCs w:val="20"/>
                <w:color w:val="auto"/>
              </w:rPr>
            </w:pPr>
            <w:r>
              <w:rPr>
                <w:rFonts w:ascii="Arial" w:cs="Arial" w:eastAsia="Arial" w:hAnsi="Arial"/>
                <w:sz w:val="14"/>
                <w:szCs w:val="14"/>
                <w:b w:val="1"/>
                <w:bCs w:val="1"/>
                <w:color w:val="auto"/>
                <w:w w:val="95"/>
              </w:rPr>
              <w:t>Admitted</w:t>
            </w:r>
          </w:p>
        </w:tc>
        <w:tc>
          <w:tcPr>
            <w:tcW w:w="2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center"/>
              <w:ind w:right="173"/>
              <w:spacing w:after="0" w:line="133" w:lineRule="exact"/>
              <w:rPr>
                <w:sz w:val="20"/>
                <w:szCs w:val="20"/>
                <w:color w:val="auto"/>
              </w:rPr>
            </w:pPr>
            <w:r>
              <w:rPr>
                <w:rFonts w:ascii="Arial" w:cs="Arial" w:eastAsia="Arial" w:hAnsi="Arial"/>
                <w:sz w:val="14"/>
                <w:szCs w:val="14"/>
                <w:b w:val="1"/>
                <w:bCs w:val="1"/>
                <w:color w:val="auto"/>
                <w:w w:val="96"/>
              </w:rPr>
              <w:t>and</w:t>
            </w:r>
          </w:p>
        </w:tc>
        <w:tc>
          <w:tcPr>
            <w:tcW w:w="38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Lines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3"/>
              </w:rPr>
              <w:t>Insurance</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0"/>
              </w:rPr>
              <w:t>Reinsurance</w:t>
            </w: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Other</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center"/>
              <w:ind w:right="153"/>
              <w:spacing w:after="0"/>
              <w:rPr>
                <w:sz w:val="20"/>
                <w:szCs w:val="20"/>
                <w:color w:val="auto"/>
              </w:rPr>
            </w:pPr>
            <w:r>
              <w:rPr>
                <w:rFonts w:ascii="Arial" w:cs="Arial" w:eastAsia="Arial" w:hAnsi="Arial"/>
                <w:sz w:val="14"/>
                <w:szCs w:val="14"/>
                <w:b w:val="1"/>
                <w:bCs w:val="1"/>
                <w:i w:val="1"/>
                <w:iCs w:val="1"/>
                <w:color w:val="auto"/>
                <w:w w:val="87"/>
              </w:rPr>
              <w:t>(in thousands)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217,673</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121,175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7,751</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346,599</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119,760</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19,704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31,144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170,608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(loss) profit of insurance segments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(21,527)</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3,084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(11,911)</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(30,354)</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4,678</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9,699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2,227</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2,227</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127,603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21,009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42,167</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190,993</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1,835,108</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1,053,286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1,871,846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23,859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4,784,099</w:t>
            </w:r>
          </w:p>
        </w:tc>
        <w:tc>
          <w:tcPr>
            <w:tcW w:w="0" w:type="dxa"/>
            <w:vAlign w:val="bottom"/>
          </w:tcPr>
          <w:p>
            <w:pPr>
              <w:spacing w:after="0"/>
              <w:rPr>
                <w:sz w:val="1"/>
                <w:szCs w:val="1"/>
                <w:color w:val="auto"/>
              </w:rPr>
            </w:pPr>
          </w:p>
        </w:tc>
      </w:tr>
      <w:tr>
        <w:trPr>
          <w:trHeight w:val="253"/>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179,458</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112,589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19,805</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311,852</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104,933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14,985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33,044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152,962</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(loss) of insurance segments</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15,581</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1,859</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16,751</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3,751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10,033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14,959</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2,129</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112,800</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16,843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47,385</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437</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2,243,065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877,619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1,806,341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57,328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4,984,353</w:t>
            </w:r>
          </w:p>
        </w:tc>
        <w:tc>
          <w:tcPr>
            <w:tcW w:w="0" w:type="dxa"/>
            <w:vAlign w:val="bottom"/>
          </w:tcPr>
          <w:p>
            <w:pPr>
              <w:spacing w:after="0"/>
              <w:rPr>
                <w:sz w:val="1"/>
                <w:szCs w:val="1"/>
                <w:color w:val="auto"/>
              </w:rPr>
            </w:pPr>
          </w:p>
        </w:tc>
      </w:tr>
      <w:tr>
        <w:trPr>
          <w:trHeight w:val="253"/>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613,045</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377,400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109,555</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351,413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54,656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97,837</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503,906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(loss) profit of insurance segments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(145,556)</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6,488</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(16,857)</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(155,925)</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11,857</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2,342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29,962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44,726</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6,692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370,417</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60,667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133,671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565,540</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1,835,108</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1,053,286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1,871,846</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23,859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4,784,099</w:t>
            </w:r>
          </w:p>
        </w:tc>
        <w:tc>
          <w:tcPr>
            <w:tcW w:w="0" w:type="dxa"/>
            <w:vAlign w:val="bottom"/>
          </w:tcPr>
          <w:p>
            <w:pPr>
              <w:spacing w:after="0"/>
              <w:rPr>
                <w:sz w:val="1"/>
                <w:szCs w:val="1"/>
                <w:color w:val="auto"/>
              </w:rPr>
            </w:pPr>
          </w:p>
        </w:tc>
      </w:tr>
      <w:tr>
        <w:trPr>
          <w:trHeight w:val="253"/>
        </w:trPr>
        <w:tc>
          <w:tcPr>
            <w:tcW w:w="4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Gross written premiums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502,649</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303,831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90,852</w:t>
            </w:r>
          </w:p>
        </w:tc>
        <w:tc>
          <w:tcPr>
            <w:tcW w:w="2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897,332</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305,521</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42,660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99,514</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447,695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Underwriting profit (loss) of insurance segments</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39,788</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2,301</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(3,119)</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38,970</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15,028</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2,547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32,171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1,399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51,145</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7,970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309,972</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45,386</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117,459</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1,681</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474,498</w:t>
            </w:r>
          </w:p>
        </w:tc>
        <w:tc>
          <w:tcPr>
            <w:tcW w:w="0" w:type="dxa"/>
            <w:vAlign w:val="bottom"/>
          </w:tcPr>
          <w:p>
            <w:pPr>
              <w:spacing w:after="0"/>
              <w:rPr>
                <w:sz w:val="1"/>
                <w:szCs w:val="1"/>
                <w:color w:val="auto"/>
              </w:rPr>
            </w:pPr>
          </w:p>
        </w:tc>
      </w:tr>
      <w:tr>
        <w:trPr>
          <w:trHeight w:val="225"/>
        </w:trPr>
        <w:tc>
          <w:tcPr>
            <w:tcW w:w="4160" w:type="dxa"/>
            <w:vAlign w:val="bottom"/>
          </w:tcPr>
          <w:p>
            <w:pPr>
              <w:ind w:left="20"/>
              <w:spacing w:after="0"/>
              <w:rPr>
                <w:sz w:val="20"/>
                <w:szCs w:val="20"/>
                <w:color w:val="auto"/>
              </w:rPr>
            </w:pPr>
            <w:r>
              <w:rPr>
                <w:rFonts w:ascii="Arial" w:cs="Arial" w:eastAsia="Arial" w:hAnsi="Arial"/>
                <w:sz w:val="18"/>
                <w:szCs w:val="18"/>
                <w:color w:val="auto"/>
              </w:rPr>
              <w:t>Segment goodwill</w:t>
            </w:r>
          </w:p>
        </w:tc>
        <w:tc>
          <w:tcPr>
            <w:tcW w:w="220" w:type="dxa"/>
            <w:vAlign w:val="bottom"/>
          </w:tcPr>
          <w:p>
            <w:pPr>
              <w:spacing w:after="0"/>
              <w:rPr>
                <w:sz w:val="19"/>
                <w:szCs w:val="19"/>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181,831</w:t>
            </w:r>
          </w:p>
        </w:tc>
        <w:tc>
          <w:tcPr>
            <w:tcW w:w="30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181,831</w:t>
            </w:r>
          </w:p>
        </w:tc>
        <w:tc>
          <w:tcPr>
            <w:tcW w:w="0" w:type="dxa"/>
            <w:vAlign w:val="bottom"/>
          </w:tcPr>
          <w:p>
            <w:pPr>
              <w:spacing w:after="0"/>
              <w:rPr>
                <w:sz w:val="1"/>
                <w:szCs w:val="1"/>
                <w:color w:val="auto"/>
              </w:rPr>
            </w:pPr>
          </w:p>
        </w:tc>
      </w:tr>
      <w:tr>
        <w:trPr>
          <w:trHeight w:val="227"/>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2,243,065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877,619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1,806,341</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57,328</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4,984,353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right="540" w:firstLine="319"/>
        <w:spacing w:after="0" w:line="266" w:lineRule="auto"/>
        <w:rPr>
          <w:sz w:val="20"/>
          <w:szCs w:val="20"/>
          <w:color w:val="auto"/>
        </w:rPr>
      </w:pPr>
      <w:r>
        <w:rPr>
          <w:rFonts w:ascii="Arial" w:cs="Arial" w:eastAsia="Arial" w:hAnsi="Arial"/>
          <w:sz w:val="18"/>
          <w:szCs w:val="18"/>
          <w:color w:val="auto"/>
        </w:rPr>
        <w:t>The following table reconciles the underwriting (loss) profit of the operating segments by individual segment to consolidated (loss) income before income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2320" w:type="dxa"/>
            <w:vAlign w:val="bottom"/>
            <w:gridSpan w:val="4"/>
          </w:tcPr>
          <w:p>
            <w:pPr>
              <w:jc w:val="center"/>
              <w:ind w:right="353"/>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(loss) profit of the insurance segments: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(21,527)</w:t>
            </w:r>
          </w:p>
        </w:tc>
        <w:tc>
          <w:tcPr>
            <w:tcW w:w="10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15,581</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(145,556)</w:t>
            </w:r>
          </w:p>
        </w:tc>
        <w:tc>
          <w:tcPr>
            <w:tcW w:w="12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39,788</w:t>
            </w:r>
          </w:p>
        </w:tc>
        <w:tc>
          <w:tcPr>
            <w:tcW w:w="0" w:type="dxa"/>
            <w:vAlign w:val="bottom"/>
          </w:tcPr>
          <w:p>
            <w:pPr>
              <w:spacing w:after="0"/>
              <w:rPr>
                <w:sz w:val="1"/>
                <w:szCs w:val="1"/>
                <w:color w:val="auto"/>
              </w:rPr>
            </w:pP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(loss) profit of insurance segments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38,970</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(23,556)</w:t>
            </w:r>
          </w:p>
        </w:tc>
        <w:tc>
          <w:tcPr>
            <w:tcW w:w="0" w:type="dxa"/>
            <w:vAlign w:val="bottom"/>
          </w:tcPr>
          <w:p>
            <w:pPr>
              <w:spacing w:after="0"/>
              <w:rPr>
                <w:sz w:val="1"/>
                <w:szCs w:val="1"/>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(loss) profit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51,145</w:t>
            </w:r>
          </w:p>
        </w:tc>
        <w:tc>
          <w:tcPr>
            <w:tcW w:w="0" w:type="dxa"/>
            <w:vAlign w:val="bottom"/>
          </w:tcPr>
          <w:p>
            <w:pPr>
              <w:spacing w:after="0"/>
              <w:rPr>
                <w:sz w:val="1"/>
                <w:szCs w:val="1"/>
                <w:color w:val="auto"/>
              </w:rPr>
            </w:pP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(27,885)</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7"/>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25"/>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4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(129,647)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9.  Other Operating Expenses and Other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4"/>
        </w:trPr>
        <w:tc>
          <w:tcPr>
            <w:tcW w:w="5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600" w:type="dxa"/>
            <w:vAlign w:val="bottom"/>
          </w:tcPr>
          <w:p>
            <w:pPr>
              <w:ind w:left="320"/>
              <w:spacing w:after="0"/>
              <w:rPr>
                <w:sz w:val="20"/>
                <w:szCs w:val="20"/>
                <w:color w:val="auto"/>
              </w:rPr>
            </w:pPr>
            <w:r>
              <w:rPr>
                <w:rFonts w:ascii="Arial" w:cs="Arial" w:eastAsia="Arial" w:hAnsi="Arial"/>
                <w:sz w:val="18"/>
                <w:szCs w:val="18"/>
                <w:color w:val="auto"/>
              </w:rPr>
              <w:t>Other operating expenses consist of the following:</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23"/>
                <w:szCs w:val="23"/>
                <w:color w:val="auto"/>
              </w:rPr>
            </w:pPr>
          </w:p>
        </w:tc>
        <w:tc>
          <w:tcPr>
            <w:tcW w:w="2320" w:type="dxa"/>
            <w:vAlign w:val="bottom"/>
            <w:gridSpan w:val="4"/>
          </w:tcPr>
          <w:p>
            <w:pPr>
              <w:jc w:val="center"/>
              <w:ind w:right="353"/>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62,406</w:t>
            </w:r>
          </w:p>
        </w:tc>
        <w:tc>
          <w:tcPr>
            <w:tcW w:w="0" w:type="dxa"/>
            <w:vAlign w:val="bottom"/>
          </w:tcPr>
          <w:p>
            <w:pPr>
              <w:spacing w:after="0"/>
              <w:rPr>
                <w:sz w:val="1"/>
                <w:szCs w:val="1"/>
                <w:color w:val="auto"/>
              </w:rPr>
            </w:pP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Other underwriting expenses of the operating segments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48,326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47,280</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23,556</w:t>
            </w:r>
          </w:p>
        </w:tc>
        <w:tc>
          <w:tcPr>
            <w:tcW w:w="0" w:type="dxa"/>
            <w:vAlign w:val="bottom"/>
          </w:tcPr>
          <w:p>
            <w:pPr>
              <w:spacing w:after="0"/>
              <w:rPr>
                <w:sz w:val="1"/>
                <w:szCs w:val="1"/>
                <w:color w:val="auto"/>
              </w:rPr>
            </w:pPr>
          </w:p>
        </w:tc>
      </w:tr>
      <w:tr>
        <w:trPr>
          <w:trHeight w:val="220"/>
        </w:trPr>
        <w:tc>
          <w:tcPr>
            <w:tcW w:w="560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136,414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133,242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 xml:space="preserve">Other expenses of $706,000 and $2.2 million for the three and nine </w:t>
      </w:r>
      <w:r>
        <w:rPr>
          <w:rFonts w:ascii="Arial" w:cs="Arial" w:eastAsia="Arial" w:hAnsi="Arial"/>
          <w:sz w:val="18"/>
          <w:szCs w:val="18"/>
          <w:color w:val="231F20"/>
        </w:rPr>
        <w:t>months ended September 30, 2021</w:t>
      </w:r>
      <w:r>
        <w:rPr>
          <w:rFonts w:ascii="Arial" w:cs="Arial" w:eastAsia="Arial" w:hAnsi="Arial"/>
          <w:sz w:val="18"/>
          <w:szCs w:val="18"/>
          <w:color w:val="auto"/>
        </w:rPr>
        <w:t xml:space="preserve"> include employee severance costs, legal and other professional fees related to the Company’s May 2021 common share offering, and certain legal and professional consulting fees related to various strategic initiatives. Other expenses of $60,000 and $1.8 million for the three and nine </w:t>
      </w:r>
      <w:r>
        <w:rPr>
          <w:rFonts w:ascii="Arial" w:cs="Arial" w:eastAsia="Arial" w:hAnsi="Arial"/>
          <w:sz w:val="18"/>
          <w:szCs w:val="18"/>
          <w:color w:val="231F20"/>
        </w:rPr>
        <w:t>months ended September 30, 2020 primarily</w:t>
      </w:r>
      <w:r>
        <w:rPr>
          <w:rFonts w:ascii="Arial" w:cs="Arial" w:eastAsia="Arial" w:hAnsi="Arial"/>
          <w:sz w:val="18"/>
          <w:szCs w:val="18"/>
          <w:color w:val="auto"/>
        </w:rPr>
        <w:t xml:space="preserve"> consist of employee severance costs.</w:t>
      </w:r>
    </w:p>
    <w:p>
      <w:pPr>
        <w:spacing w:after="0" w:line="7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Fair Value Measurements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Three levels of inputs are used to measure fair value of financial instruments: (1) Level 1: quoted price (unadjusted) in active markets for identical assets,</w:t>
      </w:r>
    </w:p>
    <w:p>
      <w:pPr>
        <w:spacing w:after="0" w:line="40" w:lineRule="exact"/>
        <w:rPr>
          <w:sz w:val="20"/>
          <w:szCs w:val="20"/>
          <w:color w:val="auto"/>
        </w:rPr>
      </w:pPr>
    </w:p>
    <w:p>
      <w:pPr>
        <w:jc w:val="both"/>
        <w:ind w:firstLine="6"/>
        <w:spacing w:after="0" w:line="250" w:lineRule="auto"/>
        <w:tabs>
          <w:tab w:leader="none" w:pos="2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8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73"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Arial" w:cs="Arial" w:eastAsia="Arial" w:hAnsi="Arial"/>
          <w:sz w:val="16"/>
          <w:szCs w:val="16"/>
          <w:i w:val="1"/>
          <w:iCs w:val="1"/>
          <w:color w:val="auto"/>
        </w:rPr>
        <w:t>e.g.</w:t>
      </w:r>
      <w:r>
        <w:rPr>
          <w:rFonts w:ascii="Arial" w:cs="Arial" w:eastAsia="Arial" w:hAnsi="Arial"/>
          <w:sz w:val="16"/>
          <w:szCs w:val="16"/>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2019.</w:t>
      </w:r>
    </w:p>
    <w:p>
      <w:pPr>
        <w:spacing w:after="0" w:line="82"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measured at fair value on a recurring basis as of September 30, 2021 are summarized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Fair Value Measurements Using</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8"/>
              </w:rPr>
              <w:t>Quoted Prices</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9"/>
              </w:rPr>
              <w:t>in Active</w:t>
            </w: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Significant</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5"/>
              </w:rPr>
              <w:t>Markets for</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Identical</w:t>
            </w: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1"/>
                <w:szCs w:val="11"/>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1</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3</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60" w:type="dxa"/>
            <w:vAlign w:val="bottom"/>
            <w:gridSpan w:val="5"/>
          </w:tcPr>
          <w:p>
            <w:pPr>
              <w:jc w:val="center"/>
              <w:ind w:right="320"/>
              <w:spacing w:after="0"/>
              <w:rPr>
                <w:sz w:val="20"/>
                <w:szCs w:val="20"/>
                <w:color w:val="auto"/>
              </w:rPr>
            </w:pPr>
            <w:r>
              <w:rPr>
                <w:rFonts w:ascii="Arial" w:cs="Arial" w:eastAsia="Arial" w:hAnsi="Arial"/>
                <w:sz w:val="14"/>
                <w:szCs w:val="14"/>
                <w:b w:val="1"/>
                <w:bCs w:val="1"/>
                <w:i w:val="1"/>
                <w:iCs w:val="1"/>
                <w:color w:val="auto"/>
                <w:w w:val="89"/>
              </w:rPr>
              <w:t>(in thousands)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335,635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335,635</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261,075</w:t>
            </w:r>
          </w:p>
        </w:tc>
        <w:tc>
          <w:tcPr>
            <w:tcW w:w="0" w:type="dxa"/>
            <w:vAlign w:val="bottom"/>
          </w:tcPr>
          <w:p>
            <w:pPr>
              <w:spacing w:after="0"/>
              <w:rPr>
                <w:sz w:val="1"/>
                <w:szCs w:val="1"/>
                <w:color w:val="auto"/>
              </w:rPr>
            </w:pPr>
          </w:p>
        </w:tc>
      </w:tr>
      <w:tr>
        <w:trPr>
          <w:trHeight w:val="225"/>
        </w:trPr>
        <w:tc>
          <w:tcPr>
            <w:tcW w:w="558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725,872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725,872</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313,158</w:t>
            </w:r>
          </w:p>
        </w:tc>
        <w:tc>
          <w:tcPr>
            <w:tcW w:w="0" w:type="dxa"/>
            <w:vAlign w:val="bottom"/>
          </w:tcPr>
          <w:p>
            <w:pPr>
              <w:spacing w:after="0"/>
              <w:rPr>
                <w:sz w:val="1"/>
                <w:szCs w:val="1"/>
                <w:color w:val="auto"/>
              </w:rPr>
            </w:pPr>
          </w:p>
        </w:tc>
      </w:tr>
      <w:tr>
        <w:trPr>
          <w:trHeight w:val="174"/>
        </w:trPr>
        <w:tc>
          <w:tcPr>
            <w:tcW w:w="5580" w:type="dxa"/>
            <w:vAlign w:val="bottom"/>
          </w:tcPr>
          <w:p>
            <w:pPr>
              <w:ind w:left="260"/>
              <w:spacing w:after="0" w:line="174" w:lineRule="exact"/>
              <w:rPr>
                <w:sz w:val="20"/>
                <w:szCs w:val="20"/>
                <w:color w:val="auto"/>
              </w:rPr>
            </w:pPr>
            <w:r>
              <w:rPr>
                <w:rFonts w:ascii="Arial" w:cs="Arial" w:eastAsia="Arial" w:hAnsi="Arial"/>
                <w:sz w:val="18"/>
                <w:szCs w:val="18"/>
                <w:color w:val="auto"/>
              </w:rPr>
              <w:t>U.S. Treasury securities and obligations guaranteed by the U.S.</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85,577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85,987</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government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1,636,150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1,721,727</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60,250</w:t>
            </w:r>
          </w:p>
        </w:tc>
        <w:tc>
          <w:tcPr>
            <w:tcW w:w="0" w:type="dxa"/>
            <w:vAlign w:val="bottom"/>
          </w:tcPr>
          <w:p>
            <w:pPr>
              <w:spacing w:after="0"/>
              <w:rPr>
                <w:sz w:val="1"/>
                <w:szCs w:val="1"/>
                <w:color w:val="auto"/>
              </w:rPr>
            </w:pPr>
          </w:p>
        </w:tc>
      </w:tr>
      <w:tr>
        <w:trPr>
          <w:trHeight w:val="225"/>
        </w:trPr>
        <w:tc>
          <w:tcPr>
            <w:tcW w:w="5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39,730</w:t>
            </w:r>
          </w:p>
        </w:tc>
        <w:tc>
          <w:tcPr>
            <w:tcW w:w="0" w:type="dxa"/>
            <w:vAlign w:val="bottom"/>
          </w:tcPr>
          <w:p>
            <w:pPr>
              <w:spacing w:after="0"/>
              <w:rPr>
                <w:sz w:val="1"/>
                <w:szCs w:val="1"/>
                <w:color w:val="auto"/>
              </w:rPr>
            </w:pPr>
          </w:p>
        </w:tc>
      </w:tr>
      <w:tr>
        <w:trPr>
          <w:trHeight w:val="218"/>
        </w:trPr>
        <w:tc>
          <w:tcPr>
            <w:tcW w:w="5580" w:type="dxa"/>
            <w:vAlign w:val="bottom"/>
            <w:tcBorders>
              <w:bottom w:val="single" w:sz="8" w:color="CCEEFF"/>
            </w:tcBorders>
            <w:shd w:val="clear" w:color="auto" w:fill="CCEEFF"/>
          </w:tcPr>
          <w:p>
            <w:pPr>
              <w:ind w:left="20"/>
              <w:spacing w:after="0" w:line="194" w:lineRule="exact"/>
              <w:rPr>
                <w:sz w:val="20"/>
                <w:szCs w:val="20"/>
                <w:color w:val="auto"/>
              </w:rPr>
            </w:pPr>
            <w:r>
              <w:rPr>
                <w:rFonts w:ascii="Arial" w:cs="Arial" w:eastAsia="Arial" w:hAnsi="Arial"/>
                <w:sz w:val="18"/>
                <w:szCs w:val="18"/>
                <w:color w:val="auto"/>
              </w:rPr>
              <w:t>Total equity securities</w:t>
            </w:r>
          </w:p>
        </w:tc>
        <w:tc>
          <w:tcPr>
            <w:tcW w:w="1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32,806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1"/>
              <w:spacing w:after="0" w:line="194"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67,022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1"/>
              <w:spacing w:after="0" w:line="194"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8"/>
                <w:szCs w:val="18"/>
                <w:color w:val="auto"/>
              </w:rPr>
              <w:t>99,980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80" w:type="dxa"/>
            <w:vAlign w:val="bottom"/>
          </w:tcPr>
          <w:p>
            <w:pPr>
              <w:ind w:left="20"/>
              <w:spacing w:after="0" w:line="199" w:lineRule="exact"/>
              <w:rPr>
                <w:sz w:val="20"/>
                <w:szCs w:val="20"/>
                <w:color w:val="auto"/>
              </w:rPr>
            </w:pPr>
            <w:r>
              <w:rPr>
                <w:rFonts w:ascii="Arial" w:cs="Arial" w:eastAsia="Arial" w:hAnsi="Arial"/>
                <w:sz w:val="18"/>
                <w:szCs w:val="18"/>
                <w:color w:val="auto"/>
              </w:rPr>
              <w:t>Bank loan participations</w:t>
            </w:r>
          </w:p>
        </w:tc>
        <w:tc>
          <w:tcPr>
            <w:tcW w:w="16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line="199"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9" w:lineRule="exact"/>
              <w:rPr>
                <w:sz w:val="20"/>
                <w:szCs w:val="20"/>
                <w:color w:val="auto"/>
              </w:rPr>
            </w:pPr>
            <w:r>
              <w:rPr>
                <w:rFonts w:ascii="Arial" w:cs="Arial" w:eastAsia="Arial" w:hAnsi="Arial"/>
                <w:sz w:val="18"/>
                <w:szCs w:val="18"/>
                <w:color w:val="auto"/>
              </w:rPr>
              <w:t>154,769</w:t>
            </w:r>
          </w:p>
        </w:tc>
        <w:tc>
          <w:tcPr>
            <w:tcW w:w="120" w:type="dxa"/>
            <w:vAlign w:val="bottom"/>
          </w:tcPr>
          <w:p>
            <w:pPr>
              <w:spacing w:after="0"/>
              <w:rPr>
                <w:sz w:val="17"/>
                <w:szCs w:val="17"/>
                <w:color w:val="auto"/>
              </w:rPr>
            </w:pPr>
          </w:p>
        </w:tc>
        <w:tc>
          <w:tcPr>
            <w:tcW w:w="18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9" w:lineRule="exact"/>
              <w:rPr>
                <w:sz w:val="20"/>
                <w:szCs w:val="20"/>
                <w:color w:val="auto"/>
              </w:rPr>
            </w:pPr>
            <w:r>
              <w:rPr>
                <w:rFonts w:ascii="Arial" w:cs="Arial" w:eastAsia="Arial" w:hAnsi="Arial"/>
                <w:sz w:val="18"/>
                <w:szCs w:val="18"/>
                <w:color w:val="auto"/>
              </w:rPr>
              <w:t>220</w:t>
            </w:r>
          </w:p>
        </w:tc>
        <w:tc>
          <w:tcPr>
            <w:tcW w:w="120" w:type="dxa"/>
            <w:vAlign w:val="bottom"/>
          </w:tcPr>
          <w:p>
            <w:pPr>
              <w:spacing w:after="0"/>
              <w:rPr>
                <w:sz w:val="17"/>
                <w:szCs w:val="17"/>
                <w:color w:val="auto"/>
              </w:rPr>
            </w:pPr>
          </w:p>
        </w:tc>
        <w:tc>
          <w:tcPr>
            <w:tcW w:w="300" w:type="dxa"/>
            <w:vAlign w:val="bottom"/>
          </w:tcPr>
          <w:p>
            <w:pPr>
              <w:jc w:val="right"/>
              <w:ind w:right="111"/>
              <w:spacing w:after="0" w:line="19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154,989</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Assets measured at fair value on a recurring basis as of December 31, 2020 are summarized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Fair Value Measurements Using</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Significant</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1"/>
                <w:szCs w:val="11"/>
                <w:color w:val="auto"/>
              </w:rPr>
            </w:pPr>
          </w:p>
        </w:tc>
        <w:tc>
          <w:tcPr>
            <w:tcW w:w="126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5"/>
              </w:rPr>
              <w:t>Inputs</w:t>
            </w:r>
          </w:p>
        </w:tc>
        <w:tc>
          <w:tcPr>
            <w:tcW w:w="300" w:type="dxa"/>
            <w:vAlign w:val="bottom"/>
          </w:tcPr>
          <w:p>
            <w:pPr>
              <w:spacing w:after="0"/>
              <w:rPr>
                <w:sz w:val="11"/>
                <w:szCs w:val="11"/>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Level 1</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3</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jc w:val="center"/>
              <w:ind w:right="340"/>
              <w:spacing w:after="0"/>
              <w:rPr>
                <w:sz w:val="20"/>
                <w:szCs w:val="20"/>
                <w:color w:val="auto"/>
              </w:rPr>
            </w:pPr>
            <w:r>
              <w:rPr>
                <w:rFonts w:ascii="Arial" w:cs="Arial" w:eastAsia="Arial" w:hAnsi="Arial"/>
                <w:sz w:val="14"/>
                <w:szCs w:val="14"/>
                <w:b w:val="1"/>
                <w:bCs w:val="1"/>
                <w:i w:val="1"/>
                <w:iCs w:val="1"/>
                <w:color w:val="auto"/>
                <w:w w:val="87"/>
              </w:rPr>
              <w:t>(in thousands)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6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296,405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296,405</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0" w:type="dxa"/>
            <w:vAlign w:val="bottom"/>
          </w:tcPr>
          <w:p>
            <w:pPr>
              <w:spacing w:after="0"/>
              <w:rPr>
                <w:sz w:val="1"/>
                <w:szCs w:val="1"/>
                <w:color w:val="auto"/>
              </w:rPr>
            </w:pPr>
          </w:p>
        </w:tc>
      </w:tr>
      <w:tr>
        <w:trPr>
          <w:trHeight w:val="225"/>
        </w:trPr>
        <w:tc>
          <w:tcPr>
            <w:tcW w:w="5560" w:type="dxa"/>
            <w:vAlign w:val="bottom"/>
          </w:tcPr>
          <w:p>
            <w:pPr>
              <w:ind w:left="26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766,822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766,822</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0" w:type="dxa"/>
            <w:vAlign w:val="bottom"/>
          </w:tcPr>
          <w:p>
            <w:pPr>
              <w:spacing w:after="0"/>
              <w:rPr>
                <w:sz w:val="1"/>
                <w:szCs w:val="1"/>
                <w:color w:val="auto"/>
              </w:rPr>
            </w:pPr>
          </w:p>
        </w:tc>
      </w:tr>
      <w:tr>
        <w:trPr>
          <w:trHeight w:val="174"/>
        </w:trPr>
        <w:tc>
          <w:tcPr>
            <w:tcW w:w="5560" w:type="dxa"/>
            <w:vAlign w:val="bottom"/>
          </w:tcPr>
          <w:p>
            <w:pPr>
              <w:ind w:left="260"/>
              <w:spacing w:after="0" w:line="174" w:lineRule="exact"/>
              <w:rPr>
                <w:sz w:val="20"/>
                <w:szCs w:val="20"/>
                <w:color w:val="auto"/>
              </w:rPr>
            </w:pPr>
            <w:r>
              <w:rPr>
                <w:rFonts w:ascii="Arial" w:cs="Arial" w:eastAsia="Arial" w:hAnsi="Arial"/>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99,384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99,848</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government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available-for-sale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1,684,258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67,495</w:t>
            </w:r>
          </w:p>
        </w:tc>
        <w:tc>
          <w:tcPr>
            <w:tcW w:w="0" w:type="dxa"/>
            <w:vAlign w:val="bottom"/>
          </w:tcPr>
          <w:p>
            <w:pPr>
              <w:spacing w:after="0"/>
              <w:rPr>
                <w:sz w:val="1"/>
                <w:szCs w:val="1"/>
                <w:color w:val="auto"/>
              </w:rPr>
            </w:pPr>
          </w:p>
        </w:tc>
      </w:tr>
      <w:tr>
        <w:trPr>
          <w:trHeight w:val="225"/>
        </w:trPr>
        <w:tc>
          <w:tcPr>
            <w:tcW w:w="5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4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88,975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60" w:type="dxa"/>
            <w:vAlign w:val="bottom"/>
          </w:tcPr>
          <w:p>
            <w:pPr>
              <w:ind w:left="20"/>
              <w:spacing w:after="0" w:line="199" w:lineRule="exact"/>
              <w:rPr>
                <w:sz w:val="20"/>
                <w:szCs w:val="20"/>
                <w:color w:val="auto"/>
              </w:rPr>
            </w:pPr>
            <w:r>
              <w:rPr>
                <w:rFonts w:ascii="Arial" w:cs="Arial" w:eastAsia="Arial" w:hAnsi="Arial"/>
                <w:sz w:val="18"/>
                <w:szCs w:val="18"/>
                <w:color w:val="auto"/>
              </w:rPr>
              <w:t>Bank loan participations</w:t>
            </w:r>
          </w:p>
        </w:tc>
        <w:tc>
          <w:tcPr>
            <w:tcW w:w="180" w:type="dxa"/>
            <w:vAlign w:val="bottom"/>
          </w:tcPr>
          <w:p>
            <w:pPr>
              <w:jc w:val="right"/>
              <w:spacing w:after="0" w:line="199" w:lineRule="exact"/>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80"/>
              <w:spacing w:after="0" w:line="199" w:lineRule="exact"/>
              <w:rPr>
                <w:sz w:val="20"/>
                <w:szCs w:val="20"/>
                <w:color w:val="auto"/>
              </w:rPr>
            </w:pPr>
            <w:r>
              <w:rPr>
                <w:rFonts w:ascii="Arial" w:cs="Arial" w:eastAsia="Arial" w:hAnsi="Arial"/>
                <w:sz w:val="18"/>
                <w:szCs w:val="18"/>
                <w:color w:val="auto"/>
              </w:rPr>
              <w:t>—</w:t>
            </w:r>
          </w:p>
        </w:tc>
        <w:tc>
          <w:tcPr>
            <w:tcW w:w="220" w:type="dxa"/>
            <w:vAlign w:val="bottom"/>
          </w:tcPr>
          <w:p>
            <w:pPr>
              <w:jc w:val="right"/>
              <w:ind w:right="31"/>
              <w:spacing w:after="0" w:line="199"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199" w:lineRule="exact"/>
              <w:rPr>
                <w:sz w:val="20"/>
                <w:szCs w:val="20"/>
                <w:color w:val="auto"/>
              </w:rPr>
            </w:pPr>
            <w:r>
              <w:rPr>
                <w:rFonts w:ascii="Arial" w:cs="Arial" w:eastAsia="Arial" w:hAnsi="Arial"/>
                <w:sz w:val="18"/>
                <w:szCs w:val="18"/>
                <w:color w:val="auto"/>
              </w:rPr>
              <w:t>147,296</w:t>
            </w:r>
          </w:p>
        </w:tc>
        <w:tc>
          <w:tcPr>
            <w:tcW w:w="120" w:type="dxa"/>
            <w:vAlign w:val="bottom"/>
          </w:tcPr>
          <w:p>
            <w:pPr>
              <w:spacing w:after="0"/>
              <w:rPr>
                <w:sz w:val="17"/>
                <w:szCs w:val="17"/>
                <w:color w:val="auto"/>
              </w:rPr>
            </w:pPr>
          </w:p>
        </w:tc>
        <w:tc>
          <w:tcPr>
            <w:tcW w:w="180" w:type="dxa"/>
            <w:vAlign w:val="bottom"/>
          </w:tcPr>
          <w:p>
            <w:pPr>
              <w:jc w:val="right"/>
              <w:spacing w:after="0" w:line="199"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9" w:lineRule="exact"/>
              <w:rPr>
                <w:sz w:val="20"/>
                <w:szCs w:val="20"/>
                <w:color w:val="auto"/>
              </w:rPr>
            </w:pPr>
            <w:r>
              <w:rPr>
                <w:rFonts w:ascii="Arial" w:cs="Arial" w:eastAsia="Arial" w:hAnsi="Arial"/>
                <w:sz w:val="18"/>
                <w:szCs w:val="18"/>
                <w:color w:val="auto"/>
              </w:rPr>
              <w:t>308</w:t>
            </w:r>
          </w:p>
        </w:tc>
        <w:tc>
          <w:tcPr>
            <w:tcW w:w="120" w:type="dxa"/>
            <w:vAlign w:val="bottom"/>
          </w:tcPr>
          <w:p>
            <w:pPr>
              <w:spacing w:after="0"/>
              <w:rPr>
                <w:sz w:val="17"/>
                <w:szCs w:val="17"/>
                <w:color w:val="auto"/>
              </w:rPr>
            </w:pPr>
          </w:p>
        </w:tc>
        <w:tc>
          <w:tcPr>
            <w:tcW w:w="300" w:type="dxa"/>
            <w:vAlign w:val="bottom"/>
          </w:tcPr>
          <w:p>
            <w:pPr>
              <w:jc w:val="right"/>
              <w:ind w:right="111"/>
              <w:spacing w:after="0" w:line="19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9" w:lineRule="exact"/>
              <w:rPr>
                <w:sz w:val="20"/>
                <w:szCs w:val="20"/>
                <w:color w:val="auto"/>
              </w:rPr>
            </w:pPr>
            <w:r>
              <w:rPr>
                <w:rFonts w:ascii="Arial" w:cs="Arial" w:eastAsia="Arial" w:hAnsi="Arial"/>
                <w:sz w:val="18"/>
                <w:szCs w:val="18"/>
                <w:color w:val="auto"/>
              </w:rPr>
              <w:t>147,604</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ind w:right="100" w:firstLine="319"/>
        <w:spacing w:after="0" w:line="256" w:lineRule="auto"/>
        <w:rPr>
          <w:sz w:val="20"/>
          <w:szCs w:val="20"/>
          <w:color w:val="auto"/>
        </w:rPr>
      </w:pPr>
      <w:r>
        <w:rPr>
          <w:rFonts w:ascii="Arial" w:cs="Arial" w:eastAsia="Arial" w:hAnsi="Arial"/>
          <w:sz w:val="18"/>
          <w:szCs w:val="18"/>
          <w:color w:val="auto"/>
        </w:rPr>
        <w:t>A reconciliation of the beginning and ending balances of available-for-sale fixed maturity securities, equity securities, and bank loan participations measured at fair value on a recurring basis (as a result of the fair value option effective January 1, 2020) using significant unobservable inputs (Level 3) is shown below:</w:t>
      </w:r>
    </w:p>
    <w:p>
      <w:pPr>
        <w:spacing w:after="0" w:line="6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gridSpan w:val="3"/>
          </w:tcPr>
          <w:p>
            <w:pPr>
              <w:jc w:val="right"/>
              <w:ind w:right="297"/>
              <w:spacing w:after="0"/>
              <w:rPr>
                <w:sz w:val="20"/>
                <w:szCs w:val="20"/>
                <w:color w:val="auto"/>
              </w:rPr>
            </w:pPr>
            <w:r>
              <w:rPr>
                <w:rFonts w:ascii="Arial" w:cs="Arial" w:eastAsia="Arial" w:hAnsi="Arial"/>
                <w:sz w:val="14"/>
                <w:szCs w:val="14"/>
                <w:b w:val="1"/>
                <w:bCs w:val="1"/>
                <w:color w:val="auto"/>
                <w:w w:val="92"/>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0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600" w:type="dxa"/>
            <w:vAlign w:val="bottom"/>
          </w:tcPr>
          <w:p>
            <w:pPr>
              <w:spacing w:after="0"/>
              <w:rPr>
                <w:sz w:val="14"/>
                <w:szCs w:val="14"/>
                <w:color w:val="auto"/>
              </w:rPr>
            </w:pPr>
          </w:p>
        </w:tc>
      </w:tr>
      <w:tr>
        <w:trPr>
          <w:trHeight w:val="185"/>
        </w:trPr>
        <w:tc>
          <w:tcPr>
            <w:tcW w:w="47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w w:val="93"/>
              </w:rPr>
              <w:t>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91"/>
              <w:spacing w:after="0"/>
              <w:rPr>
                <w:sz w:val="20"/>
                <w:szCs w:val="20"/>
                <w:color w:val="auto"/>
              </w:rPr>
            </w:pPr>
            <w:r>
              <w:rPr>
                <w:rFonts w:ascii="Arial" w:cs="Arial" w:eastAsia="Arial" w:hAnsi="Arial"/>
                <w:sz w:val="14"/>
                <w:szCs w:val="14"/>
                <w:b w:val="1"/>
                <w:bCs w:val="1"/>
                <w:color w:val="auto"/>
                <w:w w:val="93"/>
              </w:rPr>
              <w:t>September 30,</w:t>
            </w:r>
          </w:p>
        </w:tc>
        <w:tc>
          <w:tcPr>
            <w:tcW w:w="600" w:type="dxa"/>
            <w:vAlign w:val="bottom"/>
            <w:tcBorders>
              <w:bottom w:val="single" w:sz="8" w:color="auto"/>
            </w:tcBorders>
          </w:tcPr>
          <w:p>
            <w:pPr>
              <w:spacing w:after="0"/>
              <w:rPr>
                <w:sz w:val="16"/>
                <w:szCs w:val="16"/>
                <w:color w:val="auto"/>
              </w:rPr>
            </w:pPr>
          </w:p>
        </w:tc>
      </w:tr>
      <w:tr>
        <w:trPr>
          <w:trHeight w:val="179"/>
        </w:trPr>
        <w:tc>
          <w:tcPr>
            <w:tcW w:w="47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2020</w:t>
            </w:r>
          </w:p>
        </w:tc>
      </w:tr>
      <w:tr>
        <w:trPr>
          <w:trHeight w:val="177"/>
        </w:trPr>
        <w:tc>
          <w:tcPr>
            <w:tcW w:w="4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80" w:type="dxa"/>
            <w:vAlign w:val="bottom"/>
            <w:gridSpan w:val="3"/>
          </w:tcPr>
          <w:p>
            <w:pPr>
              <w:jc w:val="right"/>
              <w:ind w:right="517"/>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00" w:type="dxa"/>
            <w:vAlign w:val="bottom"/>
            <w:gridSpan w:val="3"/>
          </w:tcPr>
          <w:p>
            <w:pPr>
              <w:jc w:val="right"/>
              <w:ind w:right="131"/>
              <w:spacing w:after="0"/>
              <w:rPr>
                <w:sz w:val="20"/>
                <w:szCs w:val="20"/>
                <w:color w:val="auto"/>
              </w:rPr>
            </w:pPr>
            <w:r>
              <w:rPr>
                <w:rFonts w:ascii="Arial" w:cs="Arial" w:eastAsia="Arial" w:hAnsi="Arial"/>
                <w:sz w:val="14"/>
                <w:szCs w:val="14"/>
                <w:b w:val="1"/>
                <w:bCs w:val="1"/>
                <w:i w:val="1"/>
                <w:iCs w:val="1"/>
                <w:color w:val="auto"/>
              </w:rPr>
              <w:t>(in thousands)</w:t>
            </w:r>
          </w:p>
        </w:tc>
        <w:tc>
          <w:tcPr>
            <w:tcW w:w="600" w:type="dxa"/>
            <w:vAlign w:val="bottom"/>
          </w:tcPr>
          <w:p>
            <w:pPr>
              <w:spacing w:after="0"/>
              <w:rPr>
                <w:sz w:val="15"/>
                <w:szCs w:val="15"/>
                <w:color w:val="auto"/>
              </w:rPr>
            </w:pPr>
          </w:p>
        </w:tc>
      </w:tr>
      <w:tr>
        <w:trPr>
          <w:trHeight w:val="229"/>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balance</w:t>
            </w:r>
          </w:p>
        </w:tc>
        <w:tc>
          <w:tcPr>
            <w:tcW w:w="1080" w:type="dxa"/>
            <w:vAlign w:val="bottom"/>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4760" w:type="dxa"/>
            <w:vAlign w:val="bottom"/>
          </w:tcPr>
          <w:p>
            <w:pPr>
              <w:ind w:left="340"/>
              <w:spacing w:after="0"/>
              <w:rPr>
                <w:sz w:val="20"/>
                <w:szCs w:val="20"/>
                <w:color w:val="auto"/>
              </w:rPr>
            </w:pPr>
            <w:r>
              <w:rPr>
                <w:rFonts w:ascii="Arial" w:cs="Arial" w:eastAsia="Arial" w:hAnsi="Arial"/>
                <w:sz w:val="18"/>
                <w:szCs w:val="18"/>
                <w:color w:val="auto"/>
              </w:rPr>
              <w:t>Transfers out of Level 3</w:t>
            </w:r>
          </w:p>
        </w:tc>
        <w:tc>
          <w:tcPr>
            <w:tcW w:w="10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7"/>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Transfers in to Level 3</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5"/>
        </w:trPr>
        <w:tc>
          <w:tcPr>
            <w:tcW w:w="476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10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27"/>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5"/>
        </w:trPr>
        <w:tc>
          <w:tcPr>
            <w:tcW w:w="4760" w:type="dxa"/>
            <w:vAlign w:val="bottom"/>
          </w:tcPr>
          <w:p>
            <w:pPr>
              <w:ind w:left="340"/>
              <w:spacing w:after="0"/>
              <w:rPr>
                <w:sz w:val="20"/>
                <w:szCs w:val="20"/>
                <w:color w:val="auto"/>
              </w:rPr>
            </w:pPr>
            <w:r>
              <w:rPr>
                <w:rFonts w:ascii="Arial" w:cs="Arial" w:eastAsia="Arial" w:hAnsi="Arial"/>
                <w:sz w:val="18"/>
                <w:szCs w:val="18"/>
                <w:color w:val="auto"/>
              </w:rPr>
              <w:t>Maturities, calls and paydowns</w:t>
            </w: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7"/>
        </w:trPr>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discount</w:t>
            </w:r>
          </w:p>
        </w:tc>
        <w:tc>
          <w:tcPr>
            <w:tcW w:w="10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5"/>
        </w:trPr>
        <w:tc>
          <w:tcPr>
            <w:tcW w:w="4760" w:type="dxa"/>
            <w:vAlign w:val="bottom"/>
          </w:tcPr>
          <w:p>
            <w:pPr>
              <w:ind w:left="340"/>
              <w:spacing w:after="0"/>
              <w:rPr>
                <w:sz w:val="20"/>
                <w:szCs w:val="20"/>
                <w:color w:val="auto"/>
              </w:rPr>
            </w:pPr>
            <w:r>
              <w:rPr>
                <w:rFonts w:ascii="Arial" w:cs="Arial" w:eastAsia="Arial" w:hAnsi="Arial"/>
                <w:sz w:val="18"/>
                <w:szCs w:val="18"/>
                <w:color w:val="auto"/>
              </w:rPr>
              <w:t>Total gains or losses (realized/unrealized):</w:t>
            </w: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7"/>
        </w:trPr>
        <w:tc>
          <w:tcPr>
            <w:tcW w:w="4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Included in earnings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4760" w:type="dxa"/>
            <w:vAlign w:val="bottom"/>
          </w:tcPr>
          <w:p>
            <w:pPr>
              <w:ind w:left="460"/>
              <w:spacing w:after="0"/>
              <w:rPr>
                <w:sz w:val="20"/>
                <w:szCs w:val="20"/>
                <w:color w:val="auto"/>
              </w:rPr>
            </w:pPr>
            <w:r>
              <w:rPr>
                <w:rFonts w:ascii="Arial" w:cs="Arial" w:eastAsia="Arial" w:hAnsi="Arial"/>
                <w:sz w:val="18"/>
                <w:szCs w:val="18"/>
                <w:color w:val="auto"/>
              </w:rPr>
              <w:t>Included in other comprehensive income</w:t>
            </w:r>
          </w:p>
        </w:tc>
        <w:tc>
          <w:tcPr>
            <w:tcW w:w="10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45"/>
        </w:trPr>
        <w:tc>
          <w:tcPr>
            <w:tcW w:w="4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Ending balance</w:t>
            </w:r>
          </w:p>
        </w:tc>
        <w:tc>
          <w:tcPr>
            <w:tcW w:w="1080" w:type="dxa"/>
            <w:vAlign w:val="bottom"/>
            <w:tcBorders>
              <w:top w:val="single" w:sz="8" w:color="auto"/>
              <w:bottom w:val="single" w:sz="8" w:color="auto"/>
            </w:tcBorders>
            <w:shd w:val="clear" w:color="auto" w:fill="CCEEFF"/>
          </w:tcPr>
          <w:p>
            <w:pPr>
              <w:jc w:val="right"/>
              <w:ind w:right="577"/>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617"/>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ind w:right="597"/>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right="100" w:firstLine="319"/>
        <w:spacing w:after="0" w:line="253" w:lineRule="auto"/>
        <w:rPr>
          <w:sz w:val="20"/>
          <w:szCs w:val="20"/>
          <w:color w:val="auto"/>
        </w:rPr>
      </w:pPr>
      <w:r>
        <w:rPr>
          <w:rFonts w:ascii="Arial" w:cs="Arial" w:eastAsia="Arial" w:hAnsi="Arial"/>
          <w:sz w:val="18"/>
          <w:szCs w:val="18"/>
          <w:color w:val="auto"/>
        </w:rPr>
        <w:t>The Company held one bank loan participation and three equity securities at September 30, 2021 and one bank loan participation and two equity securities at December 31, 2020 for which the fair value was determined using significant unobservable inputs (Level 3). A market approach using prices in trades of comparable securities was utilized to determine a fair value for the securities of $372,000 at September 30, 2021 and $980,000 at December 31, 2020.</w:t>
      </w:r>
    </w:p>
    <w:p>
      <w:pPr>
        <w:spacing w:after="0" w:line="85" w:lineRule="exact"/>
        <w:rPr>
          <w:sz w:val="20"/>
          <w:szCs w:val="20"/>
          <w:color w:val="auto"/>
        </w:rPr>
      </w:pPr>
    </w:p>
    <w:p>
      <w:pPr>
        <w:jc w:val="both"/>
        <w:ind w:right="100" w:firstLine="319"/>
        <w:spacing w:after="0" w:line="256" w:lineRule="auto"/>
        <w:rPr>
          <w:sz w:val="20"/>
          <w:szCs w:val="20"/>
          <w:color w:val="auto"/>
        </w:rPr>
      </w:pPr>
      <w:r>
        <w:rPr>
          <w:rFonts w:ascii="Arial" w:cs="Arial" w:eastAsia="Arial" w:hAnsi="Arial"/>
          <w:sz w:val="18"/>
          <w:szCs w:val="18"/>
          <w:color w:val="auto"/>
        </w:rPr>
        <w:t>The Company held one equity security at December 31, 2019 and one bank loan participations and one equity security at September 30, 2020 for which the fair value was determined using significant unobservable inputs (Level 3). During the three months ended September 30, 2020, the Company was able to obtain a quoted price from a pricing provider for one equity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security and transferred it to Level 2. A market approach using prices in trades of comparable securities was utilized to determine a fair value for the securities of $308,000 at September 30, 2020 and $43,000 at December 31, 2019.</w:t>
      </w:r>
    </w:p>
    <w:p>
      <w:pPr>
        <w:spacing w:after="0" w:line="7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spacing w:after="0" w:line="8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There were no transfers between Level 1 and Level 2 during the nine months ended September 30, 2021 or 2020. The Company recognizes transfers between levels at the beginning of the reporting period.</w:t>
      </w:r>
    </w:p>
    <w:p>
      <w:pPr>
        <w:spacing w:after="0" w:line="73"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3"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September 30, 2021 and December 31, 2020, there were no investments for which external sources were unavailable to determine fair value.</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and fair values of financial instruments are summarized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71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2"/>
        </w:trPr>
        <w:tc>
          <w:tcPr>
            <w:tcW w:w="5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jc w:val="right"/>
              <w:ind w:right="336"/>
              <w:spacing w:after="0" w:line="132" w:lineRule="exact"/>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1"/>
                <w:szCs w:val="11"/>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1"/>
                <w:szCs w:val="11"/>
                <w:color w:val="auto"/>
              </w:rPr>
            </w:pPr>
          </w:p>
        </w:tc>
        <w:tc>
          <w:tcPr>
            <w:tcW w:w="980" w:type="dxa"/>
            <w:vAlign w:val="bottom"/>
          </w:tcPr>
          <w:p>
            <w:pPr>
              <w:jc w:val="right"/>
              <w:ind w:right="336"/>
              <w:spacing w:after="0" w:line="132" w:lineRule="exact"/>
              <w:rPr>
                <w:sz w:val="20"/>
                <w:szCs w:val="20"/>
                <w:color w:val="auto"/>
              </w:rPr>
            </w:pPr>
            <w:r>
              <w:rPr>
                <w:rFonts w:ascii="Arial" w:cs="Arial" w:eastAsia="Arial" w:hAnsi="Arial"/>
                <w:sz w:val="14"/>
                <w:szCs w:val="14"/>
                <w:b w:val="1"/>
                <w:bCs w:val="1"/>
                <w:color w:val="auto"/>
                <w:w w:val="93"/>
              </w:rPr>
              <w:t>Carrying</w:t>
            </w:r>
          </w:p>
        </w:tc>
        <w:tc>
          <w:tcPr>
            <w:tcW w:w="300" w:type="dxa"/>
            <w:vAlign w:val="bottom"/>
          </w:tcPr>
          <w:p>
            <w:pPr>
              <w:spacing w:after="0"/>
              <w:rPr>
                <w:sz w:val="11"/>
                <w:szCs w:val="11"/>
                <w:color w:val="auto"/>
              </w:rPr>
            </w:pPr>
          </w:p>
        </w:tc>
        <w:tc>
          <w:tcPr>
            <w:tcW w:w="11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1,721,727</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1,721,727</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1,783,642</w:t>
            </w:r>
          </w:p>
        </w:tc>
        <w:tc>
          <w:tcPr>
            <w:tcW w:w="3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1,783,642</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99,980</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88,975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88,975</w:t>
            </w: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Bank loan participations</w:t>
            </w:r>
          </w:p>
        </w:tc>
        <w:tc>
          <w:tcPr>
            <w:tcW w:w="26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154,989</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154,989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147,604</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147,604</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220,551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162,260</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162,260</w:t>
            </w: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Restricted cash equivalents</w:t>
            </w:r>
          </w:p>
        </w:tc>
        <w:tc>
          <w:tcPr>
            <w:tcW w:w="26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859,920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859,920</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26,942</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130,289</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130,289</w:t>
            </w: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Other invested assets – notes receivable</w:t>
            </w:r>
          </w:p>
        </w:tc>
        <w:tc>
          <w:tcPr>
            <w:tcW w:w="26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13,500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4,500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8"/>
                <w:szCs w:val="18"/>
                <w:color w:val="auto"/>
              </w:rPr>
              <w:t>Senior debt</w:t>
            </w:r>
          </w:p>
        </w:tc>
        <w:tc>
          <w:tcPr>
            <w:tcW w:w="26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262,300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250,703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262,300</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250,953</w:t>
            </w:r>
          </w:p>
        </w:tc>
        <w:tc>
          <w:tcPr>
            <w:tcW w:w="0" w:type="dxa"/>
            <w:vAlign w:val="bottom"/>
          </w:tcPr>
          <w:p>
            <w:pPr>
              <w:spacing w:after="0"/>
              <w:rPr>
                <w:sz w:val="1"/>
                <w:szCs w:val="1"/>
                <w:color w:val="auto"/>
              </w:rPr>
            </w:pPr>
          </w:p>
        </w:tc>
      </w:tr>
      <w:tr>
        <w:trPr>
          <w:trHeight w:val="227"/>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Junior subordinated debt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104,055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104,055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110,612</w:t>
            </w:r>
          </w:p>
        </w:tc>
        <w:tc>
          <w:tcPr>
            <w:tcW w:w="0" w:type="dxa"/>
            <w:vAlign w:val="bottom"/>
          </w:tcPr>
          <w:p>
            <w:pPr>
              <w:spacing w:after="0"/>
              <w:rPr>
                <w:sz w:val="1"/>
                <w:szCs w:val="1"/>
                <w:color w:val="auto"/>
              </w:rPr>
            </w:pPr>
          </w:p>
        </w:tc>
      </w:tr>
    </w:tbl>
    <w:p>
      <w:pPr>
        <w:spacing w:after="0" w:line="29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82"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The fair values of other invested assets-notes receivable, senior debt, and junior subordinated debt at September 30, 2021 and December 31, 2020 were determined by calculating the present value of expected future cash flows under the terms of the note agreements or debt agreements, as applicable, discounted at an estimated market rate of interest at September 30, 2021 and December 31, 2020, respectively.</w:t>
      </w:r>
    </w:p>
    <w:p>
      <w:pPr>
        <w:spacing w:after="0" w:line="6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fair values of senior debt and junior subordinated debt at September 30, 2021 and December 31, 2020 were determined using inputs to the valuation methodology that are unobservable (Level 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4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Senior Debt</w:t>
      </w:r>
    </w:p>
    <w:p>
      <w:pPr>
        <w:spacing w:after="0" w:line="118"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At September 30, 2021, the Company had a drawn balance of $185.8 million outstanding on the $212.5 million unsecured revolving facility in its $315.0 million senior revolving credit facility (as amended or amended and restated, the “2013 Facility”). The 2013 Facility contains certain financial and other covenants (including minimum net worth, maximum ratio of total adjusted debt outstanding to total capitalization, and financial strength ratings) with which the Company was in compliance at September 30, 2021. In the three months ended March 31, 2020, the Company drew $60.0 million on the unsecured revolver as a precautionary measure to increase the Company’s cash position and preserve financial flexibility in light of uncertainty in the global markets resulting from the coronavirus (COVID-19) outbreak. The Company repaid $30.0 million in the three months ended June 30, 2020.</w:t>
      </w:r>
    </w:p>
    <w:p>
      <w:pPr>
        <w:spacing w:after="0" w:line="63" w:lineRule="exact"/>
        <w:rPr>
          <w:sz w:val="20"/>
          <w:szCs w:val="20"/>
          <w:color w:val="auto"/>
        </w:rPr>
      </w:pPr>
    </w:p>
    <w:p>
      <w:pPr>
        <w:ind w:right="60" w:firstLine="319"/>
        <w:spacing w:after="0" w:line="287" w:lineRule="auto"/>
        <w:rPr>
          <w:sz w:val="20"/>
          <w:szCs w:val="20"/>
          <w:color w:val="auto"/>
        </w:rPr>
      </w:pPr>
      <w:r>
        <w:rPr>
          <w:rFonts w:ascii="Arial" w:cs="Arial" w:eastAsia="Arial" w:hAnsi="Arial"/>
          <w:sz w:val="16"/>
          <w:szCs w:val="16"/>
          <w:color w:val="auto"/>
        </w:rPr>
        <w:t>At September 30, 2021, unsecured loans of $61.5 million and secured letters of credit totaling $14.0 million were outstanding under a credit agreement (the “2017 Facility”) that provides the Company with a revolving line of credit of up to $100.0 million, which may be used for loans and letters of credit made or issued, at the borrowers’ option, on a secured or unsecured basis. The 2017 Facility contains certain financial and other covenants which the Company was in compliance with at September 30, 2021. In the three months ended March 31, 2020, the Company drew $59.0 million of unsecured capacity as a precautionary measure to increase the Company’s cash position and preserve financial flexibility in light of uncertainty in the global markets resulting from the coronavirus (COVID-19) outbreak. The Company repaid $30.0 million in the three months ended June 30, 2020.</w:t>
      </w:r>
    </w:p>
    <w:p>
      <w:pPr>
        <w:spacing w:after="0" w:line="5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Capital Stock and Equity Awards</w:t>
      </w:r>
    </w:p>
    <w:p>
      <w:pPr>
        <w:spacing w:after="0" w:line="118"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May 10, 2021, the Company closed the offering and public sale (the “Offering”) of an aggregate of 6,497,500 of the Company’s common shares at a public offering price of $31.00 per share. The Company received net proceeds (before expenses) from the Offering of $192.1 million, which were used for general corporate purposes. The common shares were offered and sold pursuant to an underwriting agreement entered into by the Company, Barclays Capital, Inc., and Keefe, Bruyette &amp; Woods, Inc., as representatives of the several underwriters named therein.</w:t>
      </w:r>
    </w:p>
    <w:p>
      <w:pPr>
        <w:spacing w:after="0" w:line="71"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The Company also issued 140,483 common shares in the nine months ended September 30, 2021 related to outstanding equity incentive plan awards. Of the new shares issued, 27,979 were related to employee stock option exercises and 112,504 were related to vesting of restricted share units (“RSUs”).</w:t>
      </w:r>
    </w:p>
    <w:p>
      <w:pPr>
        <w:spacing w:after="0" w:line="2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a result of the Offering and the issuances related to equity incentive plan awards, the total common shares outstanding increased from 30,649,261 at December 31, 2020 to 37,287,244 at September 30, 2021.</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declared the following dividends during the first nine months of 2021 and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Date of Declaration</w:t>
            </w:r>
          </w:p>
        </w:tc>
        <w:tc>
          <w:tcPr>
            <w:tcW w:w="18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Dividend per</w:t>
            </w:r>
          </w:p>
        </w:tc>
        <w:tc>
          <w:tcPr>
            <w:tcW w:w="160" w:type="dxa"/>
            <w:vAlign w:val="bottom"/>
          </w:tcPr>
          <w:p>
            <w:pPr>
              <w:spacing w:after="0"/>
              <w:rPr>
                <w:sz w:val="16"/>
                <w:szCs w:val="16"/>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Payable to Shareholders of</w:t>
            </w:r>
          </w:p>
        </w:tc>
        <w:tc>
          <w:tcPr>
            <w:tcW w:w="212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0"/>
              </w:rPr>
              <w:t>Payment Date</w:t>
            </w:r>
          </w:p>
        </w:tc>
        <w:tc>
          <w:tcPr>
            <w:tcW w:w="200" w:type="dxa"/>
            <w:vAlign w:val="bottom"/>
          </w:tcPr>
          <w:p>
            <w:pPr>
              <w:spacing w:after="0"/>
              <w:rPr>
                <w:sz w:val="16"/>
                <w:szCs w:val="16"/>
                <w:color w:val="auto"/>
              </w:rPr>
            </w:pPr>
          </w:p>
        </w:tc>
        <w:tc>
          <w:tcPr>
            <w:tcW w:w="1340" w:type="dxa"/>
            <w:vAlign w:val="bottom"/>
          </w:tcPr>
          <w:p>
            <w:pPr>
              <w:jc w:val="right"/>
              <w:ind w:right="213"/>
              <w:spacing w:after="0"/>
              <w:rPr>
                <w:sz w:val="20"/>
                <w:szCs w:val="20"/>
                <w:color w:val="auto"/>
              </w:rPr>
            </w:pPr>
            <w:r>
              <w:rPr>
                <w:rFonts w:ascii="Arial" w:cs="Arial" w:eastAsia="Arial" w:hAnsi="Arial"/>
                <w:sz w:val="16"/>
                <w:szCs w:val="16"/>
                <w:b w:val="1"/>
                <w:bCs w:val="1"/>
                <w:color w:val="auto"/>
                <w:w w:val="98"/>
              </w:rPr>
              <w:t>Total 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Common Share</w:t>
            </w:r>
          </w:p>
        </w:tc>
        <w:tc>
          <w:tcPr>
            <w:tcW w:w="16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Record on</w:t>
            </w:r>
          </w:p>
        </w:tc>
        <w:tc>
          <w:tcPr>
            <w:tcW w:w="2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73"/>
              <w:spacing w:after="0"/>
              <w:rPr>
                <w:sz w:val="20"/>
                <w:szCs w:val="20"/>
                <w:color w:val="auto"/>
              </w:rPr>
            </w:pPr>
            <w:r>
              <w:rPr>
                <w:rFonts w:ascii="Arial" w:cs="Arial" w:eastAsia="Arial" w:hAnsi="Arial"/>
                <w:sz w:val="16"/>
                <w:szCs w:val="16"/>
                <w:b w:val="1"/>
                <w:bCs w:val="1"/>
                <w:color w:val="auto"/>
              </w:rPr>
              <w:t>(thousands)</w:t>
            </w:r>
          </w:p>
        </w:tc>
        <w:tc>
          <w:tcPr>
            <w:tcW w:w="0" w:type="dxa"/>
            <w:vAlign w:val="bottom"/>
          </w:tcPr>
          <w:p>
            <w:pPr>
              <w:spacing w:after="0"/>
              <w:rPr>
                <w:sz w:val="1"/>
                <w:szCs w:val="1"/>
                <w:color w:val="auto"/>
              </w:rPr>
            </w:pPr>
          </w:p>
        </w:tc>
      </w:tr>
      <w:tr>
        <w:trPr>
          <w:trHeight w:val="248"/>
        </w:trPr>
        <w:tc>
          <w:tcPr>
            <w:tcW w:w="2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22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9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line="186" w:lineRule="exact"/>
              <w:rPr>
                <w:sz w:val="20"/>
                <w:szCs w:val="20"/>
                <w:color w:val="auto"/>
              </w:rPr>
            </w:pPr>
            <w:r>
              <w:rPr>
                <w:rFonts w:ascii="Arial" w:cs="Arial" w:eastAsia="Arial" w:hAnsi="Arial"/>
                <w:sz w:val="18"/>
                <w:szCs w:val="18"/>
                <w:b w:val="1"/>
                <w:bCs w:val="1"/>
                <w:color w:val="auto"/>
                <w:w w:val="84"/>
              </w:rPr>
              <w:t>2021</w:t>
            </w:r>
          </w:p>
        </w:tc>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February 24,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March 15, 2021</w:t>
            </w: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March 31, 2021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0" w:type="dxa"/>
            <w:vAlign w:val="bottom"/>
          </w:tcPr>
          <w:p>
            <w:pPr>
              <w:spacing w:after="0"/>
              <w:rPr>
                <w:sz w:val="1"/>
                <w:szCs w:val="1"/>
                <w:color w:val="auto"/>
              </w:rPr>
            </w:pPr>
          </w:p>
        </w:tc>
      </w:tr>
      <w:tr>
        <w:trPr>
          <w:trHeight w:val="225"/>
        </w:trPr>
        <w:tc>
          <w:tcPr>
            <w:tcW w:w="2740" w:type="dxa"/>
            <w:vAlign w:val="bottom"/>
            <w:gridSpan w:val="4"/>
          </w:tcPr>
          <w:p>
            <w:pPr>
              <w:ind w:left="20"/>
              <w:spacing w:after="0"/>
              <w:rPr>
                <w:sz w:val="20"/>
                <w:szCs w:val="20"/>
                <w:color w:val="auto"/>
              </w:rPr>
            </w:pPr>
            <w:r>
              <w:rPr>
                <w:rFonts w:ascii="Arial" w:cs="Arial" w:eastAsia="Arial" w:hAnsi="Arial"/>
                <w:sz w:val="18"/>
                <w:szCs w:val="18"/>
                <w:color w:val="auto"/>
              </w:rPr>
              <w:t>April 27, 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19"/>
                <w:szCs w:val="19"/>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14, 2021</w:t>
            </w: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June 30, 2021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26"/>
        </w:trPr>
        <w:tc>
          <w:tcPr>
            <w:tcW w:w="2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July 27,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September 13, 2021</w:t>
            </w:r>
          </w:p>
        </w:tc>
        <w:tc>
          <w:tcPr>
            <w:tcW w:w="21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September 30, 2021</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line="153" w:lineRule="exact"/>
              <w:rPr>
                <w:sz w:val="20"/>
                <w:szCs w:val="20"/>
                <w:color w:val="auto"/>
              </w:rPr>
            </w:pPr>
            <w:r>
              <w:rPr>
                <w:rFonts w:ascii="Arial" w:cs="Arial" w:eastAsia="Arial" w:hAnsi="Arial"/>
                <w:sz w:val="17"/>
                <w:szCs w:val="17"/>
                <w:b w:val="1"/>
                <w:bCs w:val="1"/>
                <w:color w:val="auto"/>
                <w:w w:val="89"/>
              </w:rPr>
              <w:t>2020</w:t>
            </w:r>
          </w:p>
        </w:tc>
        <w:tc>
          <w:tcPr>
            <w:tcW w:w="2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9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740" w:type="dxa"/>
            <w:vAlign w:val="bottom"/>
            <w:gridSpan w:val="4"/>
          </w:tcPr>
          <w:p>
            <w:pPr>
              <w:ind w:left="20"/>
              <w:spacing w:after="0"/>
              <w:rPr>
                <w:sz w:val="20"/>
                <w:szCs w:val="20"/>
                <w:color w:val="auto"/>
              </w:rPr>
            </w:pPr>
            <w:r>
              <w:rPr>
                <w:rFonts w:ascii="Arial" w:cs="Arial" w:eastAsia="Arial" w:hAnsi="Arial"/>
                <w:sz w:val="18"/>
                <w:szCs w:val="18"/>
                <w:color w:val="auto"/>
              </w:rPr>
              <w:t>February 19, 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19"/>
                <w:szCs w:val="19"/>
                <w:color w:val="auto"/>
              </w:rPr>
            </w:pP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March 16, 2020</w:t>
            </w:r>
          </w:p>
        </w:tc>
        <w:tc>
          <w:tcPr>
            <w:tcW w:w="21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March 31, 2020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27"/>
        </w:trPr>
        <w:tc>
          <w:tcPr>
            <w:tcW w:w="27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April 28, 2020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June 15, 2020</w:t>
            </w:r>
          </w:p>
        </w:tc>
        <w:tc>
          <w:tcPr>
            <w:tcW w:w="21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June 30,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July 28,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Borders>
              <w:bottom w:val="single" w:sz="8" w:color="CCEEFF"/>
            </w:tcBorders>
          </w:tcPr>
          <w:p>
            <w:pPr>
              <w:spacing w:after="0"/>
              <w:rPr>
                <w:sz w:val="19"/>
                <w:szCs w:val="19"/>
                <w:color w:val="auto"/>
              </w:rPr>
            </w:pPr>
          </w:p>
        </w:tc>
        <w:tc>
          <w:tcPr>
            <w:tcW w:w="21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7"/>
              </w:rPr>
              <w:t>September 14, 2020</w:t>
            </w:r>
          </w:p>
        </w:tc>
        <w:tc>
          <w:tcPr>
            <w:tcW w:w="2120" w:type="dxa"/>
            <w:vAlign w:val="bottom"/>
            <w:tcBorders>
              <w:bottom w:val="single" w:sz="8" w:color="CCEEFF"/>
            </w:tcBorders>
            <w:gridSpan w:val="2"/>
          </w:tcPr>
          <w:p>
            <w:pPr>
              <w:jc w:val="center"/>
              <w:ind w:right="180"/>
              <w:spacing w:after="0"/>
              <w:rPr>
                <w:sz w:val="20"/>
                <w:szCs w:val="20"/>
                <w:color w:val="auto"/>
              </w:rPr>
            </w:pPr>
            <w:r>
              <w:rPr>
                <w:rFonts w:ascii="Arial" w:cs="Arial" w:eastAsia="Arial" w:hAnsi="Arial"/>
                <w:sz w:val="18"/>
                <w:szCs w:val="18"/>
                <w:color w:val="auto"/>
                <w:w w:val="87"/>
              </w:rPr>
              <w:t>September 30, 2020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w:t>
            </w:r>
          </w:p>
        </w:tc>
        <w:tc>
          <w:tcPr>
            <w:tcW w:w="0" w:type="dxa"/>
            <w:vAlign w:val="bottom"/>
          </w:tcPr>
          <w:p>
            <w:pPr>
              <w:spacing w:after="0"/>
              <w:rPr>
                <w:sz w:val="1"/>
                <w:szCs w:val="1"/>
                <w:color w:val="auto"/>
              </w:rPr>
            </w:pPr>
          </w:p>
        </w:tc>
      </w:tr>
      <w:tr>
        <w:trPr>
          <w:trHeight w:val="245"/>
        </w:trPr>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firstLine="319"/>
        <w:spacing w:after="0" w:line="329" w:lineRule="auto"/>
        <w:rPr>
          <w:sz w:val="20"/>
          <w:szCs w:val="20"/>
          <w:color w:val="auto"/>
        </w:rPr>
      </w:pPr>
      <w:r>
        <w:rPr>
          <w:rFonts w:ascii="Arial" w:cs="Arial" w:eastAsia="Arial" w:hAnsi="Arial"/>
          <w:sz w:val="16"/>
          <w:szCs w:val="16"/>
          <w:color w:val="auto"/>
        </w:rPr>
        <w:t>Included in the total dividends for the nine months ended September 30, 2021 and 2020 are $317,000 and $329,000, respectively, of dividend equivalents on unvested RSUs. The balance of dividends payable on unvested RSUs was $506,000 at September 30, 2021 and $663,000 at December 31, 2020.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Company’s shareholders have approved various equity incentive plans, including the Amended and Restated 2009 Equity Incentive Plan (the “Legacy Plan”), the 2014 Long Term Incentive Plan (“2014 LTIP”), and the 2014 Non-Employee Director Incentive Plan (“2014 Director Plan”) (collectively, the “Plans”). All awards issued under the Plans are issued at the discretion of the Board of Directors. Under the Legacy Plan, employees received non-qualified stock options. Options are outstanding under the Legacy Plan; however, no additional awards may be granted.</w:t>
      </w:r>
    </w:p>
    <w:p>
      <w:pPr>
        <w:spacing w:after="0" w:line="7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Employees are eligible to receive non-qualified stock options, incentive stock options, share appreciation rights, performance shares, restricted shares, RSUs, and other awards under the 2014 LTIP. The maximum number of shares available for issuance under the 2014 LTIP is 4,171,150, and at September 30, 2021, 1,310,651 shares are available for grant.</w:t>
      </w:r>
    </w:p>
    <w:p>
      <w:pPr>
        <w:spacing w:after="0" w:line="8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Non-employee directors of the Company are eligible to receive non-qualified stock options, share appreciation rights, performance shares, restricted shares, RSUs, and other awards under the 2014 Director Plan. The maximum number of shares available for issuance under the 2014 Director Plan is 150,000, and at September 30, 2021, 94,781 shares are available for grant.</w:t>
      </w:r>
    </w:p>
    <w:p>
      <w:pPr>
        <w:spacing w:after="0" w:line="8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activity: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5"/>
              </w:rPr>
              <w:t>Nine Months Ended September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8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9"/>
              <w:spacing w:after="0" w:line="127"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58"/>
              <w:spacing w:after="0" w:line="12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3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Exercise</w:t>
            </w:r>
          </w:p>
        </w:tc>
        <w:tc>
          <w:tcPr>
            <w:tcW w:w="13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0"/>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320" w:type="dxa"/>
            <w:vAlign w:val="bottom"/>
          </w:tcPr>
          <w:p>
            <w:pPr>
              <w:jc w:val="right"/>
              <w:spacing w:after="0"/>
              <w:rPr>
                <w:sz w:val="20"/>
                <w:szCs w:val="20"/>
                <w:color w:val="auto"/>
              </w:rPr>
            </w:pPr>
            <w:r>
              <w:rPr>
                <w:rFonts w:ascii="Arial" w:cs="Arial" w:eastAsia="Arial" w:hAnsi="Arial"/>
                <w:sz w:val="18"/>
                <w:szCs w:val="18"/>
                <w:color w:val="auto"/>
              </w:rPr>
              <w:t>463,324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(41,392)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(79,615)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392,514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32.53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564,236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392,514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564,236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All of the outstanding options are fully vested (vesting period of three years from date of grant) and have a contractual life of seven years from the original date of grant. All of the outstanding options have an exercise price equal to the fair value of the underlying shares at the date of grant. The weighted-average remaining contractual life of the options outstanding and exercisable at September 30, 2021 was 1.4 years.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JAMES RIVER GROUP HOLDING, LTD. AND SUBSIDIARIES</w:t>
      </w:r>
    </w:p>
    <w:p>
      <w:pPr>
        <w:spacing w:after="0" w:line="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activity: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5"/>
              </w:rPr>
              <w:t>Nine Months Ended September 30,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8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0"/>
              <w:spacing w:after="0" w:line="127"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39"/>
              <w:spacing w:after="0" w:line="12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9"/>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3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7"/>
              </w:rPr>
              <w:t>Grant Date</w:t>
            </w:r>
          </w:p>
        </w:tc>
        <w:tc>
          <w:tcPr>
            <w:tcW w:w="13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9"/>
              <w:spacing w:after="0" w:line="133"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Fair Value</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0"/>
        </w:trPr>
        <w:tc>
          <w:tcPr>
            <w:tcW w:w="55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Unvested, beginning of period</w:t>
            </w:r>
          </w:p>
        </w:tc>
        <w:tc>
          <w:tcPr>
            <w:tcW w:w="1320" w:type="dxa"/>
            <w:vAlign w:val="bottom"/>
          </w:tcPr>
          <w:p>
            <w:pPr>
              <w:jc w:val="right"/>
              <w:spacing w:after="0"/>
              <w:rPr>
                <w:sz w:val="20"/>
                <w:szCs w:val="20"/>
                <w:color w:val="auto"/>
              </w:rPr>
            </w:pPr>
            <w:r>
              <w:rPr>
                <w:rFonts w:ascii="Arial" w:cs="Arial" w:eastAsia="Arial" w:hAnsi="Arial"/>
                <w:sz w:val="18"/>
                <w:szCs w:val="18"/>
                <w:color w:val="auto"/>
              </w:rPr>
              <w:t>399,856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340,368</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0" w:type="dxa"/>
            <w:vAlign w:val="bottom"/>
          </w:tcPr>
          <w:p>
            <w:pPr>
              <w:spacing w:after="0"/>
              <w:rPr>
                <w:sz w:val="1"/>
                <w:szCs w:val="1"/>
                <w:color w:val="auto"/>
              </w:rPr>
            </w:pPr>
          </w:p>
        </w:tc>
      </w:tr>
      <w:tr>
        <w:trPr>
          <w:trHeight w:val="225"/>
        </w:trPr>
        <w:tc>
          <w:tcPr>
            <w:tcW w:w="5580" w:type="dxa"/>
            <w:vAlign w:val="bottom"/>
          </w:tcPr>
          <w:p>
            <w:pPr>
              <w:ind w:left="180"/>
              <w:spacing w:after="0"/>
              <w:rPr>
                <w:sz w:val="20"/>
                <w:szCs w:val="20"/>
                <w:color w:val="auto"/>
              </w:rPr>
            </w:pPr>
            <w:r>
              <w:rPr>
                <w:rFonts w:ascii="Arial" w:cs="Arial" w:eastAsia="Arial" w:hAnsi="Arial"/>
                <w:sz w:val="18"/>
                <w:szCs w:val="18"/>
                <w:color w:val="auto"/>
              </w:rPr>
              <w:t>Vested</w:t>
            </w:r>
          </w:p>
        </w:tc>
        <w:tc>
          <w:tcPr>
            <w:tcW w:w="1320" w:type="dxa"/>
            <w:vAlign w:val="bottom"/>
          </w:tcPr>
          <w:p>
            <w:pPr>
              <w:jc w:val="right"/>
              <w:spacing w:after="0"/>
              <w:rPr>
                <w:sz w:val="20"/>
                <w:szCs w:val="20"/>
                <w:color w:val="auto"/>
              </w:rPr>
            </w:pPr>
            <w:r>
              <w:rPr>
                <w:rFonts w:ascii="Arial" w:cs="Arial" w:eastAsia="Arial" w:hAnsi="Arial"/>
                <w:sz w:val="18"/>
                <w:szCs w:val="18"/>
                <w:color w:val="auto"/>
              </w:rPr>
              <w:t>(165,131)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41.86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(156,434)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w:t>
            </w:r>
          </w:p>
        </w:tc>
        <w:tc>
          <w:tcPr>
            <w:tcW w:w="0" w:type="dxa"/>
            <w:vAlign w:val="bottom"/>
          </w:tcPr>
          <w:p>
            <w:pPr>
              <w:spacing w:after="0"/>
              <w:rPr>
                <w:sz w:val="1"/>
                <w:szCs w:val="1"/>
                <w:color w:val="auto"/>
              </w:rPr>
            </w:pP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Unvested, end of 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317,832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47.00</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364,606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Outstanding RSUs granted to employees vest ratably over a three year vesting period. RSUs granted to non-employee directors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Share based compensation expense is recognized on a straight line basis over the vesting period. The amount of expense and related tax benefit is summarized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280" w:type="dxa"/>
            <w:vAlign w:val="bottom"/>
            <w:gridSpan w:val="3"/>
          </w:tcPr>
          <w:p>
            <w:pPr>
              <w:jc w:val="center"/>
              <w:ind w:left="423"/>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20" w:type="dxa"/>
            <w:vAlign w:val="bottom"/>
            <w:gridSpan w:val="3"/>
          </w:tcPr>
          <w:p>
            <w:pPr>
              <w:jc w:val="center"/>
              <w:ind w:right="357"/>
              <w:spacing w:after="0"/>
              <w:rPr>
                <w:sz w:val="20"/>
                <w:szCs w:val="20"/>
                <w:color w:val="auto"/>
              </w:rPr>
            </w:pPr>
            <w:r>
              <w:rPr>
                <w:rFonts w:ascii="Arial" w:cs="Arial" w:eastAsia="Arial" w:hAnsi="Arial"/>
                <w:sz w:val="14"/>
                <w:szCs w:val="14"/>
                <w:b w:val="1"/>
                <w:bCs w:val="1"/>
                <w:color w:val="auto"/>
                <w:w w:val="91"/>
              </w:rPr>
              <w:t>Nine Months Ended</w:t>
            </w:r>
          </w:p>
        </w:tc>
      </w:tr>
      <w:tr>
        <w:trPr>
          <w:trHeight w:val="185"/>
        </w:trPr>
        <w:tc>
          <w:tcPr>
            <w:tcW w:w="56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5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362"/>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79"/>
        </w:trPr>
        <w:tc>
          <w:tcPr>
            <w:tcW w:w="56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r>
      <w:tr>
        <w:trPr>
          <w:trHeight w:val="177"/>
        </w:trPr>
        <w:tc>
          <w:tcPr>
            <w:tcW w:w="5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w w:val="97"/>
              </w:rPr>
              <w:t>(in thousands)</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based compensation expense</w:t>
            </w:r>
          </w:p>
        </w:tc>
        <w:tc>
          <w:tcPr>
            <w:tcW w:w="840" w:type="dxa"/>
            <w:vAlign w:val="bottom"/>
            <w:shd w:val="clear" w:color="auto" w:fill="CCEEFF"/>
          </w:tcPr>
          <w:p>
            <w:pPr>
              <w:jc w:val="right"/>
              <w:ind w:right="643"/>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8"/>
              </w:rPr>
              <w:t>1,476</w:t>
            </w:r>
          </w:p>
        </w:tc>
        <w:tc>
          <w:tcPr>
            <w:tcW w:w="920" w:type="dxa"/>
            <w:vAlign w:val="bottom"/>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88"/>
              </w:rPr>
              <w:t>2,097</w:t>
            </w:r>
          </w:p>
        </w:tc>
        <w:tc>
          <w:tcPr>
            <w:tcW w:w="5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5,243</w:t>
            </w:r>
          </w:p>
        </w:tc>
        <w:tc>
          <w:tcPr>
            <w:tcW w:w="52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w:t>
            </w:r>
          </w:p>
        </w:tc>
      </w:tr>
      <w:tr>
        <w:trPr>
          <w:trHeight w:val="225"/>
        </w:trPr>
        <w:tc>
          <w:tcPr>
            <w:tcW w:w="5600" w:type="dxa"/>
            <w:vAlign w:val="bottom"/>
          </w:tcPr>
          <w:p>
            <w:pPr>
              <w:ind w:left="20"/>
              <w:spacing w:after="0"/>
              <w:rPr>
                <w:sz w:val="20"/>
                <w:szCs w:val="20"/>
                <w:color w:val="auto"/>
              </w:rPr>
            </w:pPr>
            <w:r>
              <w:rPr>
                <w:rFonts w:ascii="Arial" w:cs="Arial" w:eastAsia="Arial" w:hAnsi="Arial"/>
                <w:sz w:val="18"/>
                <w:szCs w:val="18"/>
                <w:color w:val="auto"/>
              </w:rPr>
              <w:t>U.S. tax benefit on share based compensation expense</w:t>
            </w:r>
          </w:p>
        </w:tc>
        <w:tc>
          <w:tcPr>
            <w:tcW w:w="840" w:type="dxa"/>
            <w:vAlign w:val="bottom"/>
          </w:tcPr>
          <w:p>
            <w:pPr>
              <w:spacing w:after="0"/>
              <w:rPr>
                <w:sz w:val="19"/>
                <w:szCs w:val="19"/>
                <w:color w:val="auto"/>
              </w:rPr>
            </w:pP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306</w:t>
            </w:r>
          </w:p>
        </w:tc>
        <w:tc>
          <w:tcPr>
            <w:tcW w:w="920" w:type="dxa"/>
            <w:vAlign w:val="bottom"/>
          </w:tcPr>
          <w:p>
            <w:pPr>
              <w:spacing w:after="0"/>
              <w:rPr>
                <w:sz w:val="19"/>
                <w:szCs w:val="19"/>
                <w:color w:val="auto"/>
              </w:rPr>
            </w:pPr>
          </w:p>
        </w:tc>
        <w:tc>
          <w:tcPr>
            <w:tcW w:w="520" w:type="dxa"/>
            <w:vAlign w:val="bottom"/>
          </w:tcPr>
          <w:p>
            <w:pPr>
              <w:jc w:val="right"/>
              <w:ind w:right="17"/>
              <w:spacing w:after="0"/>
              <w:rPr>
                <w:sz w:val="20"/>
                <w:szCs w:val="20"/>
                <w:color w:val="auto"/>
              </w:rPr>
            </w:pPr>
            <w:r>
              <w:rPr>
                <w:rFonts w:ascii="Arial" w:cs="Arial" w:eastAsia="Arial" w:hAnsi="Arial"/>
                <w:sz w:val="18"/>
                <w:szCs w:val="18"/>
                <w:color w:val="auto"/>
              </w:rPr>
              <w:t>287</w:t>
            </w:r>
          </w:p>
        </w:tc>
        <w:tc>
          <w:tcPr>
            <w:tcW w:w="520" w:type="dxa"/>
            <w:vAlign w:val="bottom"/>
          </w:tcPr>
          <w:p>
            <w:pPr>
              <w:spacing w:after="0"/>
              <w:rPr>
                <w:sz w:val="19"/>
                <w:szCs w:val="19"/>
                <w:color w:val="auto"/>
              </w:rPr>
            </w:pPr>
          </w:p>
        </w:tc>
        <w:tc>
          <w:tcPr>
            <w:tcW w:w="920" w:type="dxa"/>
            <w:vAlign w:val="bottom"/>
          </w:tcPr>
          <w:p>
            <w:pPr>
              <w:jc w:val="right"/>
              <w:ind w:right="22"/>
              <w:spacing w:after="0"/>
              <w:rPr>
                <w:sz w:val="20"/>
                <w:szCs w:val="20"/>
                <w:color w:val="auto"/>
              </w:rPr>
            </w:pPr>
            <w:r>
              <w:rPr>
                <w:rFonts w:ascii="Arial" w:cs="Arial" w:eastAsia="Arial" w:hAnsi="Arial"/>
                <w:sz w:val="18"/>
                <w:szCs w:val="18"/>
                <w:color w:val="auto"/>
              </w:rPr>
              <w:t>902</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786</w:t>
            </w:r>
          </w:p>
        </w:tc>
      </w:tr>
    </w:tbl>
    <w:p>
      <w:pPr>
        <w:spacing w:after="0" w:line="17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of September 30, 2021, the Company had $10.3 million of unrecognized share based compensation expense expected to be charged to earnings over a weighted-average period of 1.9 years.</w:t>
      </w:r>
    </w:p>
    <w:p>
      <w:pPr>
        <w:spacing w:after="0" w:line="6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4"/>
          <w:szCs w:val="14"/>
          <w:b w:val="1"/>
          <w:bCs w:val="1"/>
          <w:color w:val="auto"/>
        </w:rPr>
        <w:t>Subsequent Events</w:t>
      </w:r>
    </w:p>
    <w:p>
      <w:pPr>
        <w:spacing w:after="0" w:line="11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On October 26, 2021, the Board of Directors declared a cash dividend of $0.30 per common share. The dividend is payable on December 31, 2021 to shareholders of record on December 13, 2021.</w:t>
      </w:r>
    </w:p>
    <w:p>
      <w:pPr>
        <w:spacing w:after="0" w:line="7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On October 26, 2021, the Board of Directors granted awards under the 2014 LTIP to the Company’s employees. RSUs for 22,290 shares were awarded with a fair value on the date of grant of $32.75 per share. The RSUs vest over two or three years.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8"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i w:val="1"/>
          <w:iCs w:val="1"/>
          <w:color w:val="auto"/>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and Part II, Item 1A “Risk Factors” in this Quarterly Report on Form 10-Q, or “Quarterly Report”, and Part I, Item 1A “Risk Factors” in our Annual Report on Form 10-K for the year ended December 31, 2020. The results of operations for the three and nine months ended September 30, 2021 are not necessarily indicative of the results that may be expected for the full year ending December 31, 2021, or for any other future period. The following discussion should be read in conjunction with the unaudited condensed consolidated financial statements and the notes thereto included in Part I, Item 1 of this Quarterly Report, and in conjunction with our Annual Report on Form 10-K for the year ended December 31, 2020.</w:t>
      </w:r>
    </w:p>
    <w:p>
      <w:pPr>
        <w:spacing w:after="0" w:line="90"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James River Group Holdings, Ltd. is a Bermuda-based holding company. We own and operate a group of specialty insurance and reinsurance companies with the objective of generating compelling returns on tangible equity while limiting underwriting and investment volatility. We seek to accomplish this by consistently earning profits from insurance and reinsurance underwriting and generating meaningful risk-adjusted investment returns while managing our capital opportunistically.</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are organized into four reportable segments, which are separately managed business units:</w:t>
      </w:r>
    </w:p>
    <w:p>
      <w:pPr>
        <w:spacing w:after="0" w:line="112" w:lineRule="exact"/>
        <w:rPr>
          <w:sz w:val="20"/>
          <w:szCs w:val="20"/>
          <w:color w:val="auto"/>
        </w:rPr>
      </w:pPr>
    </w:p>
    <w:p>
      <w:pPr>
        <w:jc w:val="both"/>
        <w:ind w:left="640" w:hanging="315"/>
        <w:spacing w:after="0" w:line="256"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spacing w:after="0" w:line="82" w:lineRule="exact"/>
        <w:rPr>
          <w:rFonts w:ascii="Arial" w:cs="Arial" w:eastAsia="Arial" w:hAnsi="Arial"/>
          <w:sz w:val="18"/>
          <w:szCs w:val="18"/>
          <w:color w:val="auto"/>
        </w:rPr>
      </w:pPr>
    </w:p>
    <w:p>
      <w:pPr>
        <w:jc w:val="both"/>
        <w:ind w:left="640" w:hanging="315"/>
        <w:spacing w:after="0" w:line="286" w:lineRule="auto"/>
        <w:tabs>
          <w:tab w:leader="none" w:pos="6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Specialty Admitted Insurance segment approaches the insurance market in two ways: as a risk bearing underwriter, and as a “fronting” company. The Company’s risk bearing underwriting is focused on niche classes within the standard insurance markets, such as workers’ compensation coverage for residential contractors, light manufacturing operations, transportation workers and healthcare workers. In its fronting business, the Specialty Admitted segment works with distributors, such as managing general agents and other producers, by using our licensure, rating and administrative services in order to produce and service insurance policies for reinsurers and other third party risk bearing entities. We charge fees for “fronting” for these capital providers. In some instances, we retain a small percentage of the risk on fronted business, generally 10%-20%. This segment has admitted licenses and the authority to write excess and surplus lines insurance in 50 states and the District of Columbia;</w:t>
      </w:r>
    </w:p>
    <w:p>
      <w:pPr>
        <w:spacing w:after="0" w:line="60" w:lineRule="exact"/>
        <w:rPr>
          <w:rFonts w:ascii="Arial" w:cs="Arial" w:eastAsia="Arial" w:hAnsi="Arial"/>
          <w:sz w:val="16"/>
          <w:szCs w:val="16"/>
          <w:color w:val="auto"/>
        </w:rPr>
      </w:pPr>
    </w:p>
    <w:p>
      <w:pPr>
        <w:jc w:val="both"/>
        <w:ind w:left="640" w:hanging="315"/>
        <w:spacing w:after="0" w:line="272"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Casualty Reinsurance segment primarily provides proportional and working layer casualty reinsurance to third parties (primarily through reinsurance intermediaries) and an aggregate stop loss reinsurance to Carolina Re Ltd (“Carolina Re”), through JRG Reinsurance Company Ltd. (“JRG Re”), both Bermuda-based reinsurance companies. JRG Re has also in the past provided reinsurance to the Company’s U.S. based insurance subsidiaries through a quota-share reinsurance agreement; Carolina Re was formed in 2018 to do this as well; and</w:t>
      </w:r>
    </w:p>
    <w:p>
      <w:pPr>
        <w:spacing w:after="0" w:line="71" w:lineRule="exact"/>
        <w:rPr>
          <w:rFonts w:ascii="Arial" w:cs="Arial" w:eastAsia="Arial" w:hAnsi="Arial"/>
          <w:sz w:val="17"/>
          <w:szCs w:val="17"/>
          <w:color w:val="auto"/>
        </w:rPr>
      </w:pPr>
    </w:p>
    <w:p>
      <w:pPr>
        <w:ind w:left="640" w:hanging="315"/>
        <w:spacing w:after="0" w:line="329" w:lineRule="auto"/>
        <w:tabs>
          <w:tab w:leader="none" w:pos="6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Corporate and Other segment consists of the management and treasury activities of our holding companies, interest expense associated with our debt, and expenses of our holding companies, including public company expenses, that are not reimbursed by our insurance segments.</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our insurance and reinsurance subsidiaries have financial strength ratings of “A-” (Excellent) from A.M. Best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spacing w:after="0" w:line="48"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The most critical accounting policies involve significant estimates and include those used in determining the reserve for losses and loss adjustment expenses, investment valuation and impairment, and assumed reinsurance premiums. For a detailed discussion of each of these policies, refer to our Annual Report on Form 10-K for the year ended December 31, 2020. There have been no significant changes to any of these policies during the current year.</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11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For a discussion of the impact of the coronavirus (COVID-19) pandemic and related economic conditions on the Company’s results for the year ended December 31, 2020, please see “Part II—Item 7—Management’s Discussion and Analysis of Financial Condition and Results of Operation” in our Annual Report. The Company continues to monitor the impact that the outbreak of the coronavirus (COVID-19) pandemic may be having on the Company’s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Portfolio Transfer Reinsurance Transaction</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September 27, 2021, James River Insurance Company and James River Casualty Company (together, “James River”) entered into a loss portfolio</w:t>
      </w:r>
    </w:p>
    <w:p>
      <w:pPr>
        <w:spacing w:after="0" w:line="6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transfer transaction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Under the terms of the transaction, effective as of July 1, 2021, James River ceded to Aleka approximately $345.1 million of commercial auto liabilities relating to Rasier policies written in the years 2013-2019, which amount constituted the reinsurance premium. The reinsurance coverage is fully collateralized, not subject to an aggregate limit, and is subject to certain exclusions. A pre-tax loss of $29.6 million was recognized as adverse loss and loss adjustment reserve development in the Excess and Surplus Lines segment for the third quarter of 2021 associated with the loss portfolio transfer, of which $15.8 million was related to claims handling costs. The $15.8 million claims handling costs constitutes James River’s contribution to the fees of an administrator appointed by James River and Aleka to handle the claims on the Rasier commercial auto policies for the remaining life of those claims, and unallocated loss adjustment expenses required to facilitate the transition of the claims to the administrator.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results: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26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58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jc w:val="right"/>
              <w:ind w:right="54"/>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346,599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311,852</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i w:val="1"/>
                <w:iCs w:val="1"/>
                <w:color w:val="auto"/>
              </w:rPr>
              <w:t>11.1 %</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1,100,000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897,332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22.6 %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140" w:type="dxa"/>
            <w:vAlign w:val="bottom"/>
          </w:tcPr>
          <w:p>
            <w:pPr>
              <w:ind w:left="20"/>
              <w:spacing w:after="0" w:line="199" w:lineRule="exact"/>
              <w:rPr>
                <w:sz w:val="20"/>
                <w:szCs w:val="20"/>
                <w:color w:val="auto"/>
              </w:rPr>
            </w:pPr>
            <w:r>
              <w:rPr>
                <w:rFonts w:ascii="Arial" w:cs="Arial" w:eastAsia="Arial" w:hAnsi="Arial"/>
                <w:sz w:val="18"/>
                <w:szCs w:val="18"/>
                <w:color w:val="auto"/>
              </w:rPr>
              <w:t xml:space="preserve">Net retention </w:t>
            </w:r>
            <w:r>
              <w:rPr>
                <w:rFonts w:ascii="Arial" w:cs="Arial" w:eastAsia="Arial" w:hAnsi="Arial"/>
                <w:sz w:val="14"/>
                <w:szCs w:val="14"/>
                <w:color w:val="auto"/>
              </w:rPr>
              <w:t>(1)</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45.6 %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46.5 %</w:t>
            </w:r>
          </w:p>
        </w:tc>
        <w:tc>
          <w:tcPr>
            <w:tcW w:w="1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47.9 %</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color w:val="auto"/>
              </w:rPr>
              <w:t>49.7 %</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written premiums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158,210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145,159</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i w:val="1"/>
                <w:iCs w:val="1"/>
                <w:color w:val="auto"/>
              </w:rPr>
              <w:t>9.0 %</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526,413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445,570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18.1 %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earned premiums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ind w:right="54"/>
              <w:spacing w:after="0"/>
              <w:rPr>
                <w:sz w:val="20"/>
                <w:szCs w:val="20"/>
                <w:color w:val="auto"/>
              </w:rPr>
            </w:pPr>
            <w:r>
              <w:rPr>
                <w:rFonts w:ascii="Arial" w:cs="Arial" w:eastAsia="Arial" w:hAnsi="Arial"/>
                <w:sz w:val="18"/>
                <w:szCs w:val="18"/>
                <w:i w:val="1"/>
                <w:iCs w:val="1"/>
                <w:color w:val="auto"/>
              </w:rPr>
              <w:t>11.5 %</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i w:val="1"/>
                <w:iCs w:val="1"/>
                <w:color w:val="auto"/>
              </w:rPr>
              <w:t>12.6 %</w:t>
            </w:r>
          </w:p>
        </w:tc>
        <w:tc>
          <w:tcPr>
            <w:tcW w:w="0" w:type="dxa"/>
            <w:vAlign w:val="bottom"/>
          </w:tcPr>
          <w:p>
            <w:pPr>
              <w:spacing w:after="0" w:line="20" w:lineRule="exact"/>
              <w:rPr>
                <w:sz w:val="1"/>
                <w:szCs w:val="1"/>
                <w:color w:val="auto"/>
              </w:rPr>
            </w:pPr>
          </w:p>
        </w:tc>
      </w:tr>
      <w:tr>
        <w:trPr>
          <w:trHeight w:val="199"/>
        </w:trPr>
        <w:tc>
          <w:tcPr>
            <w:tcW w:w="3140" w:type="dxa"/>
            <w:vAlign w:val="bottom"/>
            <w:vMerge w:val="continue"/>
          </w:tcPr>
          <w:p>
            <w:pPr>
              <w:spacing w:after="0"/>
              <w:rPr>
                <w:sz w:val="17"/>
                <w:szCs w:val="17"/>
                <w:color w:val="auto"/>
              </w:rPr>
            </w:pPr>
          </w:p>
        </w:tc>
        <w:tc>
          <w:tcPr>
            <w:tcW w:w="280" w:type="dxa"/>
            <w:vAlign w:val="bottom"/>
          </w:tcPr>
          <w:p>
            <w:pPr>
              <w:jc w:val="right"/>
              <w:ind w:right="91"/>
              <w:spacing w:after="0" w:line="199"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14"/>
              <w:spacing w:after="0" w:line="199" w:lineRule="exact"/>
              <w:rPr>
                <w:sz w:val="20"/>
                <w:szCs w:val="20"/>
                <w:color w:val="auto"/>
              </w:rPr>
            </w:pPr>
            <w:r>
              <w:rPr>
                <w:rFonts w:ascii="Arial" w:cs="Arial" w:eastAsia="Arial" w:hAnsi="Arial"/>
                <w:sz w:val="18"/>
                <w:szCs w:val="18"/>
                <w:color w:val="auto"/>
              </w:rPr>
              <w:t>170,608</w:t>
            </w:r>
          </w:p>
        </w:tc>
        <w:tc>
          <w:tcPr>
            <w:tcW w:w="120" w:type="dxa"/>
            <w:vAlign w:val="bottom"/>
          </w:tcPr>
          <w:p>
            <w:pPr>
              <w:spacing w:after="0"/>
              <w:rPr>
                <w:sz w:val="17"/>
                <w:szCs w:val="17"/>
                <w:color w:val="auto"/>
              </w:rPr>
            </w:pPr>
          </w:p>
        </w:tc>
        <w:tc>
          <w:tcPr>
            <w:tcW w:w="440" w:type="dxa"/>
            <w:vAlign w:val="bottom"/>
          </w:tcPr>
          <w:p>
            <w:pPr>
              <w:jc w:val="right"/>
              <w:ind w:right="251"/>
              <w:spacing w:after="0" w:line="199"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152,962</w:t>
            </w:r>
          </w:p>
        </w:tc>
        <w:tc>
          <w:tcPr>
            <w:tcW w:w="1260" w:type="dxa"/>
            <w:vAlign w:val="bottom"/>
            <w:vMerge w:val="continue"/>
          </w:tcPr>
          <w:p>
            <w:pPr>
              <w:spacing w:after="0"/>
              <w:rPr>
                <w:sz w:val="17"/>
                <w:szCs w:val="17"/>
                <w:color w:val="auto"/>
              </w:rPr>
            </w:pPr>
          </w:p>
        </w:tc>
        <w:tc>
          <w:tcPr>
            <w:tcW w:w="280" w:type="dxa"/>
            <w:vAlign w:val="bottom"/>
          </w:tcPr>
          <w:p>
            <w:pPr>
              <w:jc w:val="right"/>
              <w:ind w:right="91"/>
              <w:spacing w:after="0" w:line="199"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4"/>
              <w:spacing w:after="0" w:line="199" w:lineRule="exact"/>
              <w:rPr>
                <w:sz w:val="20"/>
                <w:szCs w:val="20"/>
                <w:color w:val="auto"/>
              </w:rPr>
            </w:pPr>
            <w:r>
              <w:rPr>
                <w:rFonts w:ascii="Arial" w:cs="Arial" w:eastAsia="Arial" w:hAnsi="Arial"/>
                <w:sz w:val="18"/>
                <w:szCs w:val="18"/>
                <w:color w:val="auto"/>
              </w:rPr>
              <w:t>503,906</w:t>
            </w:r>
          </w:p>
        </w:tc>
        <w:tc>
          <w:tcPr>
            <w:tcW w:w="120" w:type="dxa"/>
            <w:vAlign w:val="bottom"/>
          </w:tcPr>
          <w:p>
            <w:pPr>
              <w:spacing w:after="0"/>
              <w:rPr>
                <w:sz w:val="17"/>
                <w:szCs w:val="17"/>
                <w:color w:val="auto"/>
              </w:rPr>
            </w:pPr>
          </w:p>
        </w:tc>
        <w:tc>
          <w:tcPr>
            <w:tcW w:w="440" w:type="dxa"/>
            <w:vAlign w:val="bottom"/>
          </w:tcPr>
          <w:p>
            <w:pPr>
              <w:jc w:val="right"/>
              <w:ind w:right="251"/>
              <w:spacing w:after="0" w:line="199"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132"/>
              <w:spacing w:after="0" w:line="199" w:lineRule="exact"/>
              <w:rPr>
                <w:sz w:val="20"/>
                <w:szCs w:val="20"/>
                <w:color w:val="auto"/>
              </w:rPr>
            </w:pPr>
            <w:r>
              <w:rPr>
                <w:rFonts w:ascii="Arial" w:cs="Arial" w:eastAsia="Arial" w:hAnsi="Arial"/>
                <w:sz w:val="18"/>
                <w:szCs w:val="18"/>
                <w:color w:val="auto"/>
              </w:rPr>
              <w:t>447,695</w:t>
            </w: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loss adjustment expenses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(166,078)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(106,155)</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i w:val="1"/>
                <w:iCs w:val="1"/>
                <w:color w:val="auto"/>
              </w:rPr>
              <w:t>56.4 %</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(549,578)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5"/>
              </w:rPr>
              <w:t>(301,757)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82.1 %</w:t>
            </w:r>
          </w:p>
        </w:tc>
        <w:tc>
          <w:tcPr>
            <w:tcW w:w="0" w:type="dxa"/>
            <w:vAlign w:val="bottom"/>
          </w:tcPr>
          <w:p>
            <w:pPr>
              <w:spacing w:after="0"/>
              <w:rPr>
                <w:sz w:val="1"/>
                <w:szCs w:val="1"/>
                <w:color w:val="auto"/>
              </w:rPr>
            </w:pPr>
          </w:p>
        </w:tc>
      </w:tr>
      <w:tr>
        <w:trPr>
          <w:trHeight w:val="225"/>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(42,171)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(37,861)</w:t>
            </w:r>
          </w:p>
        </w:tc>
        <w:tc>
          <w:tcPr>
            <w:tcW w:w="1260" w:type="dxa"/>
            <w:vAlign w:val="bottom"/>
            <w:tcBorders>
              <w:bottom w:val="single" w:sz="8" w:color="CCEEFF"/>
            </w:tcBorders>
          </w:tcPr>
          <w:p>
            <w:pPr>
              <w:jc w:val="right"/>
              <w:ind w:right="54"/>
              <w:spacing w:after="0"/>
              <w:rPr>
                <w:sz w:val="20"/>
                <w:szCs w:val="20"/>
                <w:color w:val="auto"/>
              </w:rPr>
            </w:pPr>
            <w:r>
              <w:rPr>
                <w:rFonts w:ascii="Arial" w:cs="Arial" w:eastAsia="Arial" w:hAnsi="Arial"/>
                <w:sz w:val="18"/>
                <w:szCs w:val="18"/>
                <w:i w:val="1"/>
                <w:iCs w:val="1"/>
                <w:color w:val="auto"/>
              </w:rPr>
              <w:t>11.4 %</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(133,511)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5"/>
              </w:rPr>
              <w:t>(130,524)</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2.3 %</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Underwriting (loss) profit </w:t>
            </w:r>
            <w:r>
              <w:rPr>
                <w:rFonts w:ascii="Arial" w:cs="Arial" w:eastAsia="Arial" w:hAnsi="Arial"/>
                <w:sz w:val="14"/>
                <w:szCs w:val="14"/>
                <w:color w:val="auto"/>
              </w:rPr>
              <w:t>(2), (3)</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(37,641)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8,946</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8"/>
                <w:szCs w:val="18"/>
                <w:i w:val="1"/>
                <w:iCs w:val="1"/>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(179,183)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15,414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280" w:type="dxa"/>
            <w:vAlign w:val="bottom"/>
          </w:tcPr>
          <w:p>
            <w:pPr>
              <w:spacing w:after="0"/>
              <w:rPr>
                <w:sz w:val="19"/>
                <w:szCs w:val="19"/>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15,289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14,959</w:t>
            </w:r>
          </w:p>
        </w:tc>
        <w:tc>
          <w:tcPr>
            <w:tcW w:w="1260" w:type="dxa"/>
            <w:vAlign w:val="bottom"/>
          </w:tcPr>
          <w:p>
            <w:pPr>
              <w:jc w:val="right"/>
              <w:ind w:right="54"/>
              <w:spacing w:after="0"/>
              <w:rPr>
                <w:sz w:val="20"/>
                <w:szCs w:val="20"/>
                <w:color w:val="auto"/>
              </w:rPr>
            </w:pPr>
            <w:r>
              <w:rPr>
                <w:rFonts w:ascii="Arial" w:cs="Arial" w:eastAsia="Arial" w:hAnsi="Arial"/>
                <w:sz w:val="18"/>
                <w:szCs w:val="18"/>
                <w:i w:val="1"/>
                <w:iCs w:val="1"/>
                <w:color w:val="auto"/>
              </w:rPr>
              <w:t>2.2 %</w:t>
            </w:r>
          </w:p>
        </w:tc>
        <w:tc>
          <w:tcPr>
            <w:tcW w:w="280" w:type="dxa"/>
            <w:vAlign w:val="bottom"/>
          </w:tcPr>
          <w:p>
            <w:pPr>
              <w:spacing w:after="0"/>
              <w:rPr>
                <w:sz w:val="19"/>
                <w:szCs w:val="19"/>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44,726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51,145</w:t>
            </w:r>
          </w:p>
        </w:tc>
        <w:tc>
          <w:tcPr>
            <w:tcW w:w="1160" w:type="dxa"/>
            <w:vAlign w:val="bottom"/>
            <w:gridSpan w:val="2"/>
          </w:tcPr>
          <w:p>
            <w:pPr>
              <w:ind w:left="560"/>
              <w:spacing w:after="0"/>
              <w:rPr>
                <w:sz w:val="20"/>
                <w:szCs w:val="20"/>
                <w:color w:val="auto"/>
              </w:rPr>
            </w:pPr>
            <w:r>
              <w:rPr>
                <w:rFonts w:ascii="Arial" w:cs="Arial" w:eastAsia="Arial" w:hAnsi="Arial"/>
                <w:sz w:val="18"/>
                <w:szCs w:val="18"/>
                <w:i w:val="1"/>
                <w:iCs w:val="1"/>
                <w:color w:val="auto"/>
                <w:w w:val="91"/>
              </w:rPr>
              <w:t>(12.6)%</w:t>
            </w:r>
          </w:p>
        </w:tc>
        <w:tc>
          <w:tcPr>
            <w:tcW w:w="0" w:type="dxa"/>
            <w:vAlign w:val="bottom"/>
          </w:tcPr>
          <w:p>
            <w:pPr>
              <w:spacing w:after="0"/>
              <w:rPr>
                <w:sz w:val="1"/>
                <w:szCs w:val="1"/>
                <w:color w:val="auto"/>
              </w:rPr>
            </w:pPr>
          </w:p>
        </w:tc>
      </w:tr>
      <w:tr>
        <w:trPr>
          <w:trHeight w:val="174"/>
        </w:trPr>
        <w:tc>
          <w:tcPr>
            <w:tcW w:w="314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2"/>
              </w:rPr>
              <w:t>Net realized and unrealized gains (losses)</w:t>
            </w: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3,983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8,929</w:t>
            </w:r>
          </w:p>
        </w:tc>
        <w:tc>
          <w:tcPr>
            <w:tcW w:w="1260" w:type="dxa"/>
            <w:vAlign w:val="bottom"/>
            <w:vMerge w:val="restart"/>
            <w:shd w:val="clear" w:color="auto" w:fill="CCEEFF"/>
          </w:tcPr>
          <w:p>
            <w:pPr>
              <w:jc w:val="right"/>
              <w:ind w:right="54"/>
              <w:spacing w:after="0"/>
              <w:rPr>
                <w:sz w:val="20"/>
                <w:szCs w:val="20"/>
                <w:color w:val="auto"/>
              </w:rPr>
            </w:pPr>
            <w:r>
              <w:rPr>
                <w:rFonts w:ascii="Arial" w:cs="Arial" w:eastAsia="Arial" w:hAnsi="Arial"/>
                <w:sz w:val="18"/>
                <w:szCs w:val="18"/>
                <w:i w:val="1"/>
                <w:iCs w:val="1"/>
                <w:color w:val="auto"/>
              </w:rPr>
              <w:t>(55.4)%</w:t>
            </w:r>
          </w:p>
        </w:tc>
        <w:tc>
          <w:tcPr>
            <w:tcW w:w="2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114"/>
              <w:spacing w:after="0"/>
              <w:rPr>
                <w:sz w:val="20"/>
                <w:szCs w:val="20"/>
                <w:color w:val="auto"/>
              </w:rPr>
            </w:pPr>
            <w:r>
              <w:rPr>
                <w:rFonts w:ascii="Arial" w:cs="Arial" w:eastAsia="Arial" w:hAnsi="Arial"/>
                <w:sz w:val="18"/>
                <w:szCs w:val="18"/>
                <w:color w:val="auto"/>
              </w:rPr>
              <w:t>13,738</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(27,885)</w:t>
            </w: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on investments</w:t>
            </w:r>
          </w:p>
        </w:tc>
        <w:tc>
          <w:tcPr>
            <w:tcW w:w="28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Arial" w:cs="Arial" w:eastAsia="Arial" w:hAnsi="Arial"/>
                <w:sz w:val="18"/>
                <w:szCs w:val="18"/>
                <w:color w:val="auto"/>
              </w:rPr>
              <w:t>Other income and expense</w:t>
            </w:r>
          </w:p>
        </w:tc>
        <w:tc>
          <w:tcPr>
            <w:tcW w:w="280" w:type="dxa"/>
            <w:vAlign w:val="bottom"/>
          </w:tcPr>
          <w:p>
            <w:pPr>
              <w:spacing w:after="0"/>
              <w:rPr>
                <w:sz w:val="19"/>
                <w:szCs w:val="19"/>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192</w:t>
            </w:r>
          </w:p>
        </w:tc>
        <w:tc>
          <w:tcPr>
            <w:tcW w:w="1260" w:type="dxa"/>
            <w:vAlign w:val="bottom"/>
          </w:tcPr>
          <w:p>
            <w:pPr>
              <w:jc w:val="right"/>
              <w:ind w:right="254"/>
              <w:spacing w:after="0"/>
              <w:rPr>
                <w:sz w:val="20"/>
                <w:szCs w:val="20"/>
                <w:color w:val="auto"/>
              </w:rPr>
            </w:pPr>
            <w:r>
              <w:rPr>
                <w:rFonts w:ascii="Arial" w:cs="Arial" w:eastAsia="Arial" w:hAnsi="Arial"/>
                <w:sz w:val="18"/>
                <w:szCs w:val="18"/>
                <w:i w:val="1"/>
                <w:iCs w:val="1"/>
                <w:color w:val="auto"/>
              </w:rPr>
              <w:t>—</w:t>
            </w:r>
          </w:p>
        </w:tc>
        <w:tc>
          <w:tcPr>
            <w:tcW w:w="28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(967)</w:t>
            </w:r>
          </w:p>
        </w:tc>
        <w:tc>
          <w:tcPr>
            <w:tcW w:w="1160" w:type="dxa"/>
            <w:vAlign w:val="bottom"/>
            <w:gridSpan w:val="2"/>
          </w:tcPr>
          <w:p>
            <w:pPr>
              <w:jc w:val="right"/>
              <w:spacing w:after="0"/>
              <w:rPr>
                <w:sz w:val="20"/>
                <w:szCs w:val="20"/>
                <w:color w:val="auto"/>
              </w:rPr>
            </w:pPr>
            <w:r>
              <w:rPr>
                <w:rFonts w:ascii="Arial" w:cs="Arial" w:eastAsia="Arial" w:hAnsi="Arial"/>
                <w:sz w:val="18"/>
                <w:szCs w:val="18"/>
                <w:i w:val="1"/>
                <w:iCs w:val="1"/>
                <w:color w:val="auto"/>
              </w:rPr>
              <w:t>103.1 %</w:t>
            </w:r>
          </w:p>
        </w:tc>
        <w:tc>
          <w:tcPr>
            <w:tcW w:w="0" w:type="dxa"/>
            <w:vAlign w:val="bottom"/>
          </w:tcPr>
          <w:p>
            <w:pPr>
              <w:spacing w:after="0"/>
              <w:rPr>
                <w:sz w:val="1"/>
                <w:szCs w:val="1"/>
                <w:color w:val="auto"/>
              </w:rPr>
            </w:pPr>
          </w:p>
        </w:tc>
      </w:tr>
      <w:tr>
        <w:trPr>
          <w:trHeight w:val="227"/>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(2,227)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(2,129)</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i w:val="1"/>
                <w:iCs w:val="1"/>
                <w:color w:val="auto"/>
              </w:rPr>
              <w:t>4.6 %</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(6,692)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(7,970)</w:t>
            </w:r>
          </w:p>
        </w:tc>
        <w:tc>
          <w:tcPr>
            <w:tcW w:w="1160" w:type="dxa"/>
            <w:vAlign w:val="bottom"/>
            <w:gridSpan w:val="2"/>
            <w:shd w:val="clear" w:color="auto" w:fill="CCEEFF"/>
          </w:tcPr>
          <w:p>
            <w:pPr>
              <w:ind w:left="560"/>
              <w:spacing w:after="0"/>
              <w:rPr>
                <w:sz w:val="20"/>
                <w:szCs w:val="20"/>
                <w:color w:val="auto"/>
              </w:rPr>
            </w:pPr>
            <w:r>
              <w:rPr>
                <w:rFonts w:ascii="Arial" w:cs="Arial" w:eastAsia="Arial" w:hAnsi="Arial"/>
                <w:sz w:val="18"/>
                <w:szCs w:val="18"/>
                <w:i w:val="1"/>
                <w:iCs w:val="1"/>
                <w:color w:val="auto"/>
                <w:w w:val="91"/>
              </w:rPr>
              <w:t>(16.0)%</w:t>
            </w:r>
          </w:p>
        </w:tc>
        <w:tc>
          <w:tcPr>
            <w:tcW w:w="0" w:type="dxa"/>
            <w:vAlign w:val="bottom"/>
          </w:tcPr>
          <w:p>
            <w:pPr>
              <w:spacing w:after="0"/>
              <w:rPr>
                <w:sz w:val="1"/>
                <w:szCs w:val="1"/>
                <w:color w:val="auto"/>
              </w:rPr>
            </w:pPr>
          </w:p>
        </w:tc>
      </w:tr>
      <w:tr>
        <w:trPr>
          <w:trHeight w:val="225"/>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(149)</w:t>
            </w:r>
          </w:p>
        </w:tc>
        <w:tc>
          <w:tcPr>
            <w:tcW w:w="1260" w:type="dxa"/>
            <w:vAlign w:val="bottom"/>
            <w:tcBorders>
              <w:bottom w:val="single" w:sz="8" w:color="CCEEFF"/>
            </w:tcBorders>
          </w:tcPr>
          <w:p>
            <w:pPr>
              <w:jc w:val="right"/>
              <w:ind w:right="54"/>
              <w:spacing w:after="0"/>
              <w:rPr>
                <w:sz w:val="20"/>
                <w:szCs w:val="20"/>
                <w:color w:val="auto"/>
              </w:rPr>
            </w:pPr>
            <w:r>
              <w:rPr>
                <w:rFonts w:ascii="Arial" w:cs="Arial" w:eastAsia="Arial" w:hAnsi="Arial"/>
                <w:sz w:val="18"/>
                <w:szCs w:val="18"/>
                <w:i w:val="1"/>
                <w:iCs w:val="1"/>
                <w:color w:val="auto"/>
              </w:rPr>
              <w:t>(39.6)%</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(447)</w:t>
            </w:r>
          </w:p>
        </w:tc>
        <w:tc>
          <w:tcPr>
            <w:tcW w:w="1160" w:type="dxa"/>
            <w:vAlign w:val="bottom"/>
            <w:tcBorders>
              <w:bottom w:val="single" w:sz="8" w:color="CCEEFF"/>
            </w:tcBorders>
            <w:gridSpan w:val="2"/>
          </w:tcPr>
          <w:p>
            <w:pPr>
              <w:ind w:left="560"/>
              <w:spacing w:after="0"/>
              <w:rPr>
                <w:sz w:val="20"/>
                <w:szCs w:val="20"/>
                <w:color w:val="auto"/>
              </w:rPr>
            </w:pPr>
            <w:r>
              <w:rPr>
                <w:rFonts w:ascii="Arial" w:cs="Arial" w:eastAsia="Arial" w:hAnsi="Arial"/>
                <w:sz w:val="18"/>
                <w:szCs w:val="18"/>
                <w:i w:val="1"/>
                <w:iCs w:val="1"/>
                <w:color w:val="auto"/>
                <w:w w:val="91"/>
              </w:rPr>
              <w:t>(39.1)%</w:t>
            </w:r>
          </w:p>
        </w:tc>
        <w:tc>
          <w:tcPr>
            <w:tcW w:w="0" w:type="dxa"/>
            <w:vAlign w:val="bottom"/>
          </w:tcPr>
          <w:p>
            <w:pPr>
              <w:spacing w:after="0"/>
              <w:rPr>
                <w:sz w:val="1"/>
                <w:szCs w:val="1"/>
                <w:color w:val="auto"/>
              </w:rPr>
            </w:pPr>
          </w:p>
        </w:tc>
      </w:tr>
      <w:tr>
        <w:trPr>
          <w:trHeight w:val="220"/>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before taxes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(21,301)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30,748</w:t>
            </w:r>
          </w:p>
        </w:tc>
        <w:tc>
          <w:tcPr>
            <w:tcW w:w="1260" w:type="dxa"/>
            <w:vAlign w:val="bottom"/>
            <w:shd w:val="clear" w:color="auto" w:fill="CCEEFF"/>
          </w:tcPr>
          <w:p>
            <w:pPr>
              <w:jc w:val="right"/>
              <w:ind w:right="254"/>
              <w:spacing w:after="0"/>
              <w:rPr>
                <w:sz w:val="20"/>
                <w:szCs w:val="20"/>
                <w:color w:val="auto"/>
              </w:rPr>
            </w:pPr>
            <w:r>
              <w:rPr>
                <w:rFonts w:ascii="Arial" w:cs="Arial" w:eastAsia="Arial" w:hAnsi="Arial"/>
                <w:sz w:val="18"/>
                <w:szCs w:val="18"/>
                <w:i w:val="1"/>
                <w:iCs w:val="1"/>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(129,647)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29,290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2,588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4,465</w:t>
            </w:r>
          </w:p>
        </w:tc>
        <w:tc>
          <w:tcPr>
            <w:tcW w:w="1260" w:type="dxa"/>
            <w:vAlign w:val="bottom"/>
            <w:tcBorders>
              <w:bottom w:val="single" w:sz="8" w:color="CCEEFF"/>
            </w:tcBorders>
          </w:tcPr>
          <w:p>
            <w:pPr>
              <w:jc w:val="right"/>
              <w:ind w:right="54"/>
              <w:spacing w:after="0"/>
              <w:rPr>
                <w:sz w:val="20"/>
                <w:szCs w:val="20"/>
                <w:color w:val="auto"/>
              </w:rPr>
            </w:pPr>
            <w:r>
              <w:rPr>
                <w:rFonts w:ascii="Arial" w:cs="Arial" w:eastAsia="Arial" w:hAnsi="Arial"/>
                <w:sz w:val="18"/>
                <w:szCs w:val="18"/>
                <w:i w:val="1"/>
                <w:iCs w:val="1"/>
                <w:color w:val="auto"/>
              </w:rPr>
              <w:t>(42.0)%</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(23,141)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4,208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45"/>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(23,889)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26,283</w:t>
            </w:r>
          </w:p>
        </w:tc>
        <w:tc>
          <w:tcPr>
            <w:tcW w:w="12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i w:val="1"/>
                <w:iCs w:val="1"/>
                <w:color w:val="auto"/>
              </w:rPr>
              <w:t>—</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(106,506)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25,082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140" w:type="dxa"/>
            <w:vAlign w:val="bottom"/>
          </w:tcPr>
          <w:p>
            <w:pPr>
              <w:ind w:left="20"/>
              <w:spacing w:after="0" w:line="199" w:lineRule="exact"/>
              <w:rPr>
                <w:sz w:val="20"/>
                <w:szCs w:val="20"/>
                <w:color w:val="auto"/>
              </w:rPr>
            </w:pPr>
            <w:r>
              <w:rPr>
                <w:rFonts w:ascii="Arial" w:cs="Arial" w:eastAsia="Arial" w:hAnsi="Arial"/>
                <w:sz w:val="18"/>
                <w:szCs w:val="18"/>
                <w:color w:val="auto"/>
                <w:w w:val="98"/>
              </w:rPr>
              <w:t xml:space="preserve">Adjusted net operating (loss) income </w:t>
            </w:r>
            <w:r>
              <w:rPr>
                <w:rFonts w:ascii="Arial" w:cs="Arial" w:eastAsia="Arial" w:hAnsi="Arial"/>
                <w:sz w:val="14"/>
                <w:szCs w:val="14"/>
                <w:color w:val="auto"/>
                <w:w w:val="98"/>
              </w:rPr>
              <w:t>(4)</w:t>
            </w:r>
          </w:p>
        </w:tc>
        <w:tc>
          <w:tcPr>
            <w:tcW w:w="280" w:type="dxa"/>
            <w:vAlign w:val="bottom"/>
            <w:tcBorders>
              <w:bottom w:val="single" w:sz="8" w:color="auto"/>
            </w:tcBorders>
          </w:tcPr>
          <w:p>
            <w:pPr>
              <w:jc w:val="right"/>
              <w:ind w:right="91"/>
              <w:spacing w:after="0" w:line="199"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4"/>
              <w:spacing w:after="0" w:line="199" w:lineRule="exact"/>
              <w:rPr>
                <w:sz w:val="20"/>
                <w:szCs w:val="20"/>
                <w:color w:val="auto"/>
              </w:rPr>
            </w:pPr>
            <w:r>
              <w:rPr>
                <w:rFonts w:ascii="Arial" w:cs="Arial" w:eastAsia="Arial" w:hAnsi="Arial"/>
                <w:sz w:val="18"/>
                <w:szCs w:val="18"/>
                <w:color w:val="auto"/>
              </w:rPr>
              <w:t>(26,814)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1"/>
              <w:spacing w:after="0" w:line="199"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2"/>
              <w:spacing w:after="0" w:line="199" w:lineRule="exact"/>
              <w:rPr>
                <w:sz w:val="20"/>
                <w:szCs w:val="20"/>
                <w:color w:val="auto"/>
              </w:rPr>
            </w:pPr>
            <w:r>
              <w:rPr>
                <w:rFonts w:ascii="Arial" w:cs="Arial" w:eastAsia="Arial" w:hAnsi="Arial"/>
                <w:sz w:val="18"/>
                <w:szCs w:val="18"/>
                <w:color w:val="auto"/>
              </w:rPr>
              <w:t>17,382</w:t>
            </w:r>
          </w:p>
        </w:tc>
        <w:tc>
          <w:tcPr>
            <w:tcW w:w="1260" w:type="dxa"/>
            <w:vAlign w:val="bottom"/>
          </w:tcPr>
          <w:p>
            <w:pPr>
              <w:jc w:val="right"/>
              <w:ind w:right="254"/>
              <w:spacing w:after="0" w:line="199" w:lineRule="exact"/>
              <w:rPr>
                <w:sz w:val="20"/>
                <w:szCs w:val="20"/>
                <w:color w:val="auto"/>
              </w:rPr>
            </w:pPr>
            <w:r>
              <w:rPr>
                <w:rFonts w:ascii="Arial" w:cs="Arial" w:eastAsia="Arial" w:hAnsi="Arial"/>
                <w:sz w:val="18"/>
                <w:szCs w:val="18"/>
                <w:i w:val="1"/>
                <w:iCs w:val="1"/>
                <w:color w:val="auto"/>
              </w:rPr>
              <w:t>—</w:t>
            </w:r>
          </w:p>
        </w:tc>
        <w:tc>
          <w:tcPr>
            <w:tcW w:w="280" w:type="dxa"/>
            <w:vAlign w:val="bottom"/>
            <w:tcBorders>
              <w:bottom w:val="single" w:sz="8" w:color="auto"/>
            </w:tcBorders>
          </w:tcPr>
          <w:p>
            <w:pPr>
              <w:jc w:val="right"/>
              <w:ind w:right="91"/>
              <w:spacing w:after="0" w:line="199"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74"/>
              <w:spacing w:after="0" w:line="199" w:lineRule="exact"/>
              <w:rPr>
                <w:sz w:val="20"/>
                <w:szCs w:val="20"/>
                <w:color w:val="auto"/>
              </w:rPr>
            </w:pPr>
            <w:r>
              <w:rPr>
                <w:rFonts w:ascii="Arial" w:cs="Arial" w:eastAsia="Arial" w:hAnsi="Arial"/>
                <w:sz w:val="18"/>
                <w:szCs w:val="18"/>
                <w:color w:val="auto"/>
              </w:rPr>
              <w:t>(116,780)</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1"/>
              <w:spacing w:after="0" w:line="199"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2"/>
              <w:spacing w:after="0" w:line="199" w:lineRule="exact"/>
              <w:rPr>
                <w:sz w:val="20"/>
                <w:szCs w:val="20"/>
                <w:color w:val="auto"/>
              </w:rPr>
            </w:pPr>
            <w:r>
              <w:rPr>
                <w:rFonts w:ascii="Arial" w:cs="Arial" w:eastAsia="Arial" w:hAnsi="Arial"/>
                <w:sz w:val="18"/>
                <w:szCs w:val="18"/>
                <w:color w:val="auto"/>
              </w:rPr>
              <w:t>50,179</w:t>
            </w:r>
          </w:p>
        </w:tc>
        <w:tc>
          <w:tcPr>
            <w:tcW w:w="120" w:type="dxa"/>
            <w:vAlign w:val="bottom"/>
          </w:tcPr>
          <w:p>
            <w:pPr>
              <w:spacing w:after="0"/>
              <w:rPr>
                <w:sz w:val="17"/>
                <w:szCs w:val="17"/>
                <w:color w:val="auto"/>
              </w:rPr>
            </w:pPr>
          </w:p>
        </w:tc>
        <w:tc>
          <w:tcPr>
            <w:tcW w:w="1040" w:type="dxa"/>
            <w:vAlign w:val="bottom"/>
          </w:tcPr>
          <w:p>
            <w:pPr>
              <w:jc w:val="right"/>
              <w:ind w:right="134"/>
              <w:spacing w:after="0" w:line="199"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97.3 %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69.4 %</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109.1 %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122.1 %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94.2 %</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135.6 %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96.6 %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Accident year loss ratio </w:t>
            </w:r>
            <w:r>
              <w:rPr>
                <w:rFonts w:ascii="Arial" w:cs="Arial" w:eastAsia="Arial" w:hAnsi="Arial"/>
                <w:sz w:val="14"/>
                <w:szCs w:val="14"/>
                <w:color w:val="auto"/>
              </w:rPr>
              <w:t>(5)</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66.0 %</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140"/>
              <w:spacing w:after="0"/>
              <w:rPr>
                <w:sz w:val="20"/>
                <w:szCs w:val="20"/>
                <w:color w:val="auto"/>
              </w:rPr>
            </w:pPr>
            <w:r>
              <w:rPr>
                <w:rFonts w:ascii="Arial" w:cs="Arial" w:eastAsia="Arial" w:hAnsi="Arial"/>
                <w:sz w:val="18"/>
                <w:szCs w:val="18"/>
                <w:color w:val="auto"/>
              </w:rPr>
              <w:t xml:space="preserve">Accident year loss ratio ex-cat </w:t>
            </w:r>
            <w:r>
              <w:rPr>
                <w:rFonts w:ascii="Arial" w:cs="Arial" w:eastAsia="Arial" w:hAnsi="Arial"/>
                <w:sz w:val="14"/>
                <w:szCs w:val="14"/>
                <w:color w:val="auto"/>
              </w:rPr>
              <w:t>(6)</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68.6 %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66.6 %</w:t>
            </w: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66.2 %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66.0 %</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40" w:hanging="315"/>
        <w:spacing w:after="0"/>
        <w:tabs>
          <w:tab w:leader="none" w:pos="64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Net retention is defined as the ratio of net written premiums to gross written premiums.</w:t>
      </w:r>
    </w:p>
    <w:p>
      <w:pPr>
        <w:spacing w:after="0" w:line="58" w:lineRule="exact"/>
        <w:rPr>
          <w:rFonts w:ascii="Arial" w:cs="Arial" w:eastAsia="Arial" w:hAnsi="Arial"/>
          <w:sz w:val="18"/>
          <w:szCs w:val="18"/>
          <w:i w:val="1"/>
          <w:iCs w:val="1"/>
          <w:color w:val="auto"/>
        </w:rPr>
      </w:pPr>
    </w:p>
    <w:p>
      <w:pPr>
        <w:ind w:left="640" w:right="160" w:hanging="315"/>
        <w:spacing w:after="0" w:line="266"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profit is a non-GAAP measure. See “Reconciliation of Non-GAAP Measures” for a reconciliation to (loss) income before taxes and for additional information.</w:t>
      </w:r>
    </w:p>
    <w:p>
      <w:pPr>
        <w:spacing w:after="0" w:line="19" w:lineRule="exact"/>
        <w:rPr>
          <w:rFonts w:ascii="Arial" w:cs="Arial" w:eastAsia="Arial" w:hAnsi="Arial"/>
          <w:sz w:val="18"/>
          <w:szCs w:val="18"/>
          <w:i w:val="1"/>
          <w:iCs w:val="1"/>
          <w:color w:val="auto"/>
        </w:rPr>
      </w:pPr>
    </w:p>
    <w:p>
      <w:pPr>
        <w:ind w:left="640" w:right="440" w:hanging="315"/>
        <w:spacing w:after="0" w:line="266"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nine months ended September 30, 2021 is gross fee income of $5.6 million and $16.2 million, respectively ($4.6 million and $15.8 million in the respective prior year periods).</w:t>
      </w:r>
    </w:p>
    <w:p>
      <w:pPr>
        <w:spacing w:after="0" w:line="19" w:lineRule="exact"/>
        <w:rPr>
          <w:rFonts w:ascii="Arial" w:cs="Arial" w:eastAsia="Arial" w:hAnsi="Arial"/>
          <w:sz w:val="18"/>
          <w:szCs w:val="18"/>
          <w:i w:val="1"/>
          <w:iCs w:val="1"/>
          <w:color w:val="auto"/>
        </w:rPr>
      </w:pPr>
    </w:p>
    <w:p>
      <w:pPr>
        <w:ind w:left="640" w:right="20" w:hanging="315"/>
        <w:spacing w:after="0" w:line="266"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Adjusted net operating (loss) income is a non-GAAP measure. See “Reconciliation of Non-GAAP Measures” for a reconciliation to net (loss) income and for additional information.</w:t>
      </w:r>
    </w:p>
    <w:p>
      <w:pPr>
        <w:spacing w:after="0" w:line="19" w:lineRule="exact"/>
        <w:rPr>
          <w:rFonts w:ascii="Arial" w:cs="Arial" w:eastAsia="Arial" w:hAnsi="Arial"/>
          <w:sz w:val="18"/>
          <w:szCs w:val="18"/>
          <w:i w:val="1"/>
          <w:iCs w:val="1"/>
          <w:color w:val="auto"/>
        </w:rPr>
      </w:pPr>
    </w:p>
    <w:p>
      <w:pPr>
        <w:ind w:left="640" w:right="120" w:hanging="315"/>
        <w:spacing w:after="0" w:line="266"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Accident year loss ratio is defined as the ratio of losses and loss adjustment expenses for the current accident year (excluding development on prior accident year reserves) to net earned premiums.</w:t>
      </w:r>
    </w:p>
    <w:p>
      <w:pPr>
        <w:spacing w:after="0" w:line="19" w:lineRule="exact"/>
        <w:rPr>
          <w:rFonts w:ascii="Arial" w:cs="Arial" w:eastAsia="Arial" w:hAnsi="Arial"/>
          <w:sz w:val="18"/>
          <w:szCs w:val="18"/>
          <w:i w:val="1"/>
          <w:iCs w:val="1"/>
          <w:color w:val="auto"/>
        </w:rPr>
      </w:pPr>
    </w:p>
    <w:p>
      <w:pPr>
        <w:ind w:left="640" w:right="920" w:hanging="315"/>
        <w:spacing w:after="0" w:line="266" w:lineRule="auto"/>
        <w:tabs>
          <w:tab w:leader="none" w:pos="634"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Accident year loss ratio excluding the $5.0 million of net catastrophe losses related to Hurricane Ida in the three and nine months ended September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and 2020</w:t>
      </w:r>
    </w:p>
    <w:p>
      <w:pPr>
        <w:spacing w:after="0" w:line="112"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 had an underwriting loss of $37.6 million for the three months ended September 30, 2021 compared to an underwriting profit of $8.9 million for the same period in the prior year. Several significant items negatively impacted the underwriting results for the current quarter. They include the following:</w:t>
      </w:r>
    </w:p>
    <w:p>
      <w:pPr>
        <w:spacing w:after="0" w:line="82" w:lineRule="exact"/>
        <w:rPr>
          <w:sz w:val="20"/>
          <w:szCs w:val="20"/>
          <w:color w:val="auto"/>
        </w:rPr>
      </w:pPr>
    </w:p>
    <w:p>
      <w:pPr>
        <w:jc w:val="both"/>
        <w:ind w:left="640" w:hanging="315"/>
        <w:spacing w:after="0" w:line="256"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portfolio transfer transaction effective July 1, 2021 (discussed above) resulted in a $29.6 million pre-tax loss in the current quarter that was recognized as adverse loss and loss adjustment reserve development, of which $15.8 million related to claims handling costs, in the Excess and Surplus Lines segment.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640" w:hanging="315"/>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Net adverse reserve development in the Casualty Reinsurance segment of $15.1 million, primarily associated with treaties the Company has exited.</w:t>
      </w:r>
    </w:p>
    <w:p>
      <w:pPr>
        <w:spacing w:after="0" w:line="135" w:lineRule="exact"/>
        <w:rPr>
          <w:rFonts w:ascii="Arial" w:cs="Arial" w:eastAsia="Arial" w:hAnsi="Arial"/>
          <w:sz w:val="16"/>
          <w:szCs w:val="16"/>
          <w:color w:val="auto"/>
        </w:rPr>
      </w:pPr>
    </w:p>
    <w:p>
      <w:pPr>
        <w:ind w:left="640" w:hanging="315"/>
        <w:spacing w:after="0" w:line="329" w:lineRule="auto"/>
        <w:tabs>
          <w:tab w:leader="none" w:pos="6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$8.1 million of reinstatement premium, including $6.4 million triggered by one claim on a 2019 excess of loss treaty in the Excess and Surplus Lines segment. The reinstatement premium reduced net written and net earned premium in the quarter, and increased the underwriting loss.</w:t>
      </w:r>
    </w:p>
    <w:p>
      <w:pPr>
        <w:spacing w:after="0" w:line="27" w:lineRule="exact"/>
        <w:rPr>
          <w:rFonts w:ascii="Arial" w:cs="Arial" w:eastAsia="Arial" w:hAnsi="Arial"/>
          <w:sz w:val="16"/>
          <w:szCs w:val="16"/>
          <w:color w:val="auto"/>
        </w:rPr>
      </w:pPr>
    </w:p>
    <w:p>
      <w:pPr>
        <w:ind w:left="640" w:hanging="315"/>
        <w:spacing w:after="0" w:line="266"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$5.0 million of net catastrophe losses related to Hurricane Ida, primarily in the Company's Excess Property book in the Excess and Surplus Lines segment.</w:t>
      </w:r>
    </w:p>
    <w:p>
      <w:pPr>
        <w:spacing w:after="0" w:line="73"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The results for the three months ended September 30, 2021 and 2020 also include certain non-operating items that are significant to the Company. These items (on a pre-tax basis) include:</w:t>
      </w:r>
    </w:p>
    <w:p>
      <w:pPr>
        <w:spacing w:after="0" w:line="73" w:lineRule="exact"/>
        <w:rPr>
          <w:sz w:val="20"/>
          <w:szCs w:val="20"/>
          <w:color w:val="auto"/>
        </w:rPr>
      </w:pPr>
    </w:p>
    <w:p>
      <w:pPr>
        <w:jc w:val="both"/>
        <w:ind w:left="640" w:hanging="315"/>
        <w:spacing w:after="0" w:line="294" w:lineRule="auto"/>
        <w:tabs>
          <w:tab w:leader="none" w:pos="635"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 xml:space="preserve">Net realized and unrealized investment gains of $4.0 million and $8.9 million for the three months ended September 30, 2021 and 2020, respectively. </w:t>
      </w:r>
      <w:r>
        <w:rPr>
          <w:rFonts w:ascii="Arial" w:cs="Arial" w:eastAsia="Arial" w:hAnsi="Arial"/>
          <w:sz w:val="16"/>
          <w:szCs w:val="16"/>
          <w:color w:val="231F20"/>
        </w:rPr>
        <w:t xml:space="preserve">The net realized and unrealized investment gains </w:t>
      </w:r>
      <w:r>
        <w:rPr>
          <w:rFonts w:ascii="Arial" w:cs="Arial" w:eastAsia="Arial" w:hAnsi="Arial"/>
          <w:sz w:val="16"/>
          <w:szCs w:val="16"/>
          <w:color w:val="000000"/>
        </w:rPr>
        <w:t>f</w:t>
      </w:r>
      <w:r>
        <w:rPr>
          <w:rFonts w:ascii="Arial" w:cs="Arial" w:eastAsia="Arial" w:hAnsi="Arial"/>
          <w:sz w:val="16"/>
          <w:szCs w:val="16"/>
          <w:color w:val="231F20"/>
        </w:rPr>
        <w:t xml:space="preserve">or the </w:t>
      </w:r>
      <w:r>
        <w:rPr>
          <w:rFonts w:ascii="Arial" w:cs="Arial" w:eastAsia="Arial" w:hAnsi="Arial"/>
          <w:sz w:val="16"/>
          <w:szCs w:val="16"/>
          <w:color w:val="000000"/>
        </w:rPr>
        <w:t>three months ended September 30, 2021</w:t>
      </w:r>
      <w:r>
        <w:rPr>
          <w:rFonts w:ascii="Arial" w:cs="Arial" w:eastAsia="Arial" w:hAnsi="Arial"/>
          <w:sz w:val="16"/>
          <w:szCs w:val="16"/>
          <w:color w:val="231F20"/>
        </w:rPr>
        <w:t xml:space="preserve"> include $643,000 and $375,000 related to changes in unrealized gains and losses on equity securities and bank loan participations, respectively ($2.4 million and $9.7 million for the </w:t>
      </w:r>
      <w:r>
        <w:rPr>
          <w:rFonts w:ascii="Arial" w:cs="Arial" w:eastAsia="Arial" w:hAnsi="Arial"/>
          <w:sz w:val="16"/>
          <w:szCs w:val="16"/>
          <w:color w:val="000000"/>
        </w:rPr>
        <w:t>three months</w:t>
      </w:r>
      <w:r>
        <w:rPr>
          <w:rFonts w:ascii="Arial" w:cs="Arial" w:eastAsia="Arial" w:hAnsi="Arial"/>
          <w:sz w:val="16"/>
          <w:szCs w:val="16"/>
          <w:color w:val="231F20"/>
        </w:rPr>
        <w:t xml:space="preserve"> </w:t>
      </w:r>
      <w:r>
        <w:rPr>
          <w:rFonts w:ascii="Arial" w:cs="Arial" w:eastAsia="Arial" w:hAnsi="Arial"/>
          <w:sz w:val="16"/>
          <w:szCs w:val="16"/>
          <w:color w:val="000000"/>
        </w:rPr>
        <w:t>ended September 30, 2020</w:t>
      </w:r>
      <w:r>
        <w:rPr>
          <w:rFonts w:ascii="Arial" w:cs="Arial" w:eastAsia="Arial" w:hAnsi="Arial"/>
          <w:sz w:val="16"/>
          <w:szCs w:val="16"/>
          <w:color w:val="231F20"/>
        </w:rPr>
        <w:t>, respectively).</w:t>
      </w:r>
      <w:r>
        <w:rPr>
          <w:rFonts w:ascii="Arial" w:cs="Arial" w:eastAsia="Arial" w:hAnsi="Arial"/>
          <w:sz w:val="16"/>
          <w:szCs w:val="16"/>
          <w:color w:val="000000"/>
        </w:rPr>
        <w:t xml:space="preserve"> See “— Investing Results" for more information on these realized and unrealized investment gains.</w:t>
      </w:r>
    </w:p>
    <w:p>
      <w:pPr>
        <w:spacing w:after="0" w:line="56"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We define adjusted net operating (loss) income as net (loss) income excluding net realized and unrealized gains (losses) on investments, and certain non-operating expenses such as professional service fees related to various strategic initiatives and the filing of registration statements for the offering of securities, and severance costs associated with terminated employees. We use adjusted net operating (loss) income as an internal performance measure in the management of our operations because we believe it gives our management and other users of our financial information useful insight into our results of operations and our underlying business performance. Adjusted net operating (loss) income should not be viewed as a substitute for net (loss) income calculated in accordance with GAAP, and our definition of adjusted net operating (loss) income may not be comparable to that of other companies.</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(loss) income before taxes and net (loss) income reconcile to our adjusted net operating (loss) income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jc w:val="center"/>
              <w:ind w:right="380"/>
              <w:spacing w:after="0" w:line="127"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440" w:type="dxa"/>
            <w:vAlign w:val="bottom"/>
          </w:tcPr>
          <w:p>
            <w:pPr>
              <w:spacing w:after="0"/>
              <w:rPr>
                <w:sz w:val="11"/>
                <w:szCs w:val="11"/>
                <w:color w:val="auto"/>
              </w:rPr>
            </w:pPr>
          </w:p>
        </w:tc>
        <w:tc>
          <w:tcPr>
            <w:tcW w:w="980" w:type="dxa"/>
            <w:vAlign w:val="bottom"/>
            <w:gridSpan w:val="2"/>
          </w:tcPr>
          <w:p>
            <w:pPr>
              <w:jc w:val="center"/>
              <w:ind w:right="540"/>
              <w:spacing w:after="0" w:line="127"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1"/>
                <w:szCs w:val="11"/>
                <w:color w:val="auto"/>
              </w:rPr>
            </w:pPr>
          </w:p>
        </w:tc>
        <w:tc>
          <w:tcPr>
            <w:tcW w:w="104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3"/>
        </w:trPr>
        <w:tc>
          <w:tcPr>
            <w:tcW w:w="5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Before</w:t>
            </w: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0"/>
              </w:rPr>
              <w:t>Before</w:t>
            </w:r>
          </w:p>
        </w:tc>
        <w:tc>
          <w:tcPr>
            <w:tcW w:w="2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85"/>
              </w:rPr>
              <w:t>Taxes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77"/>
        </w:trPr>
        <w:tc>
          <w:tcPr>
            <w:tcW w:w="5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as reported</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0" w:type="dxa"/>
            <w:vAlign w:val="bottom"/>
          </w:tcPr>
          <w:p>
            <w:pPr>
              <w:spacing w:after="0"/>
              <w:rPr>
                <w:sz w:val="1"/>
                <w:szCs w:val="1"/>
                <w:color w:val="auto"/>
              </w:rPr>
            </w:pPr>
          </w:p>
        </w:tc>
      </w:tr>
      <w:tr>
        <w:trPr>
          <w:trHeight w:val="225"/>
        </w:trPr>
        <w:tc>
          <w:tcPr>
            <w:tcW w:w="562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(8,824)</w:t>
            </w: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0"/>
        </w:trPr>
        <w:tc>
          <w:tcPr>
            <w:tcW w:w="5620" w:type="dxa"/>
            <w:vAlign w:val="bottom"/>
          </w:tcPr>
          <w:p>
            <w:pPr>
              <w:ind w:left="20"/>
              <w:spacing w:after="0"/>
              <w:rPr>
                <w:sz w:val="20"/>
                <w:szCs w:val="20"/>
                <w:color w:val="auto"/>
              </w:rPr>
            </w:pPr>
            <w:r>
              <w:rPr>
                <w:rFonts w:ascii="Arial" w:cs="Arial" w:eastAsia="Arial" w:hAnsi="Arial"/>
                <w:sz w:val="18"/>
                <w:szCs w:val="18"/>
                <w:color w:val="auto"/>
              </w:rPr>
              <w:t>Adjusted net operating (loss) income</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Ratios</w:t>
      </w:r>
    </w:p>
    <w:p>
      <w:pPr>
        <w:spacing w:after="0" w:line="112" w:lineRule="exact"/>
        <w:rPr>
          <w:sz w:val="20"/>
          <w:szCs w:val="20"/>
          <w:color w:val="auto"/>
        </w:rPr>
      </w:pPr>
    </w:p>
    <w:p>
      <w:pPr>
        <w:jc w:val="both"/>
        <w:ind w:firstLine="319"/>
        <w:spacing w:after="0" w:line="283" w:lineRule="auto"/>
        <w:rPr>
          <w:sz w:val="20"/>
          <w:szCs w:val="20"/>
          <w:color w:val="auto"/>
        </w:rPr>
      </w:pPr>
      <w:r>
        <w:rPr>
          <w:rFonts w:ascii="Arial" w:cs="Arial" w:eastAsia="Arial" w:hAnsi="Arial"/>
          <w:sz w:val="16"/>
          <w:szCs w:val="16"/>
          <w:color w:val="auto"/>
        </w:rPr>
        <w:t>The combined ratio is a measure of underwriting performance and represents the relationship of incurred losses, loss adjustment expenses and other operating expenses to net earned premiums. Our combined ratio for the three months ended September 30, 2021 was 122.1%. A combined ratio of less than 100% indicates an underwriting profit, while a combined ratio greater than 100% reflects an underwriting loss. The combined ratio for the three months ended September 30, 2021 includes $44.1 million, or 25.8 percentage points, of net adverse reserve development on prior accident years, including $29.5 million of net adverse loss and loss adjustment reserve development from the Excess and Surplus Lines segment, $500,000 of net favorable reserve development from the Specialty Admitted Insurance segment, and $15.1 million of net adverse reserve development from the Casualty Reinsurance segment, primarily associated with treaties the Company has exited. As discussed above, $29.6 million (17.3 points) of the adverse loss and loss adjustment reserve development in the Excess and Surplus Lines segment, of which $15.8 million related to claims handling costs, was associated with the loss portfolio transfer effective July 1, 2021. The combined ratio for the current quarter was also negatively impacted by the aforementioned $8.1 million (5.5 points) of reinstatement premium, and $5.0 million (2.9 points) of net catastrophe losses related to Hurricane Ida.</w:t>
      </w:r>
    </w:p>
    <w:p>
      <w:pPr>
        <w:spacing w:after="0" w:line="64"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combined ratio for the three months ended September 30, 2020 was 94.2%. The combined ratio for the three months ended September 30, 2020 includes $4.2 million, or 2.8 percentage points, of net adverse reserve development on prior accident years, including $27,000 of net adverse reserve development from the Excess and Surplus Lines segment, $2.0 million of net favorable reserve development from the Specialty Admitted Insurance segment, and $6.2 million of net adverse reserve development from the Casualty Reinsurance segment.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Additionally, each of the Company’s U.S.-domiciled insurance subsidiaries is a party to a quota share reinsurance agreement that in periods prior to January 1, 2018 ceded 70% of their premiums and losses to JRG Re, and starting January 1, 2018, ceded 70% of their premiums and losses to Carolina Re, an entity domiciled in Bermuda that made an irrevocable election to be taxed as a U.S. domestic corporation under Section 953(d) of the Internal Revenue Code of 1986, as amended, effective January 1, 2018. JRG Re also provides aggregate stop loss reinsurance to Carolina Re.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Ratios</w:t>
      </w:r>
    </w:p>
    <w:p>
      <w:pPr>
        <w:spacing w:after="0" w:line="112"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Our expense ratio was 24.8% for both the three months ended September 30, 2021 and 2020. The expense ratio for the current quarter reflects a 10.9% increase in the Core E&amp;S net earned premiums of the Excess and Surplus Lines segment including in lines that have meaningful ceding commissions. Gross fee income for the Specialty Admitted Insurance segment increased from $4.6 million in the prior year quarter to $5.6 million in the current quarter driven by new fronting programs and growth in existing fronting programs. The expense ratio for the Specialty Admitted Insurance segment also benefited from a reduction in bad debt expense and true ups to various accruals for state taxes and fees in the quarter.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and 2020</w:t>
      </w:r>
    </w:p>
    <w:p>
      <w:pPr>
        <w:spacing w:after="0" w:line="112"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The Company had an underwriting loss of $179.2 million for the nine months ended September 30, 2021. This compares to an underwriting profit of $15.4 million for the same period in the prior year. Net adverse reserve development on prior accident years was the principal driver of the current year underwriting loss. Underwriting results for the nine months ended September 30, 2021 include $210.8 million of net adverse reserve development on prior accident years, including $190.7 million of net adverse development from the Excess and Surplus Lines segment almost entirely related to a previous commercial auto account, and $22.6 million of net adverse development from the Casualty Reinsurance segment, primarily associated with treaties the Company has exited. As discussed above, $29.6 million of the adverse loss and loss adjustment reserve development in the Excess and Surplus Lines segment, of which $15.8 million related to claims handling costs, was associated with the loss portfolio transfer effective July 1, 2021. Underwriting results for the nine months ended September 30, 2020 included $6.2 million of net adverse reserve development on prior accident years. The underwriting results for the current year were also negatively impacted by the $8.1 million of reinstatement premium and $5.0 million of net catastrophe losses related to Hurricane Ida in the third quarter of 2021.</w:t>
      </w:r>
    </w:p>
    <w:p>
      <w:pPr>
        <w:spacing w:after="0" w:line="75"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The results for the nine months ended September 30, 2021 and 2020 also include certain non-operating items that are significant to the Company. These items (on a pre-tax basis) include:</w:t>
      </w:r>
    </w:p>
    <w:p>
      <w:pPr>
        <w:spacing w:after="0" w:line="73" w:lineRule="exact"/>
        <w:rPr>
          <w:sz w:val="20"/>
          <w:szCs w:val="20"/>
          <w:color w:val="auto"/>
        </w:rPr>
      </w:pPr>
    </w:p>
    <w:p>
      <w:pPr>
        <w:jc w:val="both"/>
        <w:ind w:left="640" w:hanging="315"/>
        <w:spacing w:after="0" w:line="253" w:lineRule="auto"/>
        <w:tabs>
          <w:tab w:leader="none" w:pos="6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Net realized and unrealized investment gains (losses) of $13.7 million and $(27.9) million for the nine months ended September 30, 2021 and 2020, respectively. </w:t>
      </w:r>
      <w:r>
        <w:rPr>
          <w:rFonts w:ascii="Arial" w:cs="Arial" w:eastAsia="Arial" w:hAnsi="Arial"/>
          <w:sz w:val="17"/>
          <w:szCs w:val="17"/>
          <w:color w:val="231F20"/>
        </w:rPr>
        <w:t>For the</w:t>
      </w:r>
      <w:r>
        <w:rPr>
          <w:rFonts w:ascii="Arial" w:cs="Arial" w:eastAsia="Arial" w:hAnsi="Arial"/>
          <w:sz w:val="17"/>
          <w:szCs w:val="17"/>
          <w:color w:val="auto"/>
        </w:rPr>
        <w:t xml:space="preserve"> nine months ended September 30, 2021</w:t>
      </w:r>
      <w:r>
        <w:rPr>
          <w:rFonts w:ascii="Arial" w:cs="Arial" w:eastAsia="Arial" w:hAnsi="Arial"/>
          <w:sz w:val="17"/>
          <w:szCs w:val="17"/>
          <w:color w:val="231F20"/>
        </w:rPr>
        <w:t>, net realized and unrealized gains on investments include $3.8 million and $6.6 million</w:t>
      </w:r>
      <w:r>
        <w:rPr>
          <w:rFonts w:ascii="Arial" w:cs="Arial" w:eastAsia="Arial" w:hAnsi="Arial"/>
          <w:sz w:val="17"/>
          <w:szCs w:val="17"/>
          <w:color w:val="auto"/>
        </w:rPr>
        <w:t xml:space="preserve"> </w:t>
      </w:r>
      <w:r>
        <w:rPr>
          <w:rFonts w:ascii="Arial" w:cs="Arial" w:eastAsia="Arial" w:hAnsi="Arial"/>
          <w:sz w:val="17"/>
          <w:szCs w:val="17"/>
          <w:color w:val="231F20"/>
        </w:rPr>
        <w:t xml:space="preserve">related to changes in unrealized gains and losses on equity securities and bank loan participations, respectively ($(6.9) million and $(7.6) million related to changes in unrealized gains and losses for the </w:t>
      </w:r>
      <w:r>
        <w:rPr>
          <w:rFonts w:ascii="Arial" w:cs="Arial" w:eastAsia="Arial" w:hAnsi="Arial"/>
          <w:sz w:val="17"/>
          <w:szCs w:val="17"/>
          <w:color w:val="000000"/>
        </w:rPr>
        <w:t>nine months ended September 30, 2020</w:t>
      </w:r>
      <w:r>
        <w:rPr>
          <w:rFonts w:ascii="Arial" w:cs="Arial" w:eastAsia="Arial" w:hAnsi="Arial"/>
          <w:sz w:val="17"/>
          <w:szCs w:val="17"/>
          <w:color w:val="231F20"/>
        </w:rPr>
        <w:t xml:space="preserve">, respectively). </w:t>
      </w:r>
      <w:r>
        <w:rPr>
          <w:rFonts w:ascii="Arial" w:cs="Arial" w:eastAsia="Arial" w:hAnsi="Arial"/>
          <w:sz w:val="17"/>
          <w:szCs w:val="17"/>
          <w:color w:val="000000"/>
        </w:rPr>
        <w:t>See “— Investing Results" for more</w:t>
      </w:r>
      <w:r>
        <w:rPr>
          <w:rFonts w:ascii="Arial" w:cs="Arial" w:eastAsia="Arial" w:hAnsi="Arial"/>
          <w:sz w:val="17"/>
          <w:szCs w:val="17"/>
          <w:color w:val="231F20"/>
        </w:rPr>
        <w:t xml:space="preserve"> </w:t>
      </w:r>
      <w:r>
        <w:rPr>
          <w:rFonts w:ascii="Arial" w:cs="Arial" w:eastAsia="Arial" w:hAnsi="Arial"/>
          <w:sz w:val="17"/>
          <w:szCs w:val="17"/>
          <w:color w:val="000000"/>
        </w:rPr>
        <w:t>information on these realized and unrealized investment gains (losses).</w:t>
      </w:r>
    </w:p>
    <w:p>
      <w:pPr>
        <w:spacing w:after="0" w:line="73" w:lineRule="exact"/>
        <w:rPr>
          <w:rFonts w:ascii="Arial" w:cs="Arial" w:eastAsia="Arial" w:hAnsi="Arial"/>
          <w:sz w:val="17"/>
          <w:szCs w:val="17"/>
          <w:color w:val="auto"/>
        </w:rPr>
      </w:pPr>
    </w:p>
    <w:p>
      <w:pPr>
        <w:jc w:val="both"/>
        <w:ind w:left="640" w:hanging="315"/>
        <w:spacing w:after="0" w:line="241"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expenses were $2.0 million and $1.7 million for the nine months ended September 30, 2021 and 2020, respectively, and include employee severance costs, legal and other professional fees related to the Company's May 2021 common share offering, and certain legal and professional consulting fees related to various strategic initiatives.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(loss) income before taxes and net (loss) income reconcile to our adjusted net operating (loss) income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jc w:val="center"/>
              <w:ind w:right="380"/>
              <w:spacing w:after="0" w:line="127"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440" w:type="dxa"/>
            <w:vAlign w:val="bottom"/>
          </w:tcPr>
          <w:p>
            <w:pPr>
              <w:spacing w:after="0"/>
              <w:rPr>
                <w:sz w:val="11"/>
                <w:szCs w:val="11"/>
                <w:color w:val="auto"/>
              </w:rPr>
            </w:pPr>
          </w:p>
        </w:tc>
        <w:tc>
          <w:tcPr>
            <w:tcW w:w="980" w:type="dxa"/>
            <w:vAlign w:val="bottom"/>
            <w:gridSpan w:val="2"/>
          </w:tcPr>
          <w:p>
            <w:pPr>
              <w:jc w:val="center"/>
              <w:ind w:right="540"/>
              <w:spacing w:after="0" w:line="127"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1"/>
                <w:szCs w:val="11"/>
                <w:color w:val="auto"/>
              </w:rPr>
            </w:pPr>
          </w:p>
        </w:tc>
        <w:tc>
          <w:tcPr>
            <w:tcW w:w="104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3"/>
        </w:trPr>
        <w:tc>
          <w:tcPr>
            <w:tcW w:w="5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Before</w:t>
            </w: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0"/>
              </w:rPr>
              <w:t>Before</w:t>
            </w:r>
          </w:p>
        </w:tc>
        <w:tc>
          <w:tcPr>
            <w:tcW w:w="2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85"/>
              </w:rPr>
              <w:t>Taxes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77"/>
        </w:trPr>
        <w:tc>
          <w:tcPr>
            <w:tcW w:w="5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as reported</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25,082</w:t>
            </w:r>
          </w:p>
        </w:tc>
        <w:tc>
          <w:tcPr>
            <w:tcW w:w="0" w:type="dxa"/>
            <w:vAlign w:val="bottom"/>
          </w:tcPr>
          <w:p>
            <w:pPr>
              <w:spacing w:after="0"/>
              <w:rPr>
                <w:sz w:val="1"/>
                <w:szCs w:val="1"/>
                <w:color w:val="auto"/>
              </w:rPr>
            </w:pPr>
          </w:p>
        </w:tc>
      </w:tr>
      <w:tr>
        <w:trPr>
          <w:trHeight w:val="225"/>
        </w:trPr>
        <w:tc>
          <w:tcPr>
            <w:tcW w:w="562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 losses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23,646</w:t>
            </w: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20"/>
        </w:trPr>
        <w:tc>
          <w:tcPr>
            <w:tcW w:w="5620" w:type="dxa"/>
            <w:vAlign w:val="bottom"/>
          </w:tcPr>
          <w:p>
            <w:pPr>
              <w:ind w:left="20"/>
              <w:spacing w:after="0"/>
              <w:rPr>
                <w:sz w:val="20"/>
                <w:szCs w:val="20"/>
                <w:color w:val="auto"/>
              </w:rPr>
            </w:pPr>
            <w:r>
              <w:rPr>
                <w:rFonts w:ascii="Arial" w:cs="Arial" w:eastAsia="Arial" w:hAnsi="Arial"/>
                <w:sz w:val="18"/>
                <w:szCs w:val="18"/>
                <w:color w:val="auto"/>
              </w:rPr>
              <w:t>Adjusted net operating (loss) income</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(116,780)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Ratios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Our combined ratio for the nine months ended September 30, 2021 was 135.6%. The combined ratio for the nine months ended September 30, 2021 includes $210.8 million, or 41.8 percentage points, of net adverse reserve development on prior accident years, including $190.7 million of net adverse reserve development from the Excess and Surplus Lines segment, $2.5 million of net favorable reserve development from the Specialty Admitted Insurance segment, and $22.6 million of net adverse reserve development from the Casualty Reinsurance segment, primarily associated with treaties the Company has exited. As discussed above, $29.6 million (5.9 points) of the adverse loss and loss adjustment reserve development in the Excess and Surplus Lines segment, of which $15.8 million related to claims handling costs, was associated with the loss portfolio transfer effective July 1, 2021. The combined ratio for the current year was also negatively impacted by the $8.1 million (2.1 points) of reinstatement premium and $5.0 million (1.0 points) of net catastrophe losses related to Hurricane Ida in the third quarter of 2021.</w:t>
      </w:r>
    </w:p>
    <w:p>
      <w:pPr>
        <w:spacing w:after="0" w:line="75"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The combined ratio for the nine months ended September 30, 2020 was 96.6%. The combined ratio for the nine months ended September 30, 2020 includes $6.2 million, or 1.4 percentage points, of net adverse reserve development on prior accident years, including $2.8 million of net favorable reserve development from the Excess and Surplus Lines segment, $4.0 million of net favorable reserve development from the Specialty Admitted Insurance segment, and $13.1 million of net adverse reserve development from the Casualty Reinsurance segment.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Ratios</w:t>
      </w:r>
    </w:p>
    <w:p>
      <w:pPr>
        <w:spacing w:after="0" w:line="112"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Our expense ratio decreased from 29.2% for the nine months ended September 30, 2020 to 26.5% for the nine months ended September 30, 2021. The decrease reflects a 15.2% increase in the Core E&amp;S net earned premiums of the Excess and Surplus Lines segment including in lines that have meaningful ceding commissions. Our Excess and Surplus Lines segment has significant scale and produces a lower expense ratio than our other operating segments. The Excess and Surplus Lines segment is our largest segment and makes up 69.7% of consolidated net earned premiums for the nine months ended September 30, 2021 compared to 68.2% for the nine months ended September 30, 2020. Gross fee income for the Company increased from $15.8 million for the nine months ended September 30, 2020 to $16.2 million for the nine months ended September 30, 2021 driven by $2.0 million higher fee income in the Specialty Admitted Insurance segment due to new fronting programs and growth in existing fronting programs, and partially offset by the termination of a commercial auto account which resulted in a $1.6 million decline of gross fee income in the Excess and Surplus Lines segment.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Premiums</w:t>
      </w:r>
    </w:p>
    <w:p>
      <w:pPr>
        <w:spacing w:after="0" w:line="112"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Insurance premiums are earned ratably over the terms of our insurance policies, generally twelve months. Reinsurance premiums assumed are earned over the terms of the underlying policies or reinsurance contracts. Reinsurance contracts written on a “losses occurring” basis cover claims that may occur during the term of the contract or underlying insurance policy, which is typically twelve months. Reinsurance contracts which are written on a “risks attaching” basis cover claims which attach to the underlying insurance policies written during the terms of such contracts. Premiums earned on such contracts usually extend beyond the original term of the reinsurance contract, typically resulting in recognition of premiums earned over a 24-month period or more in proportion to the level of underlying exposure.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change in premium volume by component and business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vMerge w:val="restart"/>
          </w:tcPr>
          <w:p>
            <w:pPr>
              <w:jc w:val="center"/>
              <w:ind w:left="15"/>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236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gridSpan w:val="2"/>
            <w:vMerge w:val="restart"/>
          </w:tcPr>
          <w:p>
            <w:pPr>
              <w:jc w:val="right"/>
              <w:ind w:right="40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89"/>
              </w:rPr>
              <w:t>Change</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jc w:val="center"/>
              <w:ind w:left="35"/>
              <w:spacing w:after="0"/>
              <w:rPr>
                <w:sz w:val="20"/>
                <w:szCs w:val="20"/>
                <w:color w:val="auto"/>
              </w:rPr>
            </w:pPr>
            <w:r>
              <w:rPr>
                <w:rFonts w:ascii="Arial" w:cs="Arial" w:eastAsia="Arial" w:hAnsi="Arial"/>
                <w:sz w:val="14"/>
                <w:szCs w:val="14"/>
                <w:b w:val="1"/>
                <w:bCs w:val="1"/>
                <w:i w:val="1"/>
                <w:iCs w:val="1"/>
                <w:color w:val="auto"/>
                <w:w w:val="88"/>
              </w:rPr>
              <w:t>($ in thousands)</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217,673</w:t>
            </w:r>
          </w:p>
        </w:tc>
        <w:tc>
          <w:tcPr>
            <w:tcW w:w="10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179,458</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21.3 %</w:t>
            </w:r>
          </w:p>
        </w:tc>
        <w:tc>
          <w:tcPr>
            <w:tcW w:w="4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613,045</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502,649</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22.0 %</w:t>
            </w:r>
          </w:p>
        </w:tc>
        <w:tc>
          <w:tcPr>
            <w:tcW w:w="0" w:type="dxa"/>
            <w:vAlign w:val="bottom"/>
          </w:tcPr>
          <w:p>
            <w:pPr>
              <w:spacing w:after="0"/>
              <w:rPr>
                <w:sz w:val="1"/>
                <w:szCs w:val="1"/>
                <w:color w:val="auto"/>
              </w:rPr>
            </w:pPr>
          </w:p>
        </w:tc>
      </w:tr>
      <w:tr>
        <w:trPr>
          <w:trHeight w:val="227"/>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121,175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112,589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7.6 %</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303,831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24.2 %</w:t>
            </w: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19,805</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(60.9)%</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109,555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90,852</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20.6 %</w:t>
            </w:r>
          </w:p>
        </w:tc>
        <w:tc>
          <w:tcPr>
            <w:tcW w:w="0" w:type="dxa"/>
            <w:vAlign w:val="bottom"/>
          </w:tcPr>
          <w:p>
            <w:pPr>
              <w:spacing w:after="0"/>
              <w:rPr>
                <w:sz w:val="1"/>
                <w:szCs w:val="1"/>
                <w:color w:val="auto"/>
              </w:rPr>
            </w:pPr>
          </w:p>
        </w:tc>
      </w:tr>
      <w:tr>
        <w:trPr>
          <w:trHeight w:val="245"/>
        </w:trPr>
        <w:tc>
          <w:tcPr>
            <w:tcW w:w="3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346,599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311,852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11.1 %</w:t>
            </w:r>
          </w:p>
        </w:tc>
        <w:tc>
          <w:tcPr>
            <w:tcW w:w="4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897,332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22.6 %</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written premiums: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3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Excess and Surplus Lines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17.1 %</w:t>
            </w:r>
          </w:p>
        </w:tc>
        <w:tc>
          <w:tcPr>
            <w:tcW w:w="4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371,477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328,190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13.2 %</w:t>
            </w:r>
          </w:p>
        </w:tc>
        <w:tc>
          <w:tcPr>
            <w:tcW w:w="0" w:type="dxa"/>
            <w:vAlign w:val="bottom"/>
          </w:tcPr>
          <w:p>
            <w:pPr>
              <w:spacing w:after="0"/>
              <w:rPr>
                <w:sz w:val="1"/>
                <w:szCs w:val="1"/>
                <w:color w:val="auto"/>
              </w:rPr>
            </w:pPr>
          </w:p>
        </w:tc>
      </w:tr>
      <w:tr>
        <w:trPr>
          <w:trHeight w:val="225"/>
        </w:trPr>
        <w:tc>
          <w:tcPr>
            <w:tcW w:w="3380" w:type="dxa"/>
            <w:vAlign w:val="bottom"/>
          </w:tcPr>
          <w:p>
            <w:pPr>
              <w:ind w:left="140"/>
              <w:spacing w:after="0"/>
              <w:rPr>
                <w:sz w:val="20"/>
                <w:szCs w:val="20"/>
                <w:color w:val="auto"/>
              </w:rPr>
            </w:pPr>
            <w:r>
              <w:rPr>
                <w:rFonts w:ascii="Arial" w:cs="Arial" w:eastAsia="Arial" w:hAnsi="Arial"/>
                <w:sz w:val="18"/>
                <w:szCs w:val="18"/>
                <w:color w:val="auto"/>
              </w:rPr>
              <w:t>Specialty Admitted Insurance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22,578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16,184</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39.5 %</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66,081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42,279</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56.3 %</w:t>
            </w:r>
          </w:p>
        </w:tc>
        <w:tc>
          <w:tcPr>
            <w:tcW w:w="0" w:type="dxa"/>
            <w:vAlign w:val="bottom"/>
          </w:tcPr>
          <w:p>
            <w:pPr>
              <w:spacing w:after="0"/>
              <w:rPr>
                <w:sz w:val="1"/>
                <w:szCs w:val="1"/>
                <w:color w:val="auto"/>
              </w:rPr>
            </w:pPr>
          </w:p>
        </w:tc>
      </w:tr>
      <w:tr>
        <w:trPr>
          <w:trHeight w:val="226"/>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(60.9)%</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18.3 %</w:t>
            </w:r>
          </w:p>
        </w:tc>
        <w:tc>
          <w:tcPr>
            <w:tcW w:w="0" w:type="dxa"/>
            <w:vAlign w:val="bottom"/>
          </w:tcPr>
          <w:p>
            <w:pPr>
              <w:spacing w:after="0"/>
              <w:rPr>
                <w:sz w:val="1"/>
                <w:szCs w:val="1"/>
                <w:color w:val="auto"/>
              </w:rPr>
            </w:pPr>
          </w:p>
        </w:tc>
      </w:tr>
      <w:tr>
        <w:trPr>
          <w:trHeight w:val="220"/>
        </w:trPr>
        <w:tc>
          <w:tcPr>
            <w:tcW w:w="33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158,210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145,159</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9.0 %</w:t>
            </w:r>
          </w:p>
        </w:tc>
        <w:tc>
          <w:tcPr>
            <w:tcW w:w="4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526,413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445,570</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18.1 %</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80" w:type="dxa"/>
            <w:vAlign w:val="bottom"/>
          </w:tcPr>
          <w:p>
            <w:pPr>
              <w:ind w:left="14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119,760</w:t>
            </w:r>
          </w:p>
        </w:tc>
        <w:tc>
          <w:tcPr>
            <w:tcW w:w="100" w:type="dxa"/>
            <w:vAlign w:val="bottom"/>
          </w:tcPr>
          <w:p>
            <w:pPr>
              <w:spacing w:after="0"/>
              <w:rPr>
                <w:sz w:val="19"/>
                <w:szCs w:val="19"/>
                <w:color w:val="auto"/>
              </w:rPr>
            </w:pPr>
          </w:p>
        </w:tc>
        <w:tc>
          <w:tcPr>
            <w:tcW w:w="440" w:type="dxa"/>
            <w:vAlign w:val="bottom"/>
          </w:tcPr>
          <w:p>
            <w:pPr>
              <w:jc w:val="right"/>
              <w:ind w:right="23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104,933</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14.1 %</w:t>
            </w:r>
          </w:p>
        </w:tc>
        <w:tc>
          <w:tcPr>
            <w:tcW w:w="4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351,413</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305,521</w:t>
            </w:r>
          </w:p>
        </w:tc>
        <w:tc>
          <w:tcPr>
            <w:tcW w:w="1200" w:type="dxa"/>
            <w:vAlign w:val="bottom"/>
            <w:gridSpan w:val="2"/>
          </w:tcPr>
          <w:p>
            <w:pPr>
              <w:jc w:val="right"/>
              <w:spacing w:after="0"/>
              <w:rPr>
                <w:sz w:val="20"/>
                <w:szCs w:val="20"/>
                <w:color w:val="auto"/>
              </w:rPr>
            </w:pPr>
            <w:r>
              <w:rPr>
                <w:rFonts w:ascii="Arial" w:cs="Arial" w:eastAsia="Arial" w:hAnsi="Arial"/>
                <w:sz w:val="18"/>
                <w:szCs w:val="18"/>
                <w:i w:val="1"/>
                <w:iCs w:val="1"/>
                <w:color w:val="auto"/>
              </w:rPr>
              <w:t>15.0 %</w:t>
            </w:r>
          </w:p>
        </w:tc>
        <w:tc>
          <w:tcPr>
            <w:tcW w:w="0" w:type="dxa"/>
            <w:vAlign w:val="bottom"/>
          </w:tcPr>
          <w:p>
            <w:pPr>
              <w:spacing w:after="0"/>
              <w:rPr>
                <w:sz w:val="1"/>
                <w:szCs w:val="1"/>
                <w:color w:val="auto"/>
              </w:rPr>
            </w:pPr>
          </w:p>
        </w:tc>
      </w:tr>
      <w:tr>
        <w:trPr>
          <w:trHeight w:val="227"/>
        </w:trPr>
        <w:tc>
          <w:tcPr>
            <w:tcW w:w="3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31.5 %</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28.1 %</w:t>
            </w:r>
          </w:p>
        </w:tc>
        <w:tc>
          <w:tcPr>
            <w:tcW w:w="0" w:type="dxa"/>
            <w:vAlign w:val="bottom"/>
          </w:tcPr>
          <w:p>
            <w:pPr>
              <w:spacing w:after="0"/>
              <w:rPr>
                <w:sz w:val="1"/>
                <w:szCs w:val="1"/>
                <w:color w:val="auto"/>
              </w:rPr>
            </w:pPr>
          </w:p>
        </w:tc>
      </w:tr>
      <w:tr>
        <w:trPr>
          <w:trHeight w:val="225"/>
        </w:trPr>
        <w:tc>
          <w:tcPr>
            <w:tcW w:w="3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33,044</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(5.7)%</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97,837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99,514</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i w:val="1"/>
                <w:iCs w:val="1"/>
                <w:color w:val="auto"/>
              </w:rPr>
              <w:t>(1.7)%</w:t>
            </w:r>
          </w:p>
        </w:tc>
        <w:tc>
          <w:tcPr>
            <w:tcW w:w="0" w:type="dxa"/>
            <w:vAlign w:val="bottom"/>
          </w:tcPr>
          <w:p>
            <w:pPr>
              <w:spacing w:after="0"/>
              <w:rPr>
                <w:sz w:val="1"/>
                <w:szCs w:val="1"/>
                <w:color w:val="auto"/>
              </w:rPr>
            </w:pPr>
          </w:p>
        </w:tc>
      </w:tr>
      <w:tr>
        <w:trPr>
          <w:trHeight w:val="245"/>
        </w:trPr>
        <w:tc>
          <w:tcPr>
            <w:tcW w:w="33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170,608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152,962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11.5 %</w:t>
            </w:r>
          </w:p>
        </w:tc>
        <w:tc>
          <w:tcPr>
            <w:tcW w:w="4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503,906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447,695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12.6 %</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Gross written premiums for the Excess and Surplus Lines segment (which represents 55.7% of our consolidated gross written premiums in the nine months ended September 30, 2021) increased 21.3% and 22.0% from the corresponding three and nine month periods in the prior year, respectively. Policy submissions excluding commercial auto policies were higher by 0.2% and 15.1% more policies were bound in the nine months ended September 30, 2021 than in the nine months ended September 30, 2020. Renewal rates for the Excess and Surplus Lines segment were up 14.5% compared to the nine months ended September 30, 2020. The change in gross written premiums compared to the same period in 2020 was notable in several divisions as shown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200" w:type="dxa"/>
            <w:vAlign w:val="bottom"/>
          </w:tcPr>
          <w:p>
            <w:pPr>
              <w:jc w:val="right"/>
              <w:ind w:right="215"/>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395"/>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0" w:type="dxa"/>
            <w:vAlign w:val="bottom"/>
            <w:gridSpan w:val="2"/>
          </w:tcPr>
          <w:p>
            <w:pPr>
              <w:ind w:lef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b w:val="1"/>
                <w:bCs w:val="1"/>
                <w:i w:val="1"/>
                <w:iCs w:val="1"/>
                <w:color w:val="auto"/>
              </w:rPr>
              <w:t>($ in thousands)</w:t>
            </w: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Casualty</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17.1 %</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39.9 %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Manufacturers &amp; Contractors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30,833</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12.0 %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102,017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90,878</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Casualty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19.0 %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103,120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Excess Property</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10,787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8,259</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30.6 %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35,306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28,342</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24.6 %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Allied Health</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30.5 %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Small Business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6,343</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28.0 %</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18,453</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31.1 %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Sports &amp; Entertainment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168.8 %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84.3 %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Core E&amp;S divisions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27,151</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8.9 %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78,218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76,425</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2.3 %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Core E&amp;S divisions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199,580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17.6 %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582,177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479,107</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Commercial Auto</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18,093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9,719</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86.2 %</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23,542</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31.1 %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Excess and Surplus Lines gross written</w:t>
            </w:r>
          </w:p>
        </w:tc>
        <w:tc>
          <w:tcPr>
            <w:tcW w:w="3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217,673</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179,458</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21.3 %</w:t>
            </w:r>
          </w:p>
        </w:tc>
        <w:tc>
          <w:tcPr>
            <w:tcW w:w="58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613,045</w:t>
            </w:r>
          </w:p>
        </w:tc>
        <w:tc>
          <w:tcPr>
            <w:tcW w:w="1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502,649</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22.0 %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0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premium</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580" w:type="dxa"/>
            <w:vAlign w:val="bottom"/>
            <w:tcBorders>
              <w:bottom w:val="single" w:sz="8" w:color="auto"/>
            </w:tcBorders>
            <w:gridSpan w:val="2"/>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38</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34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components of gross written premiums for the Specialty Admitted Insurance segment (which represents 34.3% of our consolidated gross written premiums for the nine months ended September 30, 2021) are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Nine Months Ended</w:t>
            </w:r>
          </w:p>
        </w:tc>
        <w:tc>
          <w:tcPr>
            <w:tcW w:w="120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60" w:type="dxa"/>
            <w:vAlign w:val="bottom"/>
            <w:gridSpan w:val="3"/>
          </w:tcPr>
          <w:p>
            <w:pPr>
              <w:jc w:val="right"/>
              <w:ind w:right="40"/>
              <w:spacing w:after="0"/>
              <w:rPr>
                <w:sz w:val="20"/>
                <w:szCs w:val="20"/>
                <w:color w:val="auto"/>
              </w:rPr>
            </w:pPr>
            <w:r>
              <w:rPr>
                <w:rFonts w:ascii="Arial" w:cs="Arial" w:eastAsia="Arial" w:hAnsi="Arial"/>
                <w:sz w:val="14"/>
                <w:szCs w:val="14"/>
                <w:b w:val="1"/>
                <w:bCs w:val="1"/>
                <w:i w:val="1"/>
                <w:iCs w:val="1"/>
                <w:color w:val="auto"/>
              </w:rPr>
              <w:t>($ in thousands)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Individual risk workers’ compensation</w:t>
            </w:r>
          </w:p>
        </w:tc>
        <w:tc>
          <w:tcPr>
            <w:tcW w:w="300" w:type="dxa"/>
            <w:vAlign w:val="bottom"/>
            <w:vMerge w:val="restart"/>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13,461</w:t>
            </w:r>
          </w:p>
        </w:tc>
        <w:tc>
          <w:tcPr>
            <w:tcW w:w="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16,033</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(16.0)%</w:t>
            </w:r>
          </w:p>
        </w:tc>
        <w:tc>
          <w:tcPr>
            <w:tcW w:w="5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43,897</w:t>
            </w:r>
          </w:p>
        </w:tc>
        <w:tc>
          <w:tcPr>
            <w:tcW w:w="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49,670</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(11.6)%</w:t>
            </w:r>
          </w:p>
        </w:tc>
        <w:tc>
          <w:tcPr>
            <w:tcW w:w="0" w:type="dxa"/>
            <w:vAlign w:val="bottom"/>
          </w:tcPr>
          <w:p>
            <w:pPr>
              <w:spacing w:after="0"/>
              <w:rPr>
                <w:sz w:val="1"/>
                <w:szCs w:val="1"/>
                <w:color w:val="auto"/>
              </w:rPr>
            </w:pPr>
          </w:p>
        </w:tc>
      </w:tr>
      <w:tr>
        <w:trPr>
          <w:trHeight w:val="225"/>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w:t>
            </w:r>
          </w:p>
        </w:tc>
        <w:tc>
          <w:tcPr>
            <w:tcW w:w="3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Fronting and program premium</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96,556</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11.6 %</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333,503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254,161</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i w:val="1"/>
                <w:iCs w:val="1"/>
                <w:color w:val="auto"/>
              </w:rPr>
              <w:t>31.2 %</w:t>
            </w:r>
          </w:p>
        </w:tc>
        <w:tc>
          <w:tcPr>
            <w:tcW w:w="0" w:type="dxa"/>
            <w:vAlign w:val="bottom"/>
          </w:tcPr>
          <w:p>
            <w:pPr>
              <w:spacing w:after="0"/>
              <w:rPr>
                <w:sz w:val="1"/>
                <w:szCs w:val="1"/>
                <w:color w:val="auto"/>
              </w:rPr>
            </w:pPr>
          </w:p>
        </w:tc>
      </w:tr>
      <w:tr>
        <w:trPr>
          <w:trHeight w:val="245"/>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Specialty Admitted gross written premium</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121,175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112,589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7.6 %</w:t>
            </w:r>
          </w:p>
        </w:tc>
        <w:tc>
          <w:tcPr>
            <w:tcW w:w="560" w:type="dxa"/>
            <w:vAlign w:val="bottom"/>
            <w:tcBorders>
              <w:bottom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303,831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24.2 %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The premium growth in fronting and programs was driven by new fronting relationships that generated $12.8 million and $40.5 million of gross written premium in the three and nine months ended September 30, 2021, respectively, and growth in existing relationships (excluding our largest fronting relationship) which generated increases of $1.2 million and $40.6 million, respectively. Our largest fronting relationship produced $30.7 million and $94.9 million of gross written premium for the three and nine months ended September 30, 2021, respectively, compared to $33.4 million and $96.3 million for the three and nine months ended September 30, 2020 and represented 25.2% of the segment's gross written premium in the nine months ended September 30, 2021 down from 31.7% in the nine months ended September 30, 2020. The decrease in individual risk workers' compensation gross written premiums in the three and nine months ended September 30, 2021 reflects the Company's decision to exit certain northeastern states.</w:t>
      </w:r>
    </w:p>
    <w:p>
      <w:pPr>
        <w:spacing w:after="0" w:line="61"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Gross written premiums for the Casualty Reinsurance segment (which represents 10.0% of our consolidated gross written premiums in the first nine months of 2021) decreased 60.9% and increased 20.6% from the corresponding three and nine month periods in the prior year, respectively. The decrease quarter over quarter was driven by a change in renewal period for one treaty and negative written premium adjustments on prior year treaties. The increase in gross written premiums year over year was largely due to higher renewal premiums on a few treaties and a change in renewal date for one treaty. The Casualty Reinsurance segment generally writes large casualty-focused treaties that are expected to have lower volatility relative to property and catastrophe treaties. We rarely write stand-alone property reinsurance. When treaties that include property exposure are written, we utilize property occurrence caps, inuring reinsurance protection and low individual risk limits to minimize exposure.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Retention</w:t>
      </w:r>
    </w:p>
    <w:p>
      <w:pPr>
        <w:spacing w:after="0" w:line="112" w:lineRule="exact"/>
        <w:rPr>
          <w:sz w:val="20"/>
          <w:szCs w:val="20"/>
          <w:color w:val="auto"/>
        </w:rPr>
      </w:pPr>
    </w:p>
    <w:p>
      <w:pPr>
        <w:ind w:right="300" w:firstLine="319"/>
        <w:spacing w:after="0" w:line="266" w:lineRule="auto"/>
        <w:rPr>
          <w:sz w:val="20"/>
          <w:szCs w:val="20"/>
          <w:color w:val="auto"/>
        </w:rPr>
      </w:pPr>
      <w:r>
        <w:rPr>
          <w:rFonts w:ascii="Arial" w:cs="Arial" w:eastAsia="Arial" w:hAnsi="Arial"/>
          <w:sz w:val="18"/>
          <w:szCs w:val="18"/>
          <w:color w:val="auto"/>
        </w:rPr>
        <w:t>The ratio of net written premiums to gross written premiums is referred to as our net premium retention. Our net premium retention is summarized by segment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Three Months Ended</w:t>
            </w:r>
          </w:p>
        </w:tc>
        <w:tc>
          <w:tcPr>
            <w:tcW w:w="2060" w:type="dxa"/>
            <w:vAlign w:val="bottom"/>
            <w:gridSpan w:val="3"/>
          </w:tcPr>
          <w:p>
            <w:pPr>
              <w:jc w:val="center"/>
              <w:ind w:left="759"/>
              <w:spacing w:after="0"/>
              <w:rPr>
                <w:sz w:val="20"/>
                <w:szCs w:val="20"/>
                <w:color w:val="auto"/>
              </w:rPr>
            </w:pPr>
            <w:r>
              <w:rPr>
                <w:rFonts w:ascii="Arial" w:cs="Arial" w:eastAsia="Arial" w:hAnsi="Arial"/>
                <w:sz w:val="14"/>
                <w:szCs w:val="14"/>
                <w:b w:val="1"/>
                <w:bCs w:val="1"/>
                <w:color w:val="auto"/>
                <w:w w:val="93"/>
              </w:rPr>
              <w:t>Nine Months Ended</w:t>
            </w:r>
          </w:p>
        </w:tc>
        <w:tc>
          <w:tcPr>
            <w:tcW w:w="840" w:type="dxa"/>
            <w:vAlign w:val="bottom"/>
          </w:tcPr>
          <w:p>
            <w:pPr>
              <w:spacing w:after="0"/>
              <w:rPr>
                <w:sz w:val="14"/>
                <w:szCs w:val="14"/>
                <w:color w:val="auto"/>
              </w:rPr>
            </w:pPr>
          </w:p>
        </w:tc>
      </w:tr>
      <w:tr>
        <w:trPr>
          <w:trHeight w:val="185"/>
        </w:trPr>
        <w:tc>
          <w:tcPr>
            <w:tcW w:w="5280" w:type="dxa"/>
            <w:vAlign w:val="bottom"/>
          </w:tcPr>
          <w:p>
            <w:pPr>
              <w:spacing w:after="0"/>
              <w:rPr>
                <w:sz w:val="16"/>
                <w:szCs w:val="16"/>
                <w:color w:val="auto"/>
              </w:rPr>
            </w:pPr>
          </w:p>
        </w:tc>
        <w:tc>
          <w:tcPr>
            <w:tcW w:w="198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6"/>
                <w:szCs w:val="16"/>
                <w:color w:val="auto"/>
              </w:rPr>
            </w:pPr>
          </w:p>
        </w:tc>
      </w:tr>
      <w:tr>
        <w:trPr>
          <w:trHeight w:val="179"/>
        </w:trPr>
        <w:tc>
          <w:tcPr>
            <w:tcW w:w="52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3"/>
              </w:rPr>
              <w:t>2020</w:t>
            </w: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65.3 %</w:t>
            </w: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1400" w:type="dxa"/>
            <w:vAlign w:val="bottom"/>
          </w:tcPr>
          <w:p>
            <w:pPr>
              <w:jc w:val="right"/>
              <w:spacing w:after="0"/>
              <w:rPr>
                <w:sz w:val="20"/>
                <w:szCs w:val="20"/>
                <w:color w:val="auto"/>
              </w:rPr>
            </w:pPr>
            <w:r>
              <w:rPr>
                <w:rFonts w:ascii="Arial" w:cs="Arial" w:eastAsia="Arial" w:hAnsi="Arial"/>
                <w:sz w:val="18"/>
                <w:szCs w:val="18"/>
                <w:color w:val="auto"/>
              </w:rPr>
              <w:t>18.6 %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13.9 %</w:t>
            </w: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82.7 %</w:t>
            </w: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45.6 %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47.9 %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49.7 %</w:t>
            </w:r>
          </w:p>
        </w:tc>
      </w:tr>
    </w:tbl>
    <w:p>
      <w:pPr>
        <w:spacing w:after="0" w:line="17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net premium retention for the Excess and Surplus Lines segment decreased for the three and nine months ended September 30, 2021 as compared to the prior year periods primarily due to growth in written premium in the Excess Casualty underwriting division, which has a higher percentage of ceded premium than our other divisions. The $8.1 million of reinstatement premium in the current third quarter reduced net written premium and the retention for the quarter and year to date.</w:t>
      </w:r>
    </w:p>
    <w:p>
      <w:pPr>
        <w:spacing w:after="0" w:line="85"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net premium retention for the Specialty Admitted Insurance segment increased for the three and nine months ended September 30, 2021 as compared to the respective periods in the prior year primarily due to higher retentions in the fronting business. The net retention on the segment’s fronting business was 17.7% and 16.3% for the three and nine months ended September 30, 2021, respectively (11.9% and 10.8% for the three and nine months ended September 30, 2020, respectively). The net retention on the individual risk workers’ compensation business was 25.7% and 27.1% for the three and nine months ended September 30, 2021, respectively (29.5% and 29.7% for the three and nine months ended September 30, 2020, respectively).</w:t>
      </w:r>
    </w:p>
    <w:p>
      <w:pPr>
        <w:spacing w:after="0" w:line="5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net premium retention for the Casualty Reinsurance segment for the nine months ended September 30, 2021 and 2020, respectively, reflects the impact of one retrocessional treaty/fronting arrangement under which 100% of the premiums are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ceded. Ceded written premiums under the treaty were $20.7 million in the first quarter of 2021 compared to $15.8 million in the first quarter of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Results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compares our combined ratios by segment: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0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2"/>
              </w:rPr>
              <w:t>Three Months Ended</w:t>
            </w:r>
          </w:p>
        </w:tc>
        <w:tc>
          <w:tcPr>
            <w:tcW w:w="2080" w:type="dxa"/>
            <w:vAlign w:val="bottom"/>
            <w:gridSpan w:val="3"/>
          </w:tcPr>
          <w:p>
            <w:pPr>
              <w:jc w:val="center"/>
              <w:ind w:left="779"/>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r>
      <w:tr>
        <w:trPr>
          <w:trHeight w:val="185"/>
        </w:trPr>
        <w:tc>
          <w:tcPr>
            <w:tcW w:w="5280" w:type="dxa"/>
            <w:vAlign w:val="bottom"/>
          </w:tcPr>
          <w:p>
            <w:pPr>
              <w:spacing w:after="0"/>
              <w:rPr>
                <w:sz w:val="16"/>
                <w:szCs w:val="16"/>
                <w:color w:val="auto"/>
              </w:rPr>
            </w:pPr>
          </w:p>
        </w:tc>
        <w:tc>
          <w:tcPr>
            <w:tcW w:w="1980" w:type="dxa"/>
            <w:vAlign w:val="bottom"/>
            <w:tcBorders>
              <w:bottom w:val="single" w:sz="8" w:color="auto"/>
            </w:tcBorders>
            <w:gridSpan w:val="3"/>
          </w:tcPr>
          <w:p>
            <w:pPr>
              <w:jc w:val="center"/>
              <w:ind w:left="839"/>
              <w:spacing w:after="0"/>
              <w:rPr>
                <w:sz w:val="20"/>
                <w:szCs w:val="20"/>
                <w:color w:val="auto"/>
              </w:rPr>
            </w:pPr>
            <w:r>
              <w:rPr>
                <w:rFonts w:ascii="Arial" w:cs="Arial" w:eastAsia="Arial" w:hAnsi="Arial"/>
                <w:sz w:val="14"/>
                <w:szCs w:val="14"/>
                <w:b w:val="1"/>
                <w:bCs w:val="1"/>
                <w:color w:val="auto"/>
                <w:w w:val="89"/>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jc w:val="center"/>
              <w:ind w:left="779"/>
              <w:spacing w:after="0"/>
              <w:rPr>
                <w:sz w:val="20"/>
                <w:szCs w:val="20"/>
                <w:color w:val="auto"/>
              </w:rPr>
            </w:pPr>
            <w:r>
              <w:rPr>
                <w:rFonts w:ascii="Arial" w:cs="Arial" w:eastAsia="Arial" w:hAnsi="Arial"/>
                <w:sz w:val="14"/>
                <w:szCs w:val="14"/>
                <w:b w:val="1"/>
                <w:bCs w:val="1"/>
                <w:color w:val="auto"/>
                <w:w w:val="89"/>
              </w:rPr>
              <w:t>September 30,</w:t>
            </w:r>
          </w:p>
        </w:tc>
        <w:tc>
          <w:tcPr>
            <w:tcW w:w="860" w:type="dxa"/>
            <w:vAlign w:val="bottom"/>
            <w:tcBorders>
              <w:bottom w:val="single" w:sz="8" w:color="auto"/>
            </w:tcBorders>
          </w:tcPr>
          <w:p>
            <w:pPr>
              <w:spacing w:after="0"/>
              <w:rPr>
                <w:sz w:val="16"/>
                <w:szCs w:val="16"/>
                <w:color w:val="auto"/>
              </w:rPr>
            </w:pPr>
          </w:p>
        </w:tc>
      </w:tr>
      <w:tr>
        <w:trPr>
          <w:trHeight w:val="179"/>
        </w:trPr>
        <w:tc>
          <w:tcPr>
            <w:tcW w:w="528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9"/>
              </w:rPr>
              <w:t>2020</w:t>
            </w: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87.0 %</w:t>
            </w: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1400" w:type="dxa"/>
            <w:vAlign w:val="bottom"/>
          </w:tcPr>
          <w:p>
            <w:pPr>
              <w:jc w:val="right"/>
              <w:spacing w:after="0"/>
              <w:rPr>
                <w:sz w:val="20"/>
                <w:szCs w:val="20"/>
                <w:color w:val="auto"/>
              </w:rPr>
            </w:pPr>
            <w:r>
              <w:rPr>
                <w:rFonts w:ascii="Arial" w:cs="Arial" w:eastAsia="Arial" w:hAnsi="Arial"/>
                <w:sz w:val="18"/>
                <w:szCs w:val="18"/>
                <w:color w:val="auto"/>
              </w:rPr>
              <w:t>84.3 %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87.6 %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88.1 %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94.6 %</w:t>
            </w:r>
          </w:p>
        </w:tc>
      </w:tr>
      <w:tr>
        <w:trPr>
          <w:trHeight w:val="22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103.1 %</w:t>
            </w: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122.1 %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94.2 %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135.6 %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96.6 %</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and Surplus Lines Segment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Excess and Surplus Lines segment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238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40" w:type="dxa"/>
            <w:vAlign w:val="bottom"/>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217,673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179,458</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i w:val="1"/>
                <w:iCs w:val="1"/>
                <w:color w:val="auto"/>
              </w:rPr>
              <w:t>21.3 %</w:t>
            </w: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613,045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502,649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22.0 %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120" w:type="dxa"/>
            <w:vAlign w:val="bottom"/>
          </w:tcPr>
          <w:p>
            <w:pPr>
              <w:ind w:left="20"/>
              <w:spacing w:after="0" w:line="199" w:lineRule="exact"/>
              <w:rPr>
                <w:sz w:val="20"/>
                <w:szCs w:val="20"/>
                <w:color w:val="auto"/>
              </w:rPr>
            </w:pPr>
            <w:r>
              <w:rPr>
                <w:rFonts w:ascii="Arial" w:cs="Arial" w:eastAsia="Arial" w:hAnsi="Arial"/>
                <w:sz w:val="18"/>
                <w:szCs w:val="18"/>
                <w:color w:val="auto"/>
              </w:rPr>
              <w:t>Net written premiums</w:t>
            </w:r>
          </w:p>
        </w:tc>
        <w:tc>
          <w:tcPr>
            <w:tcW w:w="300" w:type="dxa"/>
            <w:vAlign w:val="bottom"/>
            <w:tcBorders>
              <w:bottom w:val="single" w:sz="8" w:color="auto"/>
            </w:tcBorders>
          </w:tcPr>
          <w:p>
            <w:pPr>
              <w:jc w:val="right"/>
              <w:ind w:right="111"/>
              <w:spacing w:after="0" w:line="199"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17"/>
              <w:spacing w:after="0" w:line="199" w:lineRule="exact"/>
              <w:rPr>
                <w:sz w:val="20"/>
                <w:szCs w:val="20"/>
                <w:color w:val="auto"/>
              </w:rPr>
            </w:pPr>
            <w:r>
              <w:rPr>
                <w:rFonts w:ascii="Arial" w:cs="Arial" w:eastAsia="Arial" w:hAnsi="Arial"/>
                <w:sz w:val="18"/>
                <w:szCs w:val="18"/>
                <w:color w:val="auto"/>
              </w:rPr>
              <w:t>127,881</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1"/>
              <w:spacing w:after="0" w:line="199"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4"/>
              <w:spacing w:after="0" w:line="199" w:lineRule="exact"/>
              <w:rPr>
                <w:sz w:val="20"/>
                <w:szCs w:val="20"/>
                <w:color w:val="auto"/>
              </w:rPr>
            </w:pPr>
            <w:r>
              <w:rPr>
                <w:rFonts w:ascii="Arial" w:cs="Arial" w:eastAsia="Arial" w:hAnsi="Arial"/>
                <w:sz w:val="18"/>
                <w:szCs w:val="18"/>
                <w:color w:val="auto"/>
              </w:rPr>
              <w:t>109,170</w:t>
            </w:r>
          </w:p>
        </w:tc>
        <w:tc>
          <w:tcPr>
            <w:tcW w:w="1240" w:type="dxa"/>
            <w:vAlign w:val="bottom"/>
          </w:tcPr>
          <w:p>
            <w:pPr>
              <w:jc w:val="right"/>
              <w:ind w:right="37"/>
              <w:spacing w:after="0" w:line="199" w:lineRule="exact"/>
              <w:rPr>
                <w:sz w:val="20"/>
                <w:szCs w:val="20"/>
                <w:color w:val="auto"/>
              </w:rPr>
            </w:pPr>
            <w:r>
              <w:rPr>
                <w:rFonts w:ascii="Arial" w:cs="Arial" w:eastAsia="Arial" w:hAnsi="Arial"/>
                <w:sz w:val="18"/>
                <w:szCs w:val="18"/>
                <w:i w:val="1"/>
                <w:iCs w:val="1"/>
                <w:color w:val="auto"/>
              </w:rPr>
              <w:t>17.1 %</w:t>
            </w:r>
          </w:p>
        </w:tc>
        <w:tc>
          <w:tcPr>
            <w:tcW w:w="480" w:type="dxa"/>
            <w:vAlign w:val="bottom"/>
            <w:tcBorders>
              <w:bottom w:val="single" w:sz="8" w:color="auto"/>
            </w:tcBorders>
          </w:tcPr>
          <w:p>
            <w:pPr>
              <w:jc w:val="right"/>
              <w:ind w:right="291"/>
              <w:spacing w:after="0" w:line="199"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7"/>
              <w:spacing w:after="0" w:line="199" w:lineRule="exact"/>
              <w:rPr>
                <w:sz w:val="20"/>
                <w:szCs w:val="20"/>
                <w:color w:val="auto"/>
              </w:rPr>
            </w:pPr>
            <w:r>
              <w:rPr>
                <w:rFonts w:ascii="Arial" w:cs="Arial" w:eastAsia="Arial" w:hAnsi="Arial"/>
                <w:sz w:val="18"/>
                <w:szCs w:val="18"/>
                <w:color w:val="auto"/>
              </w:rPr>
              <w:t>371,477</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1"/>
              <w:spacing w:after="0" w:line="199"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4"/>
              <w:spacing w:after="0" w:line="199" w:lineRule="exact"/>
              <w:rPr>
                <w:sz w:val="20"/>
                <w:szCs w:val="20"/>
                <w:color w:val="auto"/>
              </w:rPr>
            </w:pPr>
            <w:r>
              <w:rPr>
                <w:rFonts w:ascii="Arial" w:cs="Arial" w:eastAsia="Arial" w:hAnsi="Arial"/>
                <w:sz w:val="18"/>
                <w:szCs w:val="18"/>
                <w:color w:val="auto"/>
              </w:rPr>
              <w:t>328,190</w:t>
            </w:r>
          </w:p>
        </w:tc>
        <w:tc>
          <w:tcPr>
            <w:tcW w:w="1160" w:type="dxa"/>
            <w:vAlign w:val="bottom"/>
          </w:tcPr>
          <w:p>
            <w:pPr>
              <w:jc w:val="right"/>
              <w:spacing w:after="0" w:line="199" w:lineRule="exact"/>
              <w:rPr>
                <w:sz w:val="20"/>
                <w:szCs w:val="20"/>
                <w:color w:val="auto"/>
              </w:rPr>
            </w:pPr>
            <w:r>
              <w:rPr>
                <w:rFonts w:ascii="Arial" w:cs="Arial" w:eastAsia="Arial" w:hAnsi="Arial"/>
                <w:sz w:val="18"/>
                <w:szCs w:val="18"/>
                <w:i w:val="1"/>
                <w:iCs w:val="1"/>
                <w:color w:val="auto"/>
              </w:rPr>
              <w:t>13.2 %</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119,760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104,933</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i w:val="1"/>
                <w:iCs w:val="1"/>
                <w:color w:val="auto"/>
              </w:rPr>
              <w:t>14.1 %</w:t>
            </w: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351,413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305,521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15.0 %</w:t>
            </w:r>
          </w:p>
        </w:tc>
        <w:tc>
          <w:tcPr>
            <w:tcW w:w="0" w:type="dxa"/>
            <w:vAlign w:val="bottom"/>
          </w:tcPr>
          <w:p>
            <w:pPr>
              <w:spacing w:after="0"/>
              <w:rPr>
                <w:sz w:val="1"/>
                <w:szCs w:val="1"/>
                <w:color w:val="auto"/>
              </w:rPr>
            </w:pPr>
          </w:p>
        </w:tc>
      </w:tr>
      <w:tr>
        <w:trPr>
          <w:trHeight w:val="225"/>
        </w:trPr>
        <w:tc>
          <w:tcPr>
            <w:tcW w:w="312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00" w:type="dxa"/>
            <w:vAlign w:val="bottom"/>
          </w:tcPr>
          <w:p>
            <w:pPr>
              <w:spacing w:after="0"/>
              <w:rPr>
                <w:sz w:val="19"/>
                <w:szCs w:val="19"/>
                <w:color w:val="auto"/>
              </w:rPr>
            </w:pPr>
          </w:p>
        </w:tc>
        <w:tc>
          <w:tcPr>
            <w:tcW w:w="1060" w:type="dxa"/>
            <w:vAlign w:val="bottom"/>
          </w:tcPr>
          <w:p>
            <w:pPr>
              <w:jc w:val="right"/>
              <w:ind w:right="77"/>
              <w:spacing w:after="0"/>
              <w:rPr>
                <w:sz w:val="20"/>
                <w:szCs w:val="20"/>
                <w:color w:val="auto"/>
              </w:rPr>
            </w:pPr>
            <w:r>
              <w:rPr>
                <w:rFonts w:ascii="Arial" w:cs="Arial" w:eastAsia="Arial" w:hAnsi="Arial"/>
                <w:sz w:val="18"/>
                <w:szCs w:val="18"/>
                <w:color w:val="auto"/>
              </w:rPr>
              <w:t>(117,214)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(69,938)</w:t>
            </w:r>
          </w:p>
        </w:tc>
        <w:tc>
          <w:tcPr>
            <w:tcW w:w="1240" w:type="dxa"/>
            <w:vAlign w:val="bottom"/>
          </w:tcPr>
          <w:p>
            <w:pPr>
              <w:jc w:val="right"/>
              <w:ind w:right="37"/>
              <w:spacing w:after="0"/>
              <w:rPr>
                <w:sz w:val="20"/>
                <w:szCs w:val="20"/>
                <w:color w:val="auto"/>
              </w:rPr>
            </w:pPr>
            <w:r>
              <w:rPr>
                <w:rFonts w:ascii="Arial" w:cs="Arial" w:eastAsia="Arial" w:hAnsi="Arial"/>
                <w:sz w:val="18"/>
                <w:szCs w:val="18"/>
                <w:i w:val="1"/>
                <w:iCs w:val="1"/>
                <w:color w:val="auto"/>
              </w:rPr>
              <w:t>67.6 %</w:t>
            </w:r>
          </w:p>
        </w:tc>
        <w:tc>
          <w:tcPr>
            <w:tcW w:w="480" w:type="dxa"/>
            <w:vAlign w:val="bottom"/>
          </w:tcPr>
          <w:p>
            <w:pPr>
              <w:spacing w:after="0"/>
              <w:rPr>
                <w:sz w:val="19"/>
                <w:szCs w:val="19"/>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w w:val="90"/>
              </w:rPr>
              <w:t>(428,550)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ind w:right="94"/>
              <w:spacing w:after="0"/>
              <w:rPr>
                <w:sz w:val="20"/>
                <w:szCs w:val="20"/>
                <w:color w:val="auto"/>
              </w:rPr>
            </w:pPr>
            <w:r>
              <w:rPr>
                <w:rFonts w:ascii="Arial" w:cs="Arial" w:eastAsia="Arial" w:hAnsi="Arial"/>
                <w:sz w:val="18"/>
                <w:szCs w:val="18"/>
                <w:color w:val="auto"/>
                <w:w w:val="95"/>
              </w:rPr>
              <w:t>(198,877)</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115.5 %</w:t>
            </w:r>
          </w:p>
        </w:tc>
        <w:tc>
          <w:tcPr>
            <w:tcW w:w="0" w:type="dxa"/>
            <w:vAlign w:val="bottom"/>
          </w:tcPr>
          <w:p>
            <w:pPr>
              <w:spacing w:after="0"/>
              <w:rPr>
                <w:sz w:val="1"/>
                <w:szCs w:val="1"/>
                <w:color w:val="auto"/>
              </w:rPr>
            </w:pP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(24,073)</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(19,414)</w:t>
            </w: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8"/>
                <w:szCs w:val="18"/>
                <w:i w:val="1"/>
                <w:iCs w:val="1"/>
                <w:color w:val="auto"/>
              </w:rPr>
              <w:t>24.0 %</w:t>
            </w: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(68,419)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(66,856)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2.3 %</w:t>
            </w: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Arial" w:cs="Arial" w:eastAsia="Arial" w:hAnsi="Arial"/>
                <w:sz w:val="18"/>
                <w:szCs w:val="18"/>
                <w:color w:val="auto"/>
              </w:rPr>
              <w:t xml:space="preserve">Underwriting (loss) profit </w:t>
            </w:r>
            <w:r>
              <w:rPr>
                <w:rFonts w:ascii="Arial" w:cs="Arial" w:eastAsia="Arial" w:hAnsi="Arial"/>
                <w:sz w:val="14"/>
                <w:szCs w:val="14"/>
                <w:i w:val="1"/>
                <w:iCs w:val="1"/>
                <w:color w:val="auto"/>
              </w:rPr>
              <w:t>(1), (2)</w:t>
            </w: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(21,527)</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15,581</w:t>
            </w:r>
          </w:p>
        </w:tc>
        <w:tc>
          <w:tcPr>
            <w:tcW w:w="1240" w:type="dxa"/>
            <w:vAlign w:val="bottom"/>
          </w:tcPr>
          <w:p>
            <w:pPr>
              <w:jc w:val="right"/>
              <w:ind w:right="237"/>
              <w:spacing w:after="0"/>
              <w:rPr>
                <w:sz w:val="20"/>
                <w:szCs w:val="20"/>
                <w:color w:val="auto"/>
              </w:rPr>
            </w:pPr>
            <w:r>
              <w:rPr>
                <w:rFonts w:ascii="Arial" w:cs="Arial" w:eastAsia="Arial" w:hAnsi="Arial"/>
                <w:sz w:val="18"/>
                <w:szCs w:val="18"/>
                <w:i w:val="1"/>
                <w:iCs w:val="1"/>
                <w:color w:val="auto"/>
              </w:rPr>
              <w:t>—</w:t>
            </w:r>
          </w:p>
        </w:tc>
        <w:tc>
          <w:tcPr>
            <w:tcW w:w="4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w w:val="90"/>
              </w:rPr>
              <w:t>(145,556)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39,788</w:t>
            </w:r>
          </w:p>
        </w:tc>
        <w:tc>
          <w:tcPr>
            <w:tcW w:w="1160" w:type="dxa"/>
            <w:vAlign w:val="bottom"/>
          </w:tcPr>
          <w:p>
            <w:pPr>
              <w:jc w:val="right"/>
              <w:ind w:right="136"/>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17715" cy="160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7715" cy="16065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0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1760" w:type="dxa"/>
            <w:vAlign w:val="bottom"/>
          </w:tcPr>
          <w:p>
            <w:pPr>
              <w:jc w:val="right"/>
              <w:ind w:right="411"/>
              <w:spacing w:after="0"/>
              <w:rPr>
                <w:sz w:val="20"/>
                <w:szCs w:val="20"/>
                <w:color w:val="auto"/>
              </w:rPr>
            </w:pPr>
            <w:r>
              <w:rPr>
                <w:rFonts w:ascii="Arial" w:cs="Arial" w:eastAsia="Arial" w:hAnsi="Arial"/>
                <w:sz w:val="18"/>
                <w:szCs w:val="18"/>
                <w:color w:val="auto"/>
              </w:rPr>
              <w:t>97.9 %</w:t>
            </w:r>
          </w:p>
        </w:tc>
        <w:tc>
          <w:tcPr>
            <w:tcW w:w="2000" w:type="dxa"/>
            <w:vAlign w:val="bottom"/>
          </w:tcPr>
          <w:p>
            <w:pPr>
              <w:jc w:val="right"/>
              <w:ind w:right="931"/>
              <w:spacing w:after="0"/>
              <w:rPr>
                <w:sz w:val="20"/>
                <w:szCs w:val="20"/>
                <w:color w:val="auto"/>
              </w:rPr>
            </w:pPr>
            <w:r>
              <w:rPr>
                <w:rFonts w:ascii="Arial" w:cs="Arial" w:eastAsia="Arial" w:hAnsi="Arial"/>
                <w:sz w:val="18"/>
                <w:szCs w:val="18"/>
                <w:color w:val="auto"/>
              </w:rPr>
              <w:t>66.7 %</w:t>
            </w:r>
          </w:p>
        </w:tc>
        <w:tc>
          <w:tcPr>
            <w:tcW w:w="2080" w:type="dxa"/>
            <w:vAlign w:val="bottom"/>
          </w:tcPr>
          <w:p>
            <w:pPr>
              <w:jc w:val="right"/>
              <w:ind w:right="391"/>
              <w:spacing w:after="0"/>
              <w:rPr>
                <w:sz w:val="20"/>
                <w:szCs w:val="20"/>
                <w:color w:val="auto"/>
              </w:rPr>
            </w:pPr>
            <w:r>
              <w:rPr>
                <w:rFonts w:ascii="Arial" w:cs="Arial" w:eastAsia="Arial" w:hAnsi="Arial"/>
                <w:sz w:val="18"/>
                <w:szCs w:val="18"/>
                <w:color w:val="auto"/>
              </w:rPr>
              <w:t>122.0 %</w:t>
            </w:r>
          </w:p>
        </w:tc>
        <w:tc>
          <w:tcPr>
            <w:tcW w:w="2180" w:type="dxa"/>
            <w:vAlign w:val="bottom"/>
          </w:tcPr>
          <w:p>
            <w:pPr>
              <w:jc w:val="right"/>
              <w:ind w:right="1091"/>
              <w:spacing w:after="0"/>
              <w:rPr>
                <w:sz w:val="20"/>
                <w:szCs w:val="20"/>
                <w:color w:val="auto"/>
              </w:rPr>
            </w:pPr>
            <w:r>
              <w:rPr>
                <w:rFonts w:ascii="Arial" w:cs="Arial" w:eastAsia="Arial" w:hAnsi="Arial"/>
                <w:sz w:val="18"/>
                <w:szCs w:val="18"/>
                <w:color w:val="auto"/>
              </w:rPr>
              <w:t>65.1 %</w:t>
            </w:r>
          </w:p>
        </w:tc>
      </w:tr>
      <w:tr>
        <w:trPr>
          <w:trHeight w:val="227"/>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17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20.1 %</w:t>
            </w:r>
          </w:p>
        </w:tc>
        <w:tc>
          <w:tcPr>
            <w:tcW w:w="2000" w:type="dxa"/>
            <w:vAlign w:val="bottom"/>
            <w:shd w:val="clear" w:color="auto" w:fill="CCEEFF"/>
          </w:tcPr>
          <w:p>
            <w:pPr>
              <w:jc w:val="right"/>
              <w:ind w:right="931"/>
              <w:spacing w:after="0"/>
              <w:rPr>
                <w:sz w:val="20"/>
                <w:szCs w:val="20"/>
                <w:color w:val="auto"/>
              </w:rPr>
            </w:pPr>
            <w:r>
              <w:rPr>
                <w:rFonts w:ascii="Arial" w:cs="Arial" w:eastAsia="Arial" w:hAnsi="Arial"/>
                <w:sz w:val="18"/>
                <w:szCs w:val="18"/>
                <w:color w:val="auto"/>
              </w:rPr>
              <w:t>18.5 %</w:t>
            </w:r>
          </w:p>
        </w:tc>
        <w:tc>
          <w:tcPr>
            <w:tcW w:w="2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19.4 %</w:t>
            </w:r>
          </w:p>
        </w:tc>
        <w:tc>
          <w:tcPr>
            <w:tcW w:w="2180" w:type="dxa"/>
            <w:vAlign w:val="bottom"/>
            <w:shd w:val="clear" w:color="auto" w:fill="CCEEFF"/>
          </w:tcPr>
          <w:p>
            <w:pPr>
              <w:jc w:val="right"/>
              <w:ind w:right="1091"/>
              <w:spacing w:after="0"/>
              <w:rPr>
                <w:sz w:val="20"/>
                <w:szCs w:val="20"/>
                <w:color w:val="auto"/>
              </w:rPr>
            </w:pPr>
            <w:r>
              <w:rPr>
                <w:rFonts w:ascii="Arial" w:cs="Arial" w:eastAsia="Arial" w:hAnsi="Arial"/>
                <w:sz w:val="18"/>
                <w:szCs w:val="18"/>
                <w:color w:val="auto"/>
              </w:rPr>
              <w:t>21.9 %</w:t>
            </w:r>
          </w:p>
        </w:tc>
      </w:tr>
      <w:tr>
        <w:trPr>
          <w:trHeight w:val="225"/>
        </w:trPr>
        <w:tc>
          <w:tcPr>
            <w:tcW w:w="320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1760" w:type="dxa"/>
            <w:vAlign w:val="bottom"/>
          </w:tcPr>
          <w:p>
            <w:pPr>
              <w:jc w:val="right"/>
              <w:ind w:right="411"/>
              <w:spacing w:after="0"/>
              <w:rPr>
                <w:sz w:val="20"/>
                <w:szCs w:val="20"/>
                <w:color w:val="auto"/>
              </w:rPr>
            </w:pPr>
            <w:r>
              <w:rPr>
                <w:rFonts w:ascii="Arial" w:cs="Arial" w:eastAsia="Arial" w:hAnsi="Arial"/>
                <w:sz w:val="18"/>
                <w:szCs w:val="18"/>
                <w:color w:val="auto"/>
              </w:rPr>
              <w:t>118.0 %</w:t>
            </w:r>
          </w:p>
        </w:tc>
        <w:tc>
          <w:tcPr>
            <w:tcW w:w="2000" w:type="dxa"/>
            <w:vAlign w:val="bottom"/>
          </w:tcPr>
          <w:p>
            <w:pPr>
              <w:jc w:val="right"/>
              <w:ind w:right="931"/>
              <w:spacing w:after="0"/>
              <w:rPr>
                <w:sz w:val="20"/>
                <w:szCs w:val="20"/>
                <w:color w:val="auto"/>
              </w:rPr>
            </w:pPr>
            <w:r>
              <w:rPr>
                <w:rFonts w:ascii="Arial" w:cs="Arial" w:eastAsia="Arial" w:hAnsi="Arial"/>
                <w:sz w:val="18"/>
                <w:szCs w:val="18"/>
                <w:color w:val="auto"/>
              </w:rPr>
              <w:t>85.2 %</w:t>
            </w:r>
          </w:p>
        </w:tc>
        <w:tc>
          <w:tcPr>
            <w:tcW w:w="2080" w:type="dxa"/>
            <w:vAlign w:val="bottom"/>
          </w:tcPr>
          <w:p>
            <w:pPr>
              <w:jc w:val="right"/>
              <w:ind w:right="391"/>
              <w:spacing w:after="0"/>
              <w:rPr>
                <w:sz w:val="20"/>
                <w:szCs w:val="20"/>
                <w:color w:val="auto"/>
              </w:rPr>
            </w:pPr>
            <w:r>
              <w:rPr>
                <w:rFonts w:ascii="Arial" w:cs="Arial" w:eastAsia="Arial" w:hAnsi="Arial"/>
                <w:sz w:val="18"/>
                <w:szCs w:val="18"/>
                <w:color w:val="auto"/>
              </w:rPr>
              <w:t>141.4 %</w:t>
            </w:r>
          </w:p>
        </w:tc>
        <w:tc>
          <w:tcPr>
            <w:tcW w:w="2180" w:type="dxa"/>
            <w:vAlign w:val="bottom"/>
          </w:tcPr>
          <w:p>
            <w:pPr>
              <w:jc w:val="right"/>
              <w:ind w:right="1091"/>
              <w:spacing w:after="0"/>
              <w:rPr>
                <w:sz w:val="20"/>
                <w:szCs w:val="20"/>
                <w:color w:val="auto"/>
              </w:rPr>
            </w:pPr>
            <w:r>
              <w:rPr>
                <w:rFonts w:ascii="Arial" w:cs="Arial" w:eastAsia="Arial" w:hAnsi="Arial"/>
                <w:sz w:val="18"/>
                <w:szCs w:val="18"/>
                <w:color w:val="auto"/>
              </w:rPr>
              <w:t>87.0 %</w:t>
            </w:r>
          </w:p>
        </w:tc>
      </w:tr>
      <w:tr>
        <w:trPr>
          <w:trHeight w:val="227"/>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1760" w:type="dxa"/>
            <w:vAlign w:val="bottom"/>
            <w:shd w:val="clear" w:color="auto" w:fill="CCEEFF"/>
          </w:tcPr>
          <w:p>
            <w:pPr>
              <w:jc w:val="right"/>
              <w:ind w:right="411"/>
              <w:spacing w:after="0"/>
              <w:rPr>
                <w:sz w:val="20"/>
                <w:szCs w:val="20"/>
                <w:color w:val="auto"/>
              </w:rPr>
            </w:pPr>
            <w:r>
              <w:rPr>
                <w:rFonts w:ascii="Arial" w:cs="Arial" w:eastAsia="Arial" w:hAnsi="Arial"/>
                <w:sz w:val="18"/>
                <w:szCs w:val="18"/>
                <w:color w:val="auto"/>
              </w:rPr>
              <w:t>73.2 %</w:t>
            </w:r>
          </w:p>
        </w:tc>
        <w:tc>
          <w:tcPr>
            <w:tcW w:w="2000" w:type="dxa"/>
            <w:vAlign w:val="bottom"/>
            <w:shd w:val="clear" w:color="auto" w:fill="CCEEFF"/>
          </w:tcPr>
          <w:p>
            <w:pPr>
              <w:jc w:val="right"/>
              <w:ind w:right="931"/>
              <w:spacing w:after="0"/>
              <w:rPr>
                <w:sz w:val="20"/>
                <w:szCs w:val="20"/>
                <w:color w:val="auto"/>
              </w:rPr>
            </w:pPr>
            <w:r>
              <w:rPr>
                <w:rFonts w:ascii="Arial" w:cs="Arial" w:eastAsia="Arial" w:hAnsi="Arial"/>
                <w:sz w:val="18"/>
                <w:szCs w:val="18"/>
                <w:color w:val="auto"/>
              </w:rPr>
              <w:t>66.6 %</w:t>
            </w:r>
          </w:p>
        </w:tc>
        <w:tc>
          <w:tcPr>
            <w:tcW w:w="208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67.7 %</w:t>
            </w:r>
          </w:p>
        </w:tc>
        <w:tc>
          <w:tcPr>
            <w:tcW w:w="2180" w:type="dxa"/>
            <w:vAlign w:val="bottom"/>
            <w:shd w:val="clear" w:color="auto" w:fill="CCEEFF"/>
          </w:tcPr>
          <w:p>
            <w:pPr>
              <w:jc w:val="right"/>
              <w:ind w:right="1091"/>
              <w:spacing w:after="0"/>
              <w:rPr>
                <w:sz w:val="20"/>
                <w:szCs w:val="20"/>
                <w:color w:val="auto"/>
              </w:rPr>
            </w:pPr>
            <w:r>
              <w:rPr>
                <w:rFonts w:ascii="Arial" w:cs="Arial" w:eastAsia="Arial" w:hAnsi="Arial"/>
                <w:sz w:val="18"/>
                <w:szCs w:val="18"/>
                <w:color w:val="auto"/>
              </w:rPr>
              <w:t>66.0 %</w:t>
            </w:r>
          </w:p>
        </w:tc>
      </w:tr>
      <w:tr>
        <w:trPr>
          <w:trHeight w:val="225"/>
        </w:trPr>
        <w:tc>
          <w:tcPr>
            <w:tcW w:w="3200" w:type="dxa"/>
            <w:vAlign w:val="bottom"/>
          </w:tcPr>
          <w:p>
            <w:pPr>
              <w:ind w:left="140"/>
              <w:spacing w:after="0"/>
              <w:rPr>
                <w:sz w:val="20"/>
                <w:szCs w:val="20"/>
                <w:color w:val="auto"/>
              </w:rPr>
            </w:pPr>
            <w:r>
              <w:rPr>
                <w:rFonts w:ascii="Arial" w:cs="Arial" w:eastAsia="Arial" w:hAnsi="Arial"/>
                <w:sz w:val="18"/>
                <w:szCs w:val="18"/>
                <w:color w:val="auto"/>
              </w:rPr>
              <w:t xml:space="preserve">Accident year loss ratio ex-cat </w:t>
            </w:r>
            <w:r>
              <w:rPr>
                <w:rFonts w:ascii="Arial" w:cs="Arial" w:eastAsia="Arial" w:hAnsi="Arial"/>
                <w:sz w:val="14"/>
                <w:szCs w:val="14"/>
                <w:i w:val="1"/>
                <w:iCs w:val="1"/>
                <w:color w:val="auto"/>
              </w:rPr>
              <w:t>(3)</w:t>
            </w:r>
          </w:p>
        </w:tc>
        <w:tc>
          <w:tcPr>
            <w:tcW w:w="1760" w:type="dxa"/>
            <w:vAlign w:val="bottom"/>
          </w:tcPr>
          <w:p>
            <w:pPr>
              <w:jc w:val="right"/>
              <w:ind w:right="411"/>
              <w:spacing w:after="0"/>
              <w:rPr>
                <w:sz w:val="20"/>
                <w:szCs w:val="20"/>
                <w:color w:val="auto"/>
              </w:rPr>
            </w:pPr>
            <w:r>
              <w:rPr>
                <w:rFonts w:ascii="Arial" w:cs="Arial" w:eastAsia="Arial" w:hAnsi="Arial"/>
                <w:sz w:val="18"/>
                <w:szCs w:val="18"/>
                <w:color w:val="auto"/>
              </w:rPr>
              <w:t>69.0 %</w:t>
            </w:r>
          </w:p>
        </w:tc>
        <w:tc>
          <w:tcPr>
            <w:tcW w:w="2000" w:type="dxa"/>
            <w:vAlign w:val="bottom"/>
          </w:tcPr>
          <w:p>
            <w:pPr>
              <w:jc w:val="right"/>
              <w:ind w:right="931"/>
              <w:spacing w:after="0"/>
              <w:rPr>
                <w:sz w:val="20"/>
                <w:szCs w:val="20"/>
                <w:color w:val="auto"/>
              </w:rPr>
            </w:pPr>
            <w:r>
              <w:rPr>
                <w:rFonts w:ascii="Arial" w:cs="Arial" w:eastAsia="Arial" w:hAnsi="Arial"/>
                <w:sz w:val="18"/>
                <w:szCs w:val="18"/>
                <w:color w:val="auto"/>
              </w:rPr>
              <w:t>66.6 %</w:t>
            </w:r>
          </w:p>
        </w:tc>
        <w:tc>
          <w:tcPr>
            <w:tcW w:w="2080" w:type="dxa"/>
            <w:vAlign w:val="bottom"/>
          </w:tcPr>
          <w:p>
            <w:pPr>
              <w:jc w:val="right"/>
              <w:ind w:right="391"/>
              <w:spacing w:after="0"/>
              <w:rPr>
                <w:sz w:val="20"/>
                <w:szCs w:val="20"/>
                <w:color w:val="auto"/>
              </w:rPr>
            </w:pPr>
            <w:r>
              <w:rPr>
                <w:rFonts w:ascii="Arial" w:cs="Arial" w:eastAsia="Arial" w:hAnsi="Arial"/>
                <w:sz w:val="18"/>
                <w:szCs w:val="18"/>
                <w:color w:val="auto"/>
              </w:rPr>
              <w:t>66.3 %</w:t>
            </w:r>
          </w:p>
        </w:tc>
        <w:tc>
          <w:tcPr>
            <w:tcW w:w="2180" w:type="dxa"/>
            <w:vAlign w:val="bottom"/>
          </w:tcPr>
          <w:p>
            <w:pPr>
              <w:jc w:val="right"/>
              <w:ind w:right="1091"/>
              <w:spacing w:after="0"/>
              <w:rPr>
                <w:sz w:val="20"/>
                <w:szCs w:val="20"/>
                <w:color w:val="auto"/>
              </w:rPr>
            </w:pPr>
            <w:r>
              <w:rPr>
                <w:rFonts w:ascii="Arial" w:cs="Arial" w:eastAsia="Arial" w:hAnsi="Arial"/>
                <w:sz w:val="18"/>
                <w:szCs w:val="18"/>
                <w:color w:val="auto"/>
              </w:rPr>
              <w:t>66.0 %</w:t>
            </w:r>
          </w:p>
        </w:tc>
      </w:tr>
    </w:tbl>
    <w:p>
      <w:pPr>
        <w:spacing w:after="0" w:line="175" w:lineRule="exact"/>
        <w:rPr>
          <w:sz w:val="20"/>
          <w:szCs w:val="20"/>
          <w:color w:val="auto"/>
        </w:rPr>
      </w:pPr>
    </w:p>
    <w:p>
      <w:pPr>
        <w:ind w:left="640" w:right="200" w:hanging="315"/>
        <w:spacing w:after="0" w:line="253" w:lineRule="auto"/>
        <w:tabs>
          <w:tab w:leader="none" w:pos="63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Profit is a non-GAAP Measure. See “Reconciliation of Non-GAAP Measures” for a reconciliation to (loss) income before tax and for additional information.</w:t>
      </w:r>
    </w:p>
    <w:p>
      <w:pPr>
        <w:ind w:left="640" w:right="100" w:hanging="315"/>
        <w:spacing w:after="0" w:line="246" w:lineRule="auto"/>
        <w:tabs>
          <w:tab w:leader="none" w:pos="63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for the three and nine months ended September 30, 2020 include gross fee income of $— and $1.6 million, respectively, related to Rasier, a former commercial auto account (none for the three and nine months ended September 30, 2021).</w:t>
      </w:r>
    </w:p>
    <w:p>
      <w:pPr>
        <w:spacing w:after="0" w:line="1" w:lineRule="exact"/>
        <w:rPr>
          <w:rFonts w:ascii="Arial" w:cs="Arial" w:eastAsia="Arial" w:hAnsi="Arial"/>
          <w:sz w:val="18"/>
          <w:szCs w:val="18"/>
          <w:i w:val="1"/>
          <w:iCs w:val="1"/>
          <w:color w:val="auto"/>
        </w:rPr>
      </w:pPr>
    </w:p>
    <w:p>
      <w:pPr>
        <w:ind w:left="640" w:right="920" w:hanging="315"/>
        <w:spacing w:after="0" w:line="253" w:lineRule="auto"/>
        <w:tabs>
          <w:tab w:leader="none" w:pos="634"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Accident year loss ratio excluding the $5.0 million of net catastrophe losses related to Hurricane Ida in the three and nine months ended September 30, 2021.</w:t>
      </w:r>
    </w:p>
    <w:p>
      <w:pPr>
        <w:spacing w:after="0" w:line="137"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The loss ratio of 97.9% for the three months ended September 30, 2021 includes $29.5 million of net adverse reserve development (24.7 percentage points) in our loss estimates for prior accident years. The loss ratio of 122.0% for the nine months ended September 30, 2021 includes $190.7 million of net adverse reserve development (54.3 percentage points) in our loss estimates for prior accident years, including $9.4 million of net favorable development on Core E&amp;S lines of business and $200.1 million of net adverse development on commercial auto business that was almost entirely related to a previously canceled account that has been runoff since 2019. The reported losses on this terminated commercial auto account meaningfully exceeded our expectations in the three months ended March 31, 2021. We had expected that reported losses would decline as the account moved further into runoff, but the continued heavy reported loss emergence in the first quarter of 2021 indicated more inherent severity than anticipated. In response, we meaningfully adjusted our actuarial methodology, resulting in a significant strengthening of reserves for this account ($169.9 million of net adverse development was recorded in the first quarter). In prior quarters, our actuarial work for this terminated commercial auto account had been based on industry data, pricing data, experience data, average claims severity data, and blended methodologies. However, the continuation of the highly elevated reported losses in the first quarter of 2021 led us to conclude that using only our own loss experience in our paid and incurred reserve projections rather than the array of inputs that we had used in prior quarters, and giving greater weight to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incurred methods, would give us a better estimate of ultimate losses on this account. In the third quarter, James River entered into a loss portfolio transfer transaction with Aleka to reinsure substantially all of the Excess and Surplus Lines segment's legacy portfolio of commercial auto policies previously issued to Rasier for which James River is not otherwise indemnified by Rasier. Under the terms of the transaction, effective as of July 1, 2021, James River ceded to Aleka approximately $345.1 million of commercial auto liabilities relating to Rasier policies written in the years 2013-2019, and subject to certain exclusions. A pre-tax loss of $29.6 million was recognized as adverse loss and loss adjustment reserve development in the Excess and Surplus Lines segment for the third quarter of 2021 associated with the loss portfolio transfer, of which $15.8 million related to claims handling costs. The $15.8 million claims handling costs constitutes James River’s contribution to the fees of a third party claims administrator appointed by James River and Aleka to handle the claims on the Rasier commercial auto policies for the remaining life of those claims, and unallocated loss adjustment expenses required to facilitate the transition of the claims to the third party claims manager. The loss ratio for the three and nine months ended September 30, 2021 also includes 4.2 and 1.4 points, respectively, related to the $5.0 million of Hurricane Ida losses recorded in the third quarter of 2021. The loss ratios of 66.7% and 65.1% for the three and nine months ended September 30, 2020 include $27,000 of net adverse and $2.8 million of net favorable (0.0 and 0.9 percentage points, respectively) reserve development in our loss estimates for prior accident years.</w:t>
      </w:r>
    </w:p>
    <w:p>
      <w:pPr>
        <w:spacing w:after="0" w:line="65"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The expense ratio for this segment was 20.1% and 19.4% for the three and nine months ended September 30, 2021, respectively, compared to 18.5% and 21.9% for the three and nine months ended September 30, 2020, respectively. The current year expense ratios reflect increases of 10.9% and 15.2%, respectively, in Core E&amp;S net earned premiums including in lines that have meaningful ceding commissions. Gross fee income related to a former commercial auto account contributed to reductions in the expense ratio of 0.0 and 0.5 percentage points for the three and nine months ended September 30, 2020, respectively (none for the three and nine months ended September 30, 2021).</w:t>
      </w:r>
    </w:p>
    <w:p>
      <w:pPr>
        <w:spacing w:after="0" w:line="7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a result of the items discussed above, the underwriting results of the Excess and Surplus Lines segment declined from underwriting profits of $15.6 million and $39.8 million for the three and nine months ended September 30, 2020, respectively, to underwriting losses of $21.5 million and $145.6 million for the three and nine months ended September 30, 2021,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Specialty Admitted Insurance Segment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Specialty Admitted Insurance segment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0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236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121,175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112,589</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i w:val="1"/>
                <w:iCs w:val="1"/>
                <w:color w:val="auto"/>
              </w:rPr>
              <w:t>7.6 %</w:t>
            </w: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w w:val="98"/>
              </w:rPr>
              <w:t>377,400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303,831</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24.2 %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120" w:type="dxa"/>
            <w:vAlign w:val="bottom"/>
          </w:tcPr>
          <w:p>
            <w:pPr>
              <w:ind w:left="20"/>
              <w:spacing w:after="0" w:line="199" w:lineRule="exact"/>
              <w:rPr>
                <w:sz w:val="20"/>
                <w:szCs w:val="20"/>
                <w:color w:val="auto"/>
              </w:rPr>
            </w:pPr>
            <w:r>
              <w:rPr>
                <w:rFonts w:ascii="Arial" w:cs="Arial" w:eastAsia="Arial" w:hAnsi="Arial"/>
                <w:sz w:val="18"/>
                <w:szCs w:val="18"/>
                <w:color w:val="auto"/>
              </w:rPr>
              <w:t>Net written premiums</w:t>
            </w:r>
          </w:p>
        </w:tc>
        <w:tc>
          <w:tcPr>
            <w:tcW w:w="320" w:type="dxa"/>
            <w:vAlign w:val="bottom"/>
            <w:tcBorders>
              <w:bottom w:val="single" w:sz="8" w:color="auto"/>
            </w:tcBorders>
          </w:tcPr>
          <w:p>
            <w:pPr>
              <w:jc w:val="right"/>
              <w:ind w:right="131"/>
              <w:spacing w:after="0" w:line="199"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7"/>
              <w:spacing w:after="0" w:line="199" w:lineRule="exact"/>
              <w:rPr>
                <w:sz w:val="20"/>
                <w:szCs w:val="20"/>
                <w:color w:val="auto"/>
              </w:rPr>
            </w:pPr>
            <w:r>
              <w:rPr>
                <w:rFonts w:ascii="Arial" w:cs="Arial" w:eastAsia="Arial" w:hAnsi="Arial"/>
                <w:sz w:val="18"/>
                <w:szCs w:val="18"/>
                <w:color w:val="auto"/>
              </w:rPr>
              <w:t>22,578</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1"/>
              <w:spacing w:after="0" w:line="199"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14"/>
              <w:spacing w:after="0" w:line="199" w:lineRule="exact"/>
              <w:rPr>
                <w:sz w:val="20"/>
                <w:szCs w:val="20"/>
                <w:color w:val="auto"/>
              </w:rPr>
            </w:pPr>
            <w:r>
              <w:rPr>
                <w:rFonts w:ascii="Arial" w:cs="Arial" w:eastAsia="Arial" w:hAnsi="Arial"/>
                <w:sz w:val="18"/>
                <w:szCs w:val="18"/>
                <w:color w:val="auto"/>
              </w:rPr>
              <w:t>16,184</w:t>
            </w:r>
          </w:p>
        </w:tc>
        <w:tc>
          <w:tcPr>
            <w:tcW w:w="1280" w:type="dxa"/>
            <w:vAlign w:val="bottom"/>
          </w:tcPr>
          <w:p>
            <w:pPr>
              <w:jc w:val="right"/>
              <w:ind w:right="57"/>
              <w:spacing w:after="0" w:line="199" w:lineRule="exact"/>
              <w:rPr>
                <w:sz w:val="20"/>
                <w:szCs w:val="20"/>
                <w:color w:val="auto"/>
              </w:rPr>
            </w:pPr>
            <w:r>
              <w:rPr>
                <w:rFonts w:ascii="Arial" w:cs="Arial" w:eastAsia="Arial" w:hAnsi="Arial"/>
                <w:sz w:val="18"/>
                <w:szCs w:val="18"/>
                <w:i w:val="1"/>
                <w:iCs w:val="1"/>
                <w:color w:val="auto"/>
              </w:rPr>
              <w:t>39.5 %</w:t>
            </w:r>
          </w:p>
        </w:tc>
        <w:tc>
          <w:tcPr>
            <w:tcW w:w="480" w:type="dxa"/>
            <w:vAlign w:val="bottom"/>
            <w:tcBorders>
              <w:bottom w:val="single" w:sz="8" w:color="auto"/>
            </w:tcBorders>
          </w:tcPr>
          <w:p>
            <w:pPr>
              <w:jc w:val="right"/>
              <w:ind w:right="291"/>
              <w:spacing w:after="0" w:line="199"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7"/>
              <w:spacing w:after="0" w:line="199" w:lineRule="exact"/>
              <w:rPr>
                <w:sz w:val="20"/>
                <w:szCs w:val="20"/>
                <w:color w:val="auto"/>
              </w:rPr>
            </w:pPr>
            <w:r>
              <w:rPr>
                <w:rFonts w:ascii="Arial" w:cs="Arial" w:eastAsia="Arial" w:hAnsi="Arial"/>
                <w:sz w:val="18"/>
                <w:szCs w:val="18"/>
                <w:color w:val="auto"/>
              </w:rPr>
              <w:t>66,081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1"/>
              <w:spacing w:after="0" w:line="199"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4"/>
              <w:spacing w:after="0" w:line="199" w:lineRule="exact"/>
              <w:rPr>
                <w:sz w:val="20"/>
                <w:szCs w:val="20"/>
                <w:color w:val="auto"/>
              </w:rPr>
            </w:pPr>
            <w:r>
              <w:rPr>
                <w:rFonts w:ascii="Arial" w:cs="Arial" w:eastAsia="Arial" w:hAnsi="Arial"/>
                <w:sz w:val="18"/>
                <w:szCs w:val="18"/>
                <w:color w:val="auto"/>
              </w:rPr>
              <w:t>42,279</w:t>
            </w:r>
          </w:p>
        </w:tc>
        <w:tc>
          <w:tcPr>
            <w:tcW w:w="1160" w:type="dxa"/>
            <w:vAlign w:val="bottom"/>
          </w:tcPr>
          <w:p>
            <w:pPr>
              <w:jc w:val="right"/>
              <w:spacing w:after="0" w:line="199" w:lineRule="exact"/>
              <w:rPr>
                <w:sz w:val="20"/>
                <w:szCs w:val="20"/>
                <w:color w:val="auto"/>
              </w:rPr>
            </w:pPr>
            <w:r>
              <w:rPr>
                <w:rFonts w:ascii="Arial" w:cs="Arial" w:eastAsia="Arial" w:hAnsi="Arial"/>
                <w:sz w:val="18"/>
                <w:szCs w:val="18"/>
                <w:i w:val="1"/>
                <w:iCs w:val="1"/>
                <w:color w:val="auto"/>
              </w:rPr>
              <w:t>56.3 %</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19,704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14,985</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8"/>
                <w:szCs w:val="18"/>
                <w:i w:val="1"/>
                <w:iCs w:val="1"/>
                <w:color w:val="auto"/>
              </w:rPr>
              <w:t>31.5 %</w:t>
            </w:r>
          </w:p>
        </w:tc>
        <w:tc>
          <w:tcPr>
            <w:tcW w:w="480" w:type="dxa"/>
            <w:vAlign w:val="bottom"/>
            <w:shd w:val="clear" w:color="auto" w:fill="CCEEFF"/>
          </w:tcPr>
          <w:p>
            <w:pPr>
              <w:jc w:val="right"/>
              <w:ind w:right="29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54,656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42,660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28.1 %</w:t>
            </w:r>
          </w:p>
        </w:tc>
        <w:tc>
          <w:tcPr>
            <w:tcW w:w="0" w:type="dxa"/>
            <w:vAlign w:val="bottom"/>
          </w:tcPr>
          <w:p>
            <w:pPr>
              <w:spacing w:after="0"/>
              <w:rPr>
                <w:sz w:val="1"/>
                <w:szCs w:val="1"/>
                <w:color w:val="auto"/>
              </w:rPr>
            </w:pPr>
          </w:p>
        </w:tc>
      </w:tr>
      <w:tr>
        <w:trPr>
          <w:trHeight w:val="225"/>
        </w:trPr>
        <w:tc>
          <w:tcPr>
            <w:tcW w:w="312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19"/>
                <w:szCs w:val="19"/>
                <w:color w:val="auto"/>
              </w:rPr>
            </w:pPr>
          </w:p>
        </w:tc>
        <w:tc>
          <w:tcPr>
            <w:tcW w:w="1040" w:type="dxa"/>
            <w:vAlign w:val="bottom"/>
          </w:tcPr>
          <w:p>
            <w:pPr>
              <w:jc w:val="right"/>
              <w:ind w:right="97"/>
              <w:spacing w:after="0"/>
              <w:rPr>
                <w:sz w:val="20"/>
                <w:szCs w:val="20"/>
                <w:color w:val="auto"/>
              </w:rPr>
            </w:pPr>
            <w:r>
              <w:rPr>
                <w:rFonts w:ascii="Arial" w:cs="Arial" w:eastAsia="Arial" w:hAnsi="Arial"/>
                <w:sz w:val="18"/>
                <w:szCs w:val="18"/>
                <w:color w:val="auto"/>
              </w:rPr>
              <w:t>(15,263)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(10,745)</w:t>
            </w:r>
          </w:p>
        </w:tc>
        <w:tc>
          <w:tcPr>
            <w:tcW w:w="1280" w:type="dxa"/>
            <w:vAlign w:val="bottom"/>
          </w:tcPr>
          <w:p>
            <w:pPr>
              <w:jc w:val="right"/>
              <w:ind w:right="57"/>
              <w:spacing w:after="0"/>
              <w:rPr>
                <w:sz w:val="20"/>
                <w:szCs w:val="20"/>
                <w:color w:val="auto"/>
              </w:rPr>
            </w:pPr>
            <w:r>
              <w:rPr>
                <w:rFonts w:ascii="Arial" w:cs="Arial" w:eastAsia="Arial" w:hAnsi="Arial"/>
                <w:sz w:val="18"/>
                <w:szCs w:val="18"/>
                <w:i w:val="1"/>
                <w:iCs w:val="1"/>
                <w:color w:val="auto"/>
              </w:rPr>
              <w:t>42.0 %</w:t>
            </w:r>
          </w:p>
        </w:tc>
        <w:tc>
          <w:tcPr>
            <w:tcW w:w="480" w:type="dxa"/>
            <w:vAlign w:val="bottom"/>
          </w:tcPr>
          <w:p>
            <w:pPr>
              <w:spacing w:after="0"/>
              <w:rPr>
                <w:sz w:val="19"/>
                <w:szCs w:val="19"/>
                <w:color w:val="auto"/>
              </w:rPr>
            </w:pPr>
          </w:p>
        </w:tc>
        <w:tc>
          <w:tcPr>
            <w:tcW w:w="880" w:type="dxa"/>
            <w:vAlign w:val="bottom"/>
          </w:tcPr>
          <w:p>
            <w:pPr>
              <w:jc w:val="right"/>
              <w:ind w:right="97"/>
              <w:spacing w:after="0"/>
              <w:rPr>
                <w:sz w:val="20"/>
                <w:szCs w:val="20"/>
                <w:color w:val="auto"/>
              </w:rPr>
            </w:pPr>
            <w:r>
              <w:rPr>
                <w:rFonts w:ascii="Arial" w:cs="Arial" w:eastAsia="Arial" w:hAnsi="Arial"/>
                <w:sz w:val="18"/>
                <w:szCs w:val="18"/>
                <w:color w:val="auto"/>
              </w:rPr>
              <w:t>(39,371)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(31,209)</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26.2 %</w:t>
            </w:r>
          </w:p>
        </w:tc>
        <w:tc>
          <w:tcPr>
            <w:tcW w:w="0" w:type="dxa"/>
            <w:vAlign w:val="bottom"/>
          </w:tcPr>
          <w:p>
            <w:pPr>
              <w:spacing w:after="0"/>
              <w:rPr>
                <w:sz w:val="1"/>
                <w:szCs w:val="1"/>
                <w:color w:val="auto"/>
              </w:rPr>
            </w:pPr>
          </w:p>
        </w:tc>
      </w:tr>
      <w:tr>
        <w:trPr>
          <w:trHeight w:val="22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(2,381)</w:t>
            </w: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8"/>
                <w:szCs w:val="18"/>
                <w:i w:val="1"/>
                <w:iCs w:val="1"/>
                <w:color w:val="auto"/>
              </w:rPr>
              <w:t>(43.0)%</w:t>
            </w: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(8,797)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(9,150)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(3.9)%</w:t>
            </w:r>
          </w:p>
        </w:tc>
        <w:tc>
          <w:tcPr>
            <w:tcW w:w="0" w:type="dxa"/>
            <w:vAlign w:val="bottom"/>
          </w:tcPr>
          <w:p>
            <w:pPr>
              <w:spacing w:after="0"/>
              <w:rPr>
                <w:sz w:val="1"/>
                <w:szCs w:val="1"/>
                <w:color w:val="auto"/>
              </w:rPr>
            </w:pPr>
          </w:p>
        </w:tc>
      </w:tr>
      <w:tr>
        <w:trPr>
          <w:trHeight w:val="220"/>
        </w:trPr>
        <w:tc>
          <w:tcPr>
            <w:tcW w:w="3120" w:type="dxa"/>
            <w:vAlign w:val="bottom"/>
          </w:tcPr>
          <w:p>
            <w:pPr>
              <w:ind w:left="20"/>
              <w:spacing w:after="0"/>
              <w:rPr>
                <w:sz w:val="20"/>
                <w:szCs w:val="20"/>
                <w:color w:val="auto"/>
              </w:rPr>
            </w:pPr>
            <w:r>
              <w:rPr>
                <w:rFonts w:ascii="Arial" w:cs="Arial" w:eastAsia="Arial" w:hAnsi="Arial"/>
                <w:sz w:val="18"/>
                <w:szCs w:val="18"/>
                <w:color w:val="auto"/>
              </w:rPr>
              <w:t xml:space="preserve">Underwriting profit </w:t>
            </w:r>
            <w:r>
              <w:rPr>
                <w:rFonts w:ascii="Arial" w:cs="Arial" w:eastAsia="Arial" w:hAnsi="Arial"/>
                <w:sz w:val="14"/>
                <w:szCs w:val="14"/>
                <w:i w:val="1"/>
                <w:iCs w:val="1"/>
                <w:color w:val="auto"/>
              </w:rPr>
              <w:t>(1), (2)</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1,859</w:t>
            </w:r>
          </w:p>
        </w:tc>
        <w:tc>
          <w:tcPr>
            <w:tcW w:w="1280" w:type="dxa"/>
            <w:vAlign w:val="bottom"/>
          </w:tcPr>
          <w:p>
            <w:pPr>
              <w:jc w:val="right"/>
              <w:ind w:right="57"/>
              <w:spacing w:after="0"/>
              <w:rPr>
                <w:sz w:val="20"/>
                <w:szCs w:val="20"/>
                <w:color w:val="auto"/>
              </w:rPr>
            </w:pPr>
            <w:r>
              <w:rPr>
                <w:rFonts w:ascii="Arial" w:cs="Arial" w:eastAsia="Arial" w:hAnsi="Arial"/>
                <w:sz w:val="18"/>
                <w:szCs w:val="18"/>
                <w:i w:val="1"/>
                <w:iCs w:val="1"/>
                <w:color w:val="auto"/>
              </w:rPr>
              <w:t>65.9 %</w:t>
            </w:r>
          </w:p>
        </w:tc>
        <w:tc>
          <w:tcPr>
            <w:tcW w:w="4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6,488</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2,301</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182.0 %</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17715" cy="160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7715" cy="1606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880" w:type="dxa"/>
            <w:vAlign w:val="bottom"/>
          </w:tcPr>
          <w:p>
            <w:pPr>
              <w:ind w:left="140"/>
              <w:spacing w:after="0"/>
              <w:rPr>
                <w:sz w:val="20"/>
                <w:szCs w:val="20"/>
                <w:color w:val="auto"/>
              </w:rPr>
            </w:pPr>
            <w:r>
              <w:rPr>
                <w:rFonts w:ascii="Arial" w:cs="Arial" w:eastAsia="Arial" w:hAnsi="Arial"/>
                <w:sz w:val="18"/>
                <w:szCs w:val="18"/>
                <w:color w:val="auto"/>
              </w:rPr>
              <w:t>Loss ratio</w:t>
            </w:r>
          </w:p>
        </w:tc>
        <w:tc>
          <w:tcPr>
            <w:tcW w:w="2060" w:type="dxa"/>
            <w:vAlign w:val="bottom"/>
          </w:tcPr>
          <w:p>
            <w:pPr>
              <w:jc w:val="right"/>
              <w:ind w:right="391"/>
              <w:spacing w:after="0"/>
              <w:rPr>
                <w:sz w:val="20"/>
                <w:szCs w:val="20"/>
                <w:color w:val="auto"/>
              </w:rPr>
            </w:pPr>
            <w:r>
              <w:rPr>
                <w:rFonts w:ascii="Arial" w:cs="Arial" w:eastAsia="Arial" w:hAnsi="Arial"/>
                <w:sz w:val="18"/>
                <w:szCs w:val="18"/>
                <w:color w:val="auto"/>
              </w:rPr>
              <w:t>77.5 %</w:t>
            </w:r>
          </w:p>
        </w:tc>
        <w:tc>
          <w:tcPr>
            <w:tcW w:w="2060" w:type="dxa"/>
            <w:vAlign w:val="bottom"/>
          </w:tcPr>
          <w:p>
            <w:pPr>
              <w:jc w:val="right"/>
              <w:ind w:right="971"/>
              <w:spacing w:after="0"/>
              <w:rPr>
                <w:sz w:val="20"/>
                <w:szCs w:val="20"/>
                <w:color w:val="auto"/>
              </w:rPr>
            </w:pPr>
            <w:r>
              <w:rPr>
                <w:rFonts w:ascii="Arial" w:cs="Arial" w:eastAsia="Arial" w:hAnsi="Arial"/>
                <w:sz w:val="18"/>
                <w:szCs w:val="18"/>
                <w:color w:val="auto"/>
              </w:rPr>
              <w:t>71.7 %</w:t>
            </w: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72.0 %</w:t>
            </w:r>
          </w:p>
        </w:tc>
        <w:tc>
          <w:tcPr>
            <w:tcW w:w="2180" w:type="dxa"/>
            <w:vAlign w:val="bottom"/>
          </w:tcPr>
          <w:p>
            <w:pPr>
              <w:jc w:val="right"/>
              <w:ind w:right="1091"/>
              <w:spacing w:after="0"/>
              <w:rPr>
                <w:sz w:val="20"/>
                <w:szCs w:val="20"/>
                <w:color w:val="auto"/>
              </w:rPr>
            </w:pPr>
            <w:r>
              <w:rPr>
                <w:rFonts w:ascii="Arial" w:cs="Arial" w:eastAsia="Arial" w:hAnsi="Arial"/>
                <w:sz w:val="18"/>
                <w:szCs w:val="18"/>
                <w:color w:val="auto"/>
              </w:rPr>
              <w:t>73.2 %</w:t>
            </w:r>
          </w:p>
        </w:tc>
      </w:tr>
      <w:tr>
        <w:trPr>
          <w:trHeight w:val="227"/>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ratio</w:t>
            </w:r>
          </w:p>
        </w:tc>
        <w:tc>
          <w:tcPr>
            <w:tcW w:w="20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6.8 %</w:t>
            </w:r>
          </w:p>
        </w:tc>
        <w:tc>
          <w:tcPr>
            <w:tcW w:w="206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rPr>
              <w:t>15.9 %</w:t>
            </w:r>
          </w:p>
        </w:tc>
        <w:tc>
          <w:tcPr>
            <w:tcW w:w="20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16.1 %</w:t>
            </w:r>
          </w:p>
        </w:tc>
        <w:tc>
          <w:tcPr>
            <w:tcW w:w="2180" w:type="dxa"/>
            <w:vAlign w:val="bottom"/>
            <w:shd w:val="clear" w:color="auto" w:fill="CCEEFF"/>
          </w:tcPr>
          <w:p>
            <w:pPr>
              <w:jc w:val="right"/>
              <w:ind w:right="1091"/>
              <w:spacing w:after="0"/>
              <w:rPr>
                <w:sz w:val="20"/>
                <w:szCs w:val="20"/>
                <w:color w:val="auto"/>
              </w:rPr>
            </w:pPr>
            <w:r>
              <w:rPr>
                <w:rFonts w:ascii="Arial" w:cs="Arial" w:eastAsia="Arial" w:hAnsi="Arial"/>
                <w:sz w:val="18"/>
                <w:szCs w:val="18"/>
                <w:color w:val="auto"/>
              </w:rPr>
              <w:t>21.4 %</w:t>
            </w:r>
          </w:p>
        </w:tc>
      </w:tr>
      <w:tr>
        <w:trPr>
          <w:trHeight w:val="225"/>
        </w:trPr>
        <w:tc>
          <w:tcPr>
            <w:tcW w:w="2880" w:type="dxa"/>
            <w:vAlign w:val="bottom"/>
          </w:tcPr>
          <w:p>
            <w:pPr>
              <w:ind w:left="140"/>
              <w:spacing w:after="0"/>
              <w:rPr>
                <w:sz w:val="20"/>
                <w:szCs w:val="20"/>
                <w:color w:val="auto"/>
              </w:rPr>
            </w:pPr>
            <w:r>
              <w:rPr>
                <w:rFonts w:ascii="Arial" w:cs="Arial" w:eastAsia="Arial" w:hAnsi="Arial"/>
                <w:sz w:val="18"/>
                <w:szCs w:val="18"/>
                <w:color w:val="auto"/>
              </w:rPr>
              <w:t>Combined ratio</w:t>
            </w:r>
          </w:p>
        </w:tc>
        <w:tc>
          <w:tcPr>
            <w:tcW w:w="2060" w:type="dxa"/>
            <w:vAlign w:val="bottom"/>
          </w:tcPr>
          <w:p>
            <w:pPr>
              <w:jc w:val="right"/>
              <w:ind w:right="391"/>
              <w:spacing w:after="0"/>
              <w:rPr>
                <w:sz w:val="20"/>
                <w:szCs w:val="20"/>
                <w:color w:val="auto"/>
              </w:rPr>
            </w:pPr>
            <w:r>
              <w:rPr>
                <w:rFonts w:ascii="Arial" w:cs="Arial" w:eastAsia="Arial" w:hAnsi="Arial"/>
                <w:sz w:val="18"/>
                <w:szCs w:val="18"/>
                <w:color w:val="auto"/>
              </w:rPr>
              <w:t>84.3 %</w:t>
            </w:r>
          </w:p>
        </w:tc>
        <w:tc>
          <w:tcPr>
            <w:tcW w:w="2060" w:type="dxa"/>
            <w:vAlign w:val="bottom"/>
          </w:tcPr>
          <w:p>
            <w:pPr>
              <w:jc w:val="right"/>
              <w:ind w:right="971"/>
              <w:spacing w:after="0"/>
              <w:rPr>
                <w:sz w:val="20"/>
                <w:szCs w:val="20"/>
                <w:color w:val="auto"/>
              </w:rPr>
            </w:pPr>
            <w:r>
              <w:rPr>
                <w:rFonts w:ascii="Arial" w:cs="Arial" w:eastAsia="Arial" w:hAnsi="Arial"/>
                <w:sz w:val="18"/>
                <w:szCs w:val="18"/>
                <w:color w:val="auto"/>
              </w:rPr>
              <w:t>87.6 %</w:t>
            </w:r>
          </w:p>
        </w:tc>
        <w:tc>
          <w:tcPr>
            <w:tcW w:w="2040" w:type="dxa"/>
            <w:vAlign w:val="bottom"/>
          </w:tcPr>
          <w:p>
            <w:pPr>
              <w:jc w:val="right"/>
              <w:ind w:right="391"/>
              <w:spacing w:after="0"/>
              <w:rPr>
                <w:sz w:val="20"/>
                <w:szCs w:val="20"/>
                <w:color w:val="auto"/>
              </w:rPr>
            </w:pPr>
            <w:r>
              <w:rPr>
                <w:rFonts w:ascii="Arial" w:cs="Arial" w:eastAsia="Arial" w:hAnsi="Arial"/>
                <w:sz w:val="18"/>
                <w:szCs w:val="18"/>
                <w:color w:val="auto"/>
              </w:rPr>
              <w:t>88.1 %</w:t>
            </w:r>
          </w:p>
        </w:tc>
        <w:tc>
          <w:tcPr>
            <w:tcW w:w="2180" w:type="dxa"/>
            <w:vAlign w:val="bottom"/>
          </w:tcPr>
          <w:p>
            <w:pPr>
              <w:jc w:val="right"/>
              <w:ind w:right="1091"/>
              <w:spacing w:after="0"/>
              <w:rPr>
                <w:sz w:val="20"/>
                <w:szCs w:val="20"/>
                <w:color w:val="auto"/>
              </w:rPr>
            </w:pPr>
            <w:r>
              <w:rPr>
                <w:rFonts w:ascii="Arial" w:cs="Arial" w:eastAsia="Arial" w:hAnsi="Arial"/>
                <w:sz w:val="18"/>
                <w:szCs w:val="18"/>
                <w:color w:val="auto"/>
              </w:rPr>
              <w:t>94.6 %</w:t>
            </w:r>
          </w:p>
        </w:tc>
      </w:tr>
      <w:tr>
        <w:trPr>
          <w:trHeight w:val="227"/>
        </w:trPr>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Accident year loss ratio</w:t>
            </w:r>
          </w:p>
        </w:tc>
        <w:tc>
          <w:tcPr>
            <w:tcW w:w="206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80.0 %</w:t>
            </w:r>
          </w:p>
        </w:tc>
        <w:tc>
          <w:tcPr>
            <w:tcW w:w="2060" w:type="dxa"/>
            <w:vAlign w:val="bottom"/>
            <w:shd w:val="clear" w:color="auto" w:fill="CCEEFF"/>
          </w:tcPr>
          <w:p>
            <w:pPr>
              <w:jc w:val="right"/>
              <w:ind w:right="971"/>
              <w:spacing w:after="0"/>
              <w:rPr>
                <w:sz w:val="20"/>
                <w:szCs w:val="20"/>
                <w:color w:val="auto"/>
              </w:rPr>
            </w:pPr>
            <w:r>
              <w:rPr>
                <w:rFonts w:ascii="Arial" w:cs="Arial" w:eastAsia="Arial" w:hAnsi="Arial"/>
                <w:sz w:val="18"/>
                <w:szCs w:val="18"/>
                <w:color w:val="auto"/>
              </w:rPr>
              <w:t>85.1 %</w:t>
            </w:r>
          </w:p>
        </w:tc>
        <w:tc>
          <w:tcPr>
            <w:tcW w:w="2040" w:type="dxa"/>
            <w:vAlign w:val="bottom"/>
            <w:shd w:val="clear" w:color="auto" w:fill="CCEEFF"/>
          </w:tcPr>
          <w:p>
            <w:pPr>
              <w:jc w:val="right"/>
              <w:ind w:right="391"/>
              <w:spacing w:after="0"/>
              <w:rPr>
                <w:sz w:val="20"/>
                <w:szCs w:val="20"/>
                <w:color w:val="auto"/>
              </w:rPr>
            </w:pPr>
            <w:r>
              <w:rPr>
                <w:rFonts w:ascii="Arial" w:cs="Arial" w:eastAsia="Arial" w:hAnsi="Arial"/>
                <w:sz w:val="18"/>
                <w:szCs w:val="18"/>
                <w:color w:val="auto"/>
              </w:rPr>
              <w:t>76.6 %</w:t>
            </w:r>
          </w:p>
        </w:tc>
        <w:tc>
          <w:tcPr>
            <w:tcW w:w="2180" w:type="dxa"/>
            <w:vAlign w:val="bottom"/>
            <w:shd w:val="clear" w:color="auto" w:fill="CCEEFF"/>
          </w:tcPr>
          <w:p>
            <w:pPr>
              <w:jc w:val="right"/>
              <w:ind w:right="1091"/>
              <w:spacing w:after="0"/>
              <w:rPr>
                <w:sz w:val="20"/>
                <w:szCs w:val="20"/>
                <w:color w:val="auto"/>
              </w:rPr>
            </w:pPr>
            <w:r>
              <w:rPr>
                <w:rFonts w:ascii="Arial" w:cs="Arial" w:eastAsia="Arial" w:hAnsi="Arial"/>
                <w:sz w:val="18"/>
                <w:szCs w:val="18"/>
                <w:color w:val="auto"/>
              </w:rPr>
              <w:t>82.6 %</w:t>
            </w:r>
          </w:p>
        </w:tc>
      </w:tr>
    </w:tbl>
    <w:p>
      <w:pPr>
        <w:spacing w:after="0" w:line="187" w:lineRule="exact"/>
        <w:rPr>
          <w:sz w:val="20"/>
          <w:szCs w:val="20"/>
          <w:color w:val="auto"/>
        </w:rPr>
      </w:pPr>
    </w:p>
    <w:p>
      <w:pPr>
        <w:ind w:left="640" w:right="580" w:hanging="315"/>
        <w:spacing w:after="0" w:line="253" w:lineRule="auto"/>
        <w:tabs>
          <w:tab w:leader="none" w:pos="634"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Profit is a non-GAAP Measure. See “Reconciliation of Non-GAAP Measures” for a reconciliation to income before tax and for additional information.</w:t>
      </w:r>
    </w:p>
    <w:p>
      <w:pPr>
        <w:ind w:left="640" w:right="860" w:hanging="315"/>
        <w:spacing w:after="0" w:line="253" w:lineRule="auto"/>
        <w:tabs>
          <w:tab w:leader="none" w:pos="634"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results include gross fee income of $5.6 million and $16.2 million for the three and nine months ended September 30, 2021, respectively ($4.6 million and $14.2 million for the same periods in the prior year).</w:t>
      </w:r>
    </w:p>
    <w:p>
      <w:pPr>
        <w:spacing w:after="0" w:line="84"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The loss ratios of 77.5% and 72.0% for the three and nine months ended September 30, 2021 include $500,000 and $2.5 million (2.5 and 4.6 percentage points), respectively, of net favorable development in our loss estimates for prior accident years. The loss ratios of 71.7% and 73.2% for the three and nine months ended September 30, 2020 include $2.0 million and $4.0 million (13.3 and 9.4 percentage points), respectively, of net favorable development in our loss estimates for prior accident years. The favorable reserve development for both periods reflects the fact that actual loss emergence of the workers’ compensation book has been better than expected.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The expense ratio of the Specialty Admitted Insurance segment was 6.8% and 16.1% for the three and nine months ended September 30, 2021, respectively, compared to the prior year ratios of 15.9% and 21.4%, respectively. The improvement was driven by the growth in net earned premiums and higher fee income, which increased 21.5% and 13.9% over the respective three and nine month periods in the prior year due to the growth in our fronting business. In addition, the segment benefited from current quarter adjustments to the allowance for doubtful accounts, premium taxes, and assessments which together represented a 9.9 and 3.6 percentage point decrease in the segment expense ratio for the current quarter and year to date, respectively. In the prior year, underwriting results in the nine months ended September 30, 2020 were favorably impacted by a $1.2 million adjustment to fee income on one fronted program (a reduction in commission expense, representing a 2.8 point reduction in the combined ratio for the period).</w:t>
      </w:r>
    </w:p>
    <w:p>
      <w:pPr>
        <w:spacing w:after="0" w:line="6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a result of the items discussed above, the Specialty Admitted Insurance segment had an underwriting profit of $3.1 million and $6.5 million for the three and nine months ended September 30, 2021, respectively, compared to an underwriting profit of $1.9 million and $2.3 million for the three and nine months ended September 30, 2020,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Casualty Reinsurance Segment</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Results for the Casualty Reinsurance segment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2360" w:type="dxa"/>
            <w:vAlign w:val="bottom"/>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4"/>
        </w:trPr>
        <w:tc>
          <w:tcPr>
            <w:tcW w:w="3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280" w:type="dxa"/>
            <w:vAlign w:val="bottom"/>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7"/>
        </w:trPr>
        <w:tc>
          <w:tcPr>
            <w:tcW w:w="3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rPr>
              <w:t>7,751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19,805</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i w:val="1"/>
                <w:iCs w:val="1"/>
                <w:color w:val="auto"/>
              </w:rPr>
              <w:t>(60.9)%</w:t>
            </w: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109,555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90,852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20.6 %</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140" w:type="dxa"/>
            <w:vAlign w:val="bottom"/>
          </w:tcPr>
          <w:p>
            <w:pPr>
              <w:ind w:left="20"/>
              <w:spacing w:after="0" w:line="199" w:lineRule="exact"/>
              <w:rPr>
                <w:sz w:val="20"/>
                <w:szCs w:val="20"/>
                <w:color w:val="auto"/>
              </w:rPr>
            </w:pPr>
            <w:r>
              <w:rPr>
                <w:rFonts w:ascii="Arial" w:cs="Arial" w:eastAsia="Arial" w:hAnsi="Arial"/>
                <w:sz w:val="18"/>
                <w:szCs w:val="18"/>
                <w:color w:val="auto"/>
              </w:rPr>
              <w:t>Net written premiums</w:t>
            </w:r>
          </w:p>
        </w:tc>
        <w:tc>
          <w:tcPr>
            <w:tcW w:w="320" w:type="dxa"/>
            <w:vAlign w:val="bottom"/>
            <w:tcBorders>
              <w:bottom w:val="single" w:sz="8" w:color="auto"/>
            </w:tcBorders>
          </w:tcPr>
          <w:p>
            <w:pPr>
              <w:jc w:val="right"/>
              <w:ind w:right="131"/>
              <w:spacing w:after="0" w:line="199"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7"/>
              <w:spacing w:after="0" w:line="199" w:lineRule="exact"/>
              <w:rPr>
                <w:sz w:val="20"/>
                <w:szCs w:val="20"/>
                <w:color w:val="auto"/>
              </w:rPr>
            </w:pPr>
            <w:r>
              <w:rPr>
                <w:rFonts w:ascii="Arial" w:cs="Arial" w:eastAsia="Arial" w:hAnsi="Arial"/>
                <w:sz w:val="18"/>
                <w:szCs w:val="18"/>
                <w:color w:val="auto"/>
              </w:rPr>
              <w:t>7,751</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1"/>
              <w:spacing w:after="0" w:line="199"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14"/>
              <w:spacing w:after="0" w:line="199" w:lineRule="exact"/>
              <w:rPr>
                <w:sz w:val="20"/>
                <w:szCs w:val="20"/>
                <w:color w:val="auto"/>
              </w:rPr>
            </w:pPr>
            <w:r>
              <w:rPr>
                <w:rFonts w:ascii="Arial" w:cs="Arial" w:eastAsia="Arial" w:hAnsi="Arial"/>
                <w:sz w:val="18"/>
                <w:szCs w:val="18"/>
                <w:color w:val="auto"/>
              </w:rPr>
              <w:t>19,805</w:t>
            </w:r>
          </w:p>
        </w:tc>
        <w:tc>
          <w:tcPr>
            <w:tcW w:w="1280" w:type="dxa"/>
            <w:vAlign w:val="bottom"/>
          </w:tcPr>
          <w:p>
            <w:pPr>
              <w:jc w:val="right"/>
              <w:ind w:right="37"/>
              <w:spacing w:after="0" w:line="199" w:lineRule="exact"/>
              <w:rPr>
                <w:sz w:val="20"/>
                <w:szCs w:val="20"/>
                <w:color w:val="auto"/>
              </w:rPr>
            </w:pPr>
            <w:r>
              <w:rPr>
                <w:rFonts w:ascii="Arial" w:cs="Arial" w:eastAsia="Arial" w:hAnsi="Arial"/>
                <w:sz w:val="18"/>
                <w:szCs w:val="18"/>
                <w:i w:val="1"/>
                <w:iCs w:val="1"/>
                <w:color w:val="auto"/>
              </w:rPr>
              <w:t>(60.9)%</w:t>
            </w:r>
          </w:p>
        </w:tc>
        <w:tc>
          <w:tcPr>
            <w:tcW w:w="480" w:type="dxa"/>
            <w:vAlign w:val="bottom"/>
            <w:tcBorders>
              <w:bottom w:val="single" w:sz="8" w:color="auto"/>
            </w:tcBorders>
          </w:tcPr>
          <w:p>
            <w:pPr>
              <w:jc w:val="right"/>
              <w:ind w:right="271"/>
              <w:spacing w:after="0" w:line="199"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7"/>
              <w:spacing w:after="0" w:line="199" w:lineRule="exact"/>
              <w:rPr>
                <w:sz w:val="20"/>
                <w:szCs w:val="20"/>
                <w:color w:val="auto"/>
              </w:rPr>
            </w:pPr>
            <w:r>
              <w:rPr>
                <w:rFonts w:ascii="Arial" w:cs="Arial" w:eastAsia="Arial" w:hAnsi="Arial"/>
                <w:sz w:val="18"/>
                <w:szCs w:val="18"/>
                <w:color w:val="auto"/>
              </w:rPr>
              <w:t>88,855</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1"/>
              <w:spacing w:after="0" w:line="199"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134"/>
              <w:spacing w:after="0" w:line="199" w:lineRule="exact"/>
              <w:rPr>
                <w:sz w:val="20"/>
                <w:szCs w:val="20"/>
                <w:color w:val="auto"/>
              </w:rPr>
            </w:pPr>
            <w:r>
              <w:rPr>
                <w:rFonts w:ascii="Arial" w:cs="Arial" w:eastAsia="Arial" w:hAnsi="Arial"/>
                <w:sz w:val="18"/>
                <w:szCs w:val="18"/>
                <w:color w:val="auto"/>
              </w:rPr>
              <w:t>75,101</w:t>
            </w:r>
          </w:p>
        </w:tc>
        <w:tc>
          <w:tcPr>
            <w:tcW w:w="1160" w:type="dxa"/>
            <w:vAlign w:val="bottom"/>
          </w:tcPr>
          <w:p>
            <w:pPr>
              <w:jc w:val="right"/>
              <w:spacing w:after="0" w:line="199" w:lineRule="exact"/>
              <w:rPr>
                <w:sz w:val="20"/>
                <w:szCs w:val="20"/>
                <w:color w:val="auto"/>
              </w:rPr>
            </w:pPr>
            <w:r>
              <w:rPr>
                <w:rFonts w:ascii="Arial" w:cs="Arial" w:eastAsia="Arial" w:hAnsi="Arial"/>
                <w:sz w:val="18"/>
                <w:szCs w:val="18"/>
                <w:i w:val="1"/>
                <w:iCs w:val="1"/>
                <w:color w:val="auto"/>
              </w:rPr>
              <w:t>18.3 %</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31,144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33,044</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i w:val="1"/>
                <w:iCs w:val="1"/>
                <w:color w:val="auto"/>
              </w:rPr>
              <w:t>(5.7)%</w:t>
            </w: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97,837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99,514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(1.7)%</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Arial" w:cs="Arial" w:eastAsia="Arial" w:hAnsi="Arial"/>
                <w:sz w:val="18"/>
                <w:szCs w:val="18"/>
                <w:color w:val="auto"/>
              </w:rPr>
              <w:t>Losses and loss adjustment expenses</w:t>
            </w:r>
          </w:p>
        </w:tc>
        <w:tc>
          <w:tcPr>
            <w:tcW w:w="320" w:type="dxa"/>
            <w:vAlign w:val="bottom"/>
          </w:tcPr>
          <w:p>
            <w:pPr>
              <w:spacing w:after="0"/>
              <w:rPr>
                <w:sz w:val="19"/>
                <w:szCs w:val="19"/>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(33,601)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(25,472)</w:t>
            </w:r>
          </w:p>
        </w:tc>
        <w:tc>
          <w:tcPr>
            <w:tcW w:w="1280" w:type="dxa"/>
            <w:vAlign w:val="bottom"/>
          </w:tcPr>
          <w:p>
            <w:pPr>
              <w:jc w:val="right"/>
              <w:ind w:right="37"/>
              <w:spacing w:after="0"/>
              <w:rPr>
                <w:sz w:val="20"/>
                <w:szCs w:val="20"/>
                <w:color w:val="auto"/>
              </w:rPr>
            </w:pPr>
            <w:r>
              <w:rPr>
                <w:rFonts w:ascii="Arial" w:cs="Arial" w:eastAsia="Arial" w:hAnsi="Arial"/>
                <w:sz w:val="18"/>
                <w:szCs w:val="18"/>
                <w:i w:val="1"/>
                <w:iCs w:val="1"/>
                <w:color w:val="auto"/>
              </w:rPr>
              <w:t>31.9 %</w:t>
            </w:r>
          </w:p>
        </w:tc>
        <w:tc>
          <w:tcPr>
            <w:tcW w:w="480" w:type="dxa"/>
            <w:vAlign w:val="bottom"/>
          </w:tcPr>
          <w:p>
            <w:pPr>
              <w:spacing w:after="0"/>
              <w:rPr>
                <w:sz w:val="19"/>
                <w:szCs w:val="19"/>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(81,657)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(71,671)</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13.9 %</w:t>
            </w:r>
          </w:p>
        </w:tc>
        <w:tc>
          <w:tcPr>
            <w:tcW w:w="0" w:type="dxa"/>
            <w:vAlign w:val="bottom"/>
          </w:tcPr>
          <w:p>
            <w:pPr>
              <w:spacing w:after="0"/>
              <w:rPr>
                <w:sz w:val="1"/>
                <w:szCs w:val="1"/>
                <w:color w:val="auto"/>
              </w:rPr>
            </w:pPr>
          </w:p>
        </w:tc>
      </w:tr>
      <w:tr>
        <w:trPr>
          <w:trHeight w:val="22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(9,454)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(8,261)</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i w:val="1"/>
                <w:iCs w:val="1"/>
                <w:color w:val="auto"/>
              </w:rPr>
              <w:t>14.4 %</w:t>
            </w: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(33,037)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(30,962)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6.7 %</w:t>
            </w:r>
          </w:p>
        </w:tc>
        <w:tc>
          <w:tcPr>
            <w:tcW w:w="0" w:type="dxa"/>
            <w:vAlign w:val="bottom"/>
          </w:tcPr>
          <w:p>
            <w:pPr>
              <w:spacing w:after="0"/>
              <w:rPr>
                <w:sz w:val="1"/>
                <w:szCs w:val="1"/>
                <w:color w:val="auto"/>
              </w:rPr>
            </w:pPr>
          </w:p>
        </w:tc>
      </w:tr>
      <w:tr>
        <w:trPr>
          <w:trHeight w:val="220"/>
        </w:trPr>
        <w:tc>
          <w:tcPr>
            <w:tcW w:w="3140" w:type="dxa"/>
            <w:vAlign w:val="bottom"/>
          </w:tcPr>
          <w:p>
            <w:pPr>
              <w:ind w:left="20"/>
              <w:spacing w:after="0"/>
              <w:rPr>
                <w:sz w:val="20"/>
                <w:szCs w:val="20"/>
                <w:color w:val="auto"/>
              </w:rPr>
            </w:pPr>
            <w:r>
              <w:rPr>
                <w:rFonts w:ascii="Arial" w:cs="Arial" w:eastAsia="Arial" w:hAnsi="Arial"/>
                <w:sz w:val="18"/>
                <w:szCs w:val="18"/>
                <w:color w:val="auto"/>
              </w:rPr>
              <w:t xml:space="preserve">Underwriting loss </w:t>
            </w:r>
            <w:r>
              <w:rPr>
                <w:rFonts w:ascii="Arial" w:cs="Arial" w:eastAsia="Arial" w:hAnsi="Arial"/>
                <w:sz w:val="14"/>
                <w:szCs w:val="14"/>
                <w:i w:val="1"/>
                <w:iCs w:val="1"/>
                <w:color w:val="auto"/>
              </w:rPr>
              <w:t>(1)</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(11,911)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(689)</w:t>
            </w:r>
          </w:p>
        </w:tc>
        <w:tc>
          <w:tcPr>
            <w:tcW w:w="1280" w:type="dxa"/>
            <w:vAlign w:val="bottom"/>
          </w:tcPr>
          <w:p>
            <w:pPr>
              <w:jc w:val="right"/>
              <w:ind w:right="37"/>
              <w:spacing w:after="0"/>
              <w:rPr>
                <w:sz w:val="20"/>
                <w:szCs w:val="20"/>
                <w:color w:val="auto"/>
              </w:rPr>
            </w:pPr>
            <w:r>
              <w:rPr>
                <w:rFonts w:ascii="Arial" w:cs="Arial" w:eastAsia="Arial" w:hAnsi="Arial"/>
                <w:sz w:val="18"/>
                <w:szCs w:val="18"/>
                <w:i w:val="1"/>
                <w:iCs w:val="1"/>
                <w:color w:val="auto"/>
              </w:rPr>
              <w:t>1,628.7 %</w:t>
            </w:r>
          </w:p>
        </w:tc>
        <w:tc>
          <w:tcPr>
            <w:tcW w:w="4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(16,857)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(3,119)</w:t>
            </w: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440.5 %</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7117715" cy="160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7715" cy="1606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Ratios: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80" w:type="dxa"/>
            <w:vAlign w:val="bottom"/>
          </w:tcPr>
          <w:p>
            <w:pPr>
              <w:ind w:left="20"/>
              <w:spacing w:after="0"/>
              <w:rPr>
                <w:sz w:val="20"/>
                <w:szCs w:val="20"/>
                <w:color w:val="auto"/>
              </w:rPr>
            </w:pPr>
            <w:r>
              <w:rPr>
                <w:rFonts w:ascii="Arial" w:cs="Arial" w:eastAsia="Arial" w:hAnsi="Arial"/>
                <w:sz w:val="18"/>
                <w:szCs w:val="18"/>
                <w:color w:val="auto"/>
              </w:rPr>
              <w:t>Loss ratio</w:t>
            </w:r>
          </w:p>
        </w:tc>
        <w:tc>
          <w:tcPr>
            <w:tcW w:w="2120" w:type="dxa"/>
            <w:vAlign w:val="bottom"/>
          </w:tcPr>
          <w:p>
            <w:pPr>
              <w:jc w:val="right"/>
              <w:ind w:right="351"/>
              <w:spacing w:after="0"/>
              <w:rPr>
                <w:sz w:val="20"/>
                <w:szCs w:val="20"/>
                <w:color w:val="auto"/>
              </w:rPr>
            </w:pPr>
            <w:r>
              <w:rPr>
                <w:rFonts w:ascii="Arial" w:cs="Arial" w:eastAsia="Arial" w:hAnsi="Arial"/>
                <w:sz w:val="18"/>
                <w:szCs w:val="18"/>
                <w:color w:val="auto"/>
              </w:rPr>
              <w:t>107.9 %</w:t>
            </w:r>
          </w:p>
        </w:tc>
        <w:tc>
          <w:tcPr>
            <w:tcW w:w="2060" w:type="dxa"/>
            <w:vAlign w:val="bottom"/>
          </w:tcPr>
          <w:p>
            <w:pPr>
              <w:jc w:val="right"/>
              <w:ind w:right="931"/>
              <w:spacing w:after="0"/>
              <w:rPr>
                <w:sz w:val="20"/>
                <w:szCs w:val="20"/>
                <w:color w:val="auto"/>
              </w:rPr>
            </w:pPr>
            <w:r>
              <w:rPr>
                <w:rFonts w:ascii="Arial" w:cs="Arial" w:eastAsia="Arial" w:hAnsi="Arial"/>
                <w:sz w:val="18"/>
                <w:szCs w:val="18"/>
                <w:color w:val="auto"/>
              </w:rPr>
              <w:t>77.1 %</w:t>
            </w:r>
          </w:p>
        </w:tc>
        <w:tc>
          <w:tcPr>
            <w:tcW w:w="2060" w:type="dxa"/>
            <w:vAlign w:val="bottom"/>
          </w:tcPr>
          <w:p>
            <w:pPr>
              <w:jc w:val="right"/>
              <w:ind w:right="351"/>
              <w:spacing w:after="0"/>
              <w:rPr>
                <w:sz w:val="20"/>
                <w:szCs w:val="20"/>
                <w:color w:val="auto"/>
              </w:rPr>
            </w:pPr>
            <w:r>
              <w:rPr>
                <w:rFonts w:ascii="Arial" w:cs="Arial" w:eastAsia="Arial" w:hAnsi="Arial"/>
                <w:sz w:val="18"/>
                <w:szCs w:val="18"/>
                <w:color w:val="auto"/>
              </w:rPr>
              <w:t>83.5 %</w:t>
            </w:r>
          </w:p>
        </w:tc>
        <w:tc>
          <w:tcPr>
            <w:tcW w:w="2200" w:type="dxa"/>
            <w:vAlign w:val="bottom"/>
          </w:tcPr>
          <w:p>
            <w:pPr>
              <w:jc w:val="right"/>
              <w:ind w:right="1091"/>
              <w:spacing w:after="0"/>
              <w:rPr>
                <w:sz w:val="20"/>
                <w:szCs w:val="20"/>
                <w:color w:val="auto"/>
              </w:rPr>
            </w:pPr>
            <w:r>
              <w:rPr>
                <w:rFonts w:ascii="Arial" w:cs="Arial" w:eastAsia="Arial" w:hAnsi="Arial"/>
                <w:sz w:val="18"/>
                <w:szCs w:val="18"/>
                <w:color w:val="auto"/>
              </w:rPr>
              <w:t>72.0 %</w:t>
            </w:r>
          </w:p>
        </w:tc>
      </w:tr>
      <w:tr>
        <w:trPr>
          <w:trHeight w:val="22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ratio</w:t>
            </w:r>
          </w:p>
        </w:tc>
        <w:tc>
          <w:tcPr>
            <w:tcW w:w="21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30.3 %</w:t>
            </w:r>
          </w:p>
        </w:tc>
        <w:tc>
          <w:tcPr>
            <w:tcW w:w="2060" w:type="dxa"/>
            <w:vAlign w:val="bottom"/>
            <w:shd w:val="clear" w:color="auto" w:fill="CCEEFF"/>
          </w:tcPr>
          <w:p>
            <w:pPr>
              <w:jc w:val="right"/>
              <w:ind w:right="931"/>
              <w:spacing w:after="0"/>
              <w:rPr>
                <w:sz w:val="20"/>
                <w:szCs w:val="20"/>
                <w:color w:val="auto"/>
              </w:rPr>
            </w:pPr>
            <w:r>
              <w:rPr>
                <w:rFonts w:ascii="Arial" w:cs="Arial" w:eastAsia="Arial" w:hAnsi="Arial"/>
                <w:sz w:val="18"/>
                <w:szCs w:val="18"/>
                <w:color w:val="auto"/>
              </w:rPr>
              <w:t>25.0 %</w:t>
            </w:r>
          </w:p>
        </w:tc>
        <w:tc>
          <w:tcPr>
            <w:tcW w:w="20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33.7 %</w:t>
            </w:r>
          </w:p>
        </w:tc>
        <w:tc>
          <w:tcPr>
            <w:tcW w:w="2200" w:type="dxa"/>
            <w:vAlign w:val="bottom"/>
            <w:shd w:val="clear" w:color="auto" w:fill="CCEEFF"/>
          </w:tcPr>
          <w:p>
            <w:pPr>
              <w:jc w:val="right"/>
              <w:ind w:right="1091"/>
              <w:spacing w:after="0"/>
              <w:rPr>
                <w:sz w:val="20"/>
                <w:szCs w:val="20"/>
                <w:color w:val="auto"/>
              </w:rPr>
            </w:pPr>
            <w:r>
              <w:rPr>
                <w:rFonts w:ascii="Arial" w:cs="Arial" w:eastAsia="Arial" w:hAnsi="Arial"/>
                <w:sz w:val="18"/>
                <w:szCs w:val="18"/>
                <w:color w:val="auto"/>
              </w:rPr>
              <w:t>31.1 %</w:t>
            </w:r>
          </w:p>
        </w:tc>
      </w:tr>
      <w:tr>
        <w:trPr>
          <w:trHeight w:val="225"/>
        </w:trPr>
        <w:tc>
          <w:tcPr>
            <w:tcW w:w="2780" w:type="dxa"/>
            <w:vAlign w:val="bottom"/>
          </w:tcPr>
          <w:p>
            <w:pPr>
              <w:ind w:left="20"/>
              <w:spacing w:after="0"/>
              <w:rPr>
                <w:sz w:val="20"/>
                <w:szCs w:val="20"/>
                <w:color w:val="auto"/>
              </w:rPr>
            </w:pPr>
            <w:r>
              <w:rPr>
                <w:rFonts w:ascii="Arial" w:cs="Arial" w:eastAsia="Arial" w:hAnsi="Arial"/>
                <w:sz w:val="18"/>
                <w:szCs w:val="18"/>
                <w:color w:val="auto"/>
              </w:rPr>
              <w:t>Combined ratio</w:t>
            </w:r>
          </w:p>
        </w:tc>
        <w:tc>
          <w:tcPr>
            <w:tcW w:w="2120" w:type="dxa"/>
            <w:vAlign w:val="bottom"/>
          </w:tcPr>
          <w:p>
            <w:pPr>
              <w:jc w:val="right"/>
              <w:ind w:right="351"/>
              <w:spacing w:after="0"/>
              <w:rPr>
                <w:sz w:val="20"/>
                <w:szCs w:val="20"/>
                <w:color w:val="auto"/>
              </w:rPr>
            </w:pPr>
            <w:r>
              <w:rPr>
                <w:rFonts w:ascii="Arial" w:cs="Arial" w:eastAsia="Arial" w:hAnsi="Arial"/>
                <w:sz w:val="18"/>
                <w:szCs w:val="18"/>
                <w:color w:val="auto"/>
              </w:rPr>
              <w:t>138.2 %</w:t>
            </w:r>
          </w:p>
        </w:tc>
        <w:tc>
          <w:tcPr>
            <w:tcW w:w="2060" w:type="dxa"/>
            <w:vAlign w:val="bottom"/>
          </w:tcPr>
          <w:p>
            <w:pPr>
              <w:jc w:val="right"/>
              <w:ind w:right="931"/>
              <w:spacing w:after="0"/>
              <w:rPr>
                <w:sz w:val="20"/>
                <w:szCs w:val="20"/>
                <w:color w:val="auto"/>
              </w:rPr>
            </w:pPr>
            <w:r>
              <w:rPr>
                <w:rFonts w:ascii="Arial" w:cs="Arial" w:eastAsia="Arial" w:hAnsi="Arial"/>
                <w:sz w:val="18"/>
                <w:szCs w:val="18"/>
                <w:color w:val="auto"/>
              </w:rPr>
              <w:t>102.1 %</w:t>
            </w:r>
          </w:p>
        </w:tc>
        <w:tc>
          <w:tcPr>
            <w:tcW w:w="2060" w:type="dxa"/>
            <w:vAlign w:val="bottom"/>
          </w:tcPr>
          <w:p>
            <w:pPr>
              <w:jc w:val="right"/>
              <w:ind w:right="351"/>
              <w:spacing w:after="0"/>
              <w:rPr>
                <w:sz w:val="20"/>
                <w:szCs w:val="20"/>
                <w:color w:val="auto"/>
              </w:rPr>
            </w:pPr>
            <w:r>
              <w:rPr>
                <w:rFonts w:ascii="Arial" w:cs="Arial" w:eastAsia="Arial" w:hAnsi="Arial"/>
                <w:sz w:val="18"/>
                <w:szCs w:val="18"/>
                <w:color w:val="auto"/>
              </w:rPr>
              <w:t>117.2 %</w:t>
            </w:r>
          </w:p>
        </w:tc>
        <w:tc>
          <w:tcPr>
            <w:tcW w:w="2200" w:type="dxa"/>
            <w:vAlign w:val="bottom"/>
          </w:tcPr>
          <w:p>
            <w:pPr>
              <w:jc w:val="right"/>
              <w:ind w:right="1091"/>
              <w:spacing w:after="0"/>
              <w:rPr>
                <w:sz w:val="20"/>
                <w:szCs w:val="20"/>
                <w:color w:val="auto"/>
              </w:rPr>
            </w:pPr>
            <w:r>
              <w:rPr>
                <w:rFonts w:ascii="Arial" w:cs="Arial" w:eastAsia="Arial" w:hAnsi="Arial"/>
                <w:sz w:val="18"/>
                <w:szCs w:val="18"/>
                <w:color w:val="auto"/>
              </w:rPr>
              <w:t>103.1 %</w:t>
            </w:r>
          </w:p>
        </w:tc>
      </w:tr>
      <w:tr>
        <w:trPr>
          <w:trHeight w:val="227"/>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year loss ratio</w:t>
            </w:r>
          </w:p>
        </w:tc>
        <w:tc>
          <w:tcPr>
            <w:tcW w:w="212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59.5 %</w:t>
            </w:r>
          </w:p>
        </w:tc>
        <w:tc>
          <w:tcPr>
            <w:tcW w:w="2060" w:type="dxa"/>
            <w:vAlign w:val="bottom"/>
            <w:shd w:val="clear" w:color="auto" w:fill="CCEEFF"/>
          </w:tcPr>
          <w:p>
            <w:pPr>
              <w:jc w:val="right"/>
              <w:ind w:right="931"/>
              <w:spacing w:after="0"/>
              <w:rPr>
                <w:sz w:val="20"/>
                <w:szCs w:val="20"/>
                <w:color w:val="auto"/>
              </w:rPr>
            </w:pPr>
            <w:r>
              <w:rPr>
                <w:rFonts w:ascii="Arial" w:cs="Arial" w:eastAsia="Arial" w:hAnsi="Arial"/>
                <w:sz w:val="18"/>
                <w:szCs w:val="18"/>
                <w:color w:val="auto"/>
              </w:rPr>
              <w:t>58.3 %</w:t>
            </w:r>
          </w:p>
        </w:tc>
        <w:tc>
          <w:tcPr>
            <w:tcW w:w="20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60.4 %</w:t>
            </w:r>
          </w:p>
        </w:tc>
        <w:tc>
          <w:tcPr>
            <w:tcW w:w="2200" w:type="dxa"/>
            <w:vAlign w:val="bottom"/>
            <w:shd w:val="clear" w:color="auto" w:fill="CCEEFF"/>
          </w:tcPr>
          <w:p>
            <w:pPr>
              <w:jc w:val="right"/>
              <w:ind w:right="1091"/>
              <w:spacing w:after="0"/>
              <w:rPr>
                <w:sz w:val="20"/>
                <w:szCs w:val="20"/>
                <w:color w:val="auto"/>
              </w:rPr>
            </w:pPr>
            <w:r>
              <w:rPr>
                <w:rFonts w:ascii="Arial" w:cs="Arial" w:eastAsia="Arial" w:hAnsi="Arial"/>
                <w:sz w:val="18"/>
                <w:szCs w:val="18"/>
                <w:color w:val="auto"/>
              </w:rPr>
              <w:t>58.9 %</w:t>
            </w:r>
          </w:p>
        </w:tc>
      </w:tr>
    </w:tbl>
    <w:p>
      <w:pPr>
        <w:spacing w:after="0" w:line="187" w:lineRule="exact"/>
        <w:rPr>
          <w:sz w:val="20"/>
          <w:szCs w:val="20"/>
          <w:color w:val="auto"/>
        </w:rPr>
      </w:pPr>
    </w:p>
    <w:p>
      <w:pPr>
        <w:ind w:left="640" w:right="120" w:hanging="315"/>
        <w:spacing w:after="0" w:line="266" w:lineRule="auto"/>
        <w:tabs>
          <w:tab w:leader="none" w:pos="634"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Underwriting Loss is a non-GAAP Measure. See “Reconciliation of Non-GAAP Measures” for a reconciliation to loss before tax and for additional information.</w:t>
      </w:r>
    </w:p>
    <w:p>
      <w:pPr>
        <w:spacing w:after="0" w:line="7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Casualty Reinsurance segment focuses on lower volatility, proportional reinsurance which requires larger ceding commissions resulting in a higher commission expense than in our other segments.</w:t>
      </w:r>
    </w:p>
    <w:p>
      <w:pPr>
        <w:spacing w:after="0" w:line="73"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The loss ratios of 107.9% and 83.5% for the three and nine months ended September 30, 2021, respectively, include $15.1 million and $22.6 million (48.4 and 23.1 percentage points), respectively, of net adverse development in our loss estimates for prior accident years, primarily associated with treaties that the Company has exited. The loss ratios of 77.1% and 72.0% for the three and nine months ended September 30, 2020, respectively, include $6.2 million and $13.1 million (18.8 and 13.1 percentage points), respectively, of net adverse development in our loss estimates for prior accident years.</w:t>
      </w:r>
    </w:p>
    <w:p>
      <w:pPr>
        <w:spacing w:after="0" w:line="56" w:lineRule="exact"/>
        <w:rPr>
          <w:sz w:val="20"/>
          <w:szCs w:val="20"/>
          <w:color w:val="auto"/>
        </w:rPr>
      </w:pPr>
    </w:p>
    <w:p>
      <w:pPr>
        <w:jc w:val="both"/>
        <w:ind w:firstLine="319"/>
        <w:spacing w:after="0" w:line="332" w:lineRule="auto"/>
        <w:rPr>
          <w:sz w:val="20"/>
          <w:szCs w:val="20"/>
          <w:color w:val="auto"/>
        </w:rPr>
      </w:pPr>
      <w:r>
        <w:rPr>
          <w:rFonts w:ascii="Arial" w:cs="Arial" w:eastAsia="Arial" w:hAnsi="Arial"/>
          <w:sz w:val="14"/>
          <w:szCs w:val="14"/>
          <w:color w:val="auto"/>
        </w:rPr>
        <w:t>The expense ratio of the Casualty Reinsurance segment was 30.3% and 33.7% for the three and nine months ended September 30, 2021, respectively, compared to 25.0% and 31.1% in the respective prior year periods. Commission slide adjustments related to incurred losses decreased the expense ratio by 1.9 points and increased the expense ratio by 0.8 points in the three and nine months ended September 30, 2021, respectively, compared to decreases of 8.7 points and 3.4 points in the three and nine months ended September 30, 2020, respectively. A higher proportion of treaties with adverse development have reached</w:t>
      </w:r>
    </w:p>
    <w:p>
      <w:pPr>
        <w:spacing w:after="0"/>
        <w:rPr>
          <w:sz w:val="20"/>
          <w:szCs w:val="20"/>
          <w:color w:val="auto"/>
        </w:rPr>
      </w:pPr>
      <w:r>
        <w:rPr>
          <w:rFonts w:ascii="Arial" w:cs="Arial" w:eastAsia="Arial" w:hAnsi="Arial"/>
          <w:sz w:val="14"/>
          <w:szCs w:val="14"/>
          <w:color w:val="auto"/>
        </w:rPr>
        <w:t>the slide maximums in the current year, thus the slide adjustments are providing less offset despite the higher adverse development in the current year periods.</w:t>
      </w:r>
    </w:p>
    <w:p>
      <w:pPr>
        <w:spacing w:after="0" w:line="15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As a result of the items discussed above, underwriting results for the Casualty Reinsurance segment declined from underwriting losses of $689,000 and $3.1 million for the three and nine months ended September 30, 2020, respectively, to underwriting losses of $11.9 million and $16.9 million for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An indicator of reserve strength that we monitor closely is the percentage of our gross and net loss reserves that are comprised of incurred but not reported (“IBNR”) reserves.</w:t>
      </w:r>
    </w:p>
    <w:p>
      <w:pPr>
        <w:spacing w:after="0" w:line="7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Company’s gross reserve for losses and loss adjustment expenses at September 30, 2021 was $2,596.8 million. Of this amount, 60.6% relates to amounts that are IBNR. This amount was 58.7% at December 31, 2020. The Company’s gross reserves for losses and loss adjustment expenses by segment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537"/>
              <w:spacing w:after="0"/>
              <w:rPr>
                <w:sz w:val="20"/>
                <w:szCs w:val="20"/>
                <w:color w:val="auto"/>
              </w:rPr>
            </w:pPr>
            <w:r>
              <w:rPr>
                <w:rFonts w:ascii="Arial" w:cs="Arial" w:eastAsia="Arial" w:hAnsi="Arial"/>
                <w:sz w:val="14"/>
                <w:szCs w:val="14"/>
                <w:b w:val="1"/>
                <w:bCs w:val="1"/>
                <w:color w:val="auto"/>
                <w:w w:val="89"/>
              </w:rPr>
              <w:t>Gross Reserves at September 30, 2021</w:t>
            </w:r>
          </w:p>
        </w:tc>
        <w:tc>
          <w:tcPr>
            <w:tcW w:w="940" w:type="dxa"/>
            <w:vAlign w:val="bottom"/>
            <w:tcBorders>
              <w:bottom w:val="single" w:sz="8" w:color="auto"/>
            </w:tcBorders>
          </w:tcPr>
          <w:p>
            <w:pPr>
              <w:spacing w:after="0"/>
              <w:rPr>
                <w:sz w:val="16"/>
                <w:szCs w:val="16"/>
                <w:color w:val="auto"/>
              </w:rPr>
            </w:pPr>
          </w:p>
        </w:tc>
      </w:tr>
      <w:tr>
        <w:trPr>
          <w:trHeight w:val="184"/>
        </w:trPr>
        <w:tc>
          <w:tcPr>
            <w:tcW w:w="6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9"/>
              </w:rPr>
              <w:t>IBNR</w:t>
            </w: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Total</w:t>
            </w:r>
          </w:p>
        </w:tc>
      </w:tr>
      <w:tr>
        <w:trPr>
          <w:trHeight w:val="177"/>
        </w:trPr>
        <w:tc>
          <w:tcPr>
            <w:tcW w:w="6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998,541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1,603,185</w:t>
            </w:r>
          </w:p>
        </w:tc>
      </w:tr>
      <w:tr>
        <w:trPr>
          <w:trHeight w:val="225"/>
        </w:trPr>
        <w:tc>
          <w:tcPr>
            <w:tcW w:w="682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388,177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667,890</w:t>
            </w:r>
          </w:p>
        </w:tc>
      </w:tr>
      <w:tr>
        <w:trPr>
          <w:trHeight w:val="22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139,959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185,795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325,754</w:t>
            </w:r>
          </w:p>
        </w:tc>
      </w:tr>
      <w:tr>
        <w:trPr>
          <w:trHeight w:val="220"/>
        </w:trPr>
        <w:tc>
          <w:tcPr>
            <w:tcW w:w="682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1,024,316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1,572,513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2,596,829</w:t>
            </w: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At September 30, 2021, the amount of net reserves prior to the $515,000 allowance for uncollectible reinsurance recoverables of $1,247.5 million that related to IBNR was 62.9%. This amount was 55.3% at December 31, 2020. The Company’s net reserves for losses and loss adjustment expenses by segment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jc w:val="center"/>
              <w:ind w:left="577"/>
              <w:spacing w:after="0"/>
              <w:rPr>
                <w:sz w:val="20"/>
                <w:szCs w:val="20"/>
                <w:color w:val="auto"/>
              </w:rPr>
            </w:pPr>
            <w:r>
              <w:rPr>
                <w:rFonts w:ascii="Arial" w:cs="Arial" w:eastAsia="Arial" w:hAnsi="Arial"/>
                <w:sz w:val="14"/>
                <w:szCs w:val="14"/>
                <w:b w:val="1"/>
                <w:bCs w:val="1"/>
                <w:color w:val="auto"/>
                <w:w w:val="90"/>
              </w:rPr>
              <w:t>Net Reserves at September 30, 2021</w:t>
            </w:r>
          </w:p>
        </w:tc>
        <w:tc>
          <w:tcPr>
            <w:tcW w:w="980" w:type="dxa"/>
            <w:vAlign w:val="bottom"/>
            <w:tcBorders>
              <w:bottom w:val="single" w:sz="8" w:color="auto"/>
            </w:tcBorders>
          </w:tcPr>
          <w:p>
            <w:pPr>
              <w:spacing w:after="0"/>
              <w:rPr>
                <w:sz w:val="16"/>
                <w:szCs w:val="16"/>
                <w:color w:val="auto"/>
              </w:rPr>
            </w:pPr>
          </w:p>
        </w:tc>
      </w:tr>
      <w:tr>
        <w:trPr>
          <w:trHeight w:val="184"/>
        </w:trPr>
        <w:tc>
          <w:tcPr>
            <w:tcW w:w="6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Case</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IBNR</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Total</w:t>
            </w:r>
          </w:p>
        </w:tc>
      </w:tr>
      <w:tr>
        <w:trPr>
          <w:trHeight w:val="177"/>
        </w:trPr>
        <w:tc>
          <w:tcPr>
            <w:tcW w:w="6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9"/>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and Surplus Lines</w:t>
            </w: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831,172</w:t>
            </w: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Specialty Admitted Insurance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61,068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101,489</w:t>
            </w:r>
          </w:p>
        </w:tc>
      </w:tr>
      <w:tr>
        <w:trPr>
          <w:trHeight w:val="22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Casualty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178,121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314,789</w:t>
            </w:r>
          </w:p>
        </w:tc>
      </w:tr>
      <w:tr>
        <w:trPr>
          <w:trHeight w:val="220"/>
        </w:trPr>
        <w:tc>
          <w:tcPr>
            <w:tcW w:w="68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462,226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785,224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1,247,450</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2"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In addition to the underwriting, acquisition, and insurance expenses of the Excess and Surplus Lines segment, the Specialty Admitted Insurance segment, and the Casualty Reinsurance segment discussed previously, other operating expenses also include the expenses of the Corporate and Other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2"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Other operating expenses for the Corporate and Other segment include personnel costs associated with the Bermuda and U.S. holding companies, professional fees, and various other corporate expenses that are included in our calculation of our expense ratio and our combined ratio. Other operating expenses of the Corporate and Other segment represent the expenses of both the Bermuda and U.S. holding companies that were not reimbursed by our subsidiaries, including costs associated with our internal quota share, rating agencies and strategic initiatives. These costs vary from period-to-period based on the status of these initiatives.</w:t>
      </w:r>
    </w:p>
    <w:p>
      <w:pPr>
        <w:spacing w:after="0" w:line="88"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Total operating expenses of the Corporate and Other segment were $7.3 million and $23.3 million for the three and nine months ended September 30, 2021, respectively, compared to $7.8 million and $23.6 million for the same periods in the prior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Results</w:t>
      </w:r>
    </w:p>
    <w:p>
      <w:pPr>
        <w:spacing w:after="0" w:line="112"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Net investment income was $15.3 million and $44.7 million for the three and nine months ended September 30, 2021, respectively, compared to $15.0 million and $51.1 million for the same periods in the prior year. The Company's private investments generated income of $1.8 million and $2.9 million for the</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three and nine months ended September 30, 2021, respectively, compared to income of $533,000 </w:t>
      </w:r>
      <w:r>
        <w:rPr>
          <w:rFonts w:ascii="Arial" w:cs="Arial" w:eastAsia="Arial" w:hAnsi="Arial"/>
          <w:sz w:val="20"/>
          <w:szCs w:val="20"/>
          <w:color w:val="auto"/>
        </w:rPr>
        <w:t>and</w:t>
      </w:r>
      <w:r>
        <w:rPr>
          <w:rFonts w:ascii="Arial" w:cs="Arial" w:eastAsia="Arial" w:hAnsi="Arial"/>
          <w:sz w:val="17"/>
          <w:szCs w:val="17"/>
          <w:color w:val="auto"/>
        </w:rPr>
        <w:t xml:space="preserve"> $1.5 million in the respective prior year periods. Excluding private investments, our net investment income for the three and nine months ended September 30, 2021 decreased 6.2% and 15.8% from the prior year, respectively, principally due to lower investment income from restricted cash equivalents, bank loan participations (resulting from a smaller portfolio following sales in the second quarter of the prior year to reduce exposure to this asset class) and lower investment yields. The average duration of our portfolio excluding restricted cash equivalents was 4.1 years at September 30, 2021.</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8"/>
          <w:szCs w:val="18"/>
          <w:color w:val="231F20"/>
        </w:rPr>
        <w:t>Major categories of the Company’s net investment income are summarized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2480" w:type="dxa"/>
            <w:vAlign w:val="bottom"/>
            <w:gridSpan w:val="6"/>
          </w:tcPr>
          <w:p>
            <w:pPr>
              <w:jc w:val="right"/>
              <w:ind w:right="67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260" w:type="dxa"/>
            <w:vAlign w:val="bottom"/>
          </w:tcPr>
          <w:p>
            <w:pPr>
              <w:spacing w:after="0"/>
              <w:rPr>
                <w:sz w:val="16"/>
                <w:szCs w:val="16"/>
                <w:color w:val="auto"/>
              </w:rPr>
            </w:pPr>
          </w:p>
        </w:tc>
        <w:tc>
          <w:tcPr>
            <w:tcW w:w="1640" w:type="dxa"/>
            <w:vAlign w:val="bottom"/>
            <w:gridSpan w:val="5"/>
          </w:tcPr>
          <w:p>
            <w:pPr>
              <w:jc w:val="right"/>
              <w:ind w:right="11"/>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77"/>
        </w:trPr>
        <w:tc>
          <w:tcPr>
            <w:tcW w:w="5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9"/>
          </w:tcPr>
          <w:p>
            <w:pPr>
              <w:ind w:left="680"/>
              <w:spacing w:after="0"/>
              <w:rPr>
                <w:sz w:val="20"/>
                <w:szCs w:val="20"/>
                <w:color w:val="auto"/>
              </w:rPr>
            </w:pPr>
            <w:r>
              <w:rPr>
                <w:rFonts w:ascii="Arial" w:cs="Arial" w:eastAsia="Arial" w:hAnsi="Arial"/>
                <w:sz w:val="14"/>
                <w:szCs w:val="14"/>
                <w:b w:val="1"/>
                <w:bCs w:val="1"/>
                <w:i w:val="1"/>
                <w:iCs w:val="1"/>
                <w:color w:val="auto"/>
              </w:rPr>
              <w:t>($ in thousands)</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10,437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33,424</w:t>
            </w:r>
          </w:p>
        </w:tc>
        <w:tc>
          <w:tcPr>
            <w:tcW w:w="0" w:type="dxa"/>
            <w:vAlign w:val="bottom"/>
          </w:tcPr>
          <w:p>
            <w:pPr>
              <w:spacing w:after="0"/>
              <w:rPr>
                <w:sz w:val="1"/>
                <w:szCs w:val="1"/>
                <w:color w:val="auto"/>
              </w:rPr>
            </w:pPr>
          </w:p>
        </w:tc>
      </w:tr>
      <w:tr>
        <w:trPr>
          <w:trHeight w:val="225"/>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Bank loan participations</w:t>
            </w:r>
          </w:p>
        </w:tc>
        <w:tc>
          <w:tcPr>
            <w:tcW w:w="16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2,836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2,396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8,230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27"/>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25"/>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Other invested assets: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Renewable energy investments</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private investments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2,292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0"/>
        </w:trPr>
        <w:tc>
          <w:tcPr>
            <w:tcW w:w="5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88"/>
              </w:rPr>
              <w:t>Cash, cash equivalents, restricted cash equivalents and short-term investments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232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22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investment income</w:t>
            </w:r>
          </w:p>
        </w:tc>
        <w:tc>
          <w:tcPr>
            <w:tcW w:w="1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15,990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54,733</w:t>
            </w:r>
          </w:p>
        </w:tc>
        <w:tc>
          <w:tcPr>
            <w:tcW w:w="0" w:type="dxa"/>
            <w:vAlign w:val="bottom"/>
          </w:tcPr>
          <w:p>
            <w:pPr>
              <w:spacing w:after="0"/>
              <w:rPr>
                <w:sz w:val="1"/>
                <w:szCs w:val="1"/>
                <w:color w:val="auto"/>
              </w:rPr>
            </w:pPr>
          </w:p>
        </w:tc>
      </w:tr>
      <w:tr>
        <w:trPr>
          <w:trHeight w:val="225"/>
        </w:trPr>
        <w:tc>
          <w:tcPr>
            <w:tcW w:w="5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Investment expense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(2,983)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w:t>
            </w:r>
          </w:p>
        </w:tc>
        <w:tc>
          <w:tcPr>
            <w:tcW w:w="0" w:type="dxa"/>
            <w:vAlign w:val="bottom"/>
          </w:tcPr>
          <w:p>
            <w:pPr>
              <w:spacing w:after="0"/>
              <w:rPr>
                <w:sz w:val="1"/>
                <w:szCs w:val="1"/>
                <w:color w:val="auto"/>
              </w:rPr>
            </w:pPr>
          </w:p>
        </w:tc>
      </w:tr>
      <w:tr>
        <w:trPr>
          <w:trHeight w:val="245"/>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15,289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14,959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44,726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51,145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gridSpan w:val="2"/>
            <w:vMerge w:val="restart"/>
          </w:tcPr>
          <w:p>
            <w:pPr>
              <w:ind w:left="320"/>
              <w:spacing w:after="0"/>
              <w:rPr>
                <w:sz w:val="20"/>
                <w:szCs w:val="20"/>
                <w:color w:val="auto"/>
              </w:rPr>
            </w:pPr>
            <w:r>
              <w:rPr>
                <w:rFonts w:ascii="Arial" w:cs="Arial" w:eastAsia="Arial" w:hAnsi="Arial"/>
                <w:sz w:val="18"/>
                <w:szCs w:val="18"/>
                <w:color w:val="auto"/>
              </w:rPr>
              <w:t>The following table summarizes our investment returns: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56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80" w:type="dxa"/>
            <w:vAlign w:val="bottom"/>
            <w:gridSpan w:val="9"/>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3"/>
                <w:szCs w:val="23"/>
                <w:color w:val="auto"/>
              </w:rPr>
            </w:pPr>
          </w:p>
        </w:tc>
        <w:tc>
          <w:tcPr>
            <w:tcW w:w="164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3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2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Annualized gross investment yield 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60" w:type="dxa"/>
            <w:vAlign w:val="bottom"/>
            <w:gridSpan w:val="2"/>
          </w:tcPr>
          <w:p>
            <w:pPr>
              <w:ind w:left="20"/>
              <w:spacing w:after="0"/>
              <w:rPr>
                <w:sz w:val="20"/>
                <w:szCs w:val="20"/>
                <w:color w:val="auto"/>
              </w:rPr>
            </w:pPr>
            <w:r>
              <w:rPr>
                <w:rFonts w:ascii="Arial" w:cs="Arial" w:eastAsia="Arial" w:hAnsi="Arial"/>
                <w:sz w:val="18"/>
                <w:szCs w:val="18"/>
                <w:color w:val="auto"/>
              </w:rPr>
              <w:t>Average cash and invested assets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7"/>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fixed maturity securities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Of our total cash and invested assets of $2,281.9 million at September 30, 2021 (excluding restricted cash equivalents), $220.6 million represents the cash and cash equivalents portion of the portfolio. The majority of the portfolio, or $1,721.7 million, is comprised of fixed maturity securities that are classified as available-for-sale and carried at fair value with unrealized gains and losses on these securities reported, net of applicable taxes, as a separate component of accumulated comprehensive income. Also included in our investments are $155.0 million of bank loan participations, $100.0 million of equity securities, $26.9 million of short-term investments, and $57.7 million of other invested assets.</w:t>
      </w:r>
    </w:p>
    <w:p>
      <w:pPr>
        <w:spacing w:after="0" w:line="75"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231F20"/>
        </w:rPr>
        <w:t>In connection with the adoption of ASU 2016-13 on January 1, 2020, the Company elected the fair value option in accounting for its portfolio of bank loan participations. Under the fair value option, bank loan participations are measured at fair value, and changes in unrealized gains and losses in bank loan participations are reported in our income statement as net realized and unrealized gains (losses) on investments.</w:t>
      </w:r>
    </w:p>
    <w:p>
      <w:pPr>
        <w:spacing w:after="0" w:line="65"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loans, and similar loans and investments. At September 30, 2021 and December 31, 2020, the fair market value of these securities was $155.0 million and $147.6 million, respectively.</w:t>
      </w:r>
    </w:p>
    <w:p>
      <w:pPr>
        <w:spacing w:after="0" w:line="89"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For the nine months ended September 30, 2021, the Company recognized net realized and unrealized investment gains of $13.7 million ($4.0 million of net realized and unrealized investment gains for the three months ended September 30, 2021), including $6.6 million of net unrealized gains on bank loan participations, $3.8 million of net gains for the change in the fair value of equity securities, $4.3 million of net realized investment gains on the sale of fixed maturity securities, $645,000 of net realized investment losses on the sale of bank loan participations, and $386,000 of net realized investment losses on the sale of equity securities.</w:t>
      </w:r>
    </w:p>
    <w:p>
      <w:pPr>
        <w:spacing w:after="0" w:line="8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For the nine months ended September 30, 2020, the Company recognized net realized and unrealized investment losses of $27.9 million ($8.9 million of net realized and unrealized investment gains for the three months ended September 30, 2020), including $7.6 million of net unrealized losses on bank loan participations, $6.9 million of net unrealized losses for the change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the fair value of equity securities, $14.1 million of net realized investment losses on the sale of bank loan securities, and $905,000 of net realized investment gains on the sale of fixed maturity securities.</w:t>
      </w:r>
    </w:p>
    <w:p>
      <w:pPr>
        <w:spacing w:after="0" w:line="73" w:lineRule="exact"/>
        <w:rPr>
          <w:sz w:val="20"/>
          <w:szCs w:val="20"/>
          <w:color w:val="auto"/>
        </w:rPr>
      </w:pPr>
    </w:p>
    <w:p>
      <w:pPr>
        <w:jc w:val="both"/>
        <w:ind w:firstLine="319"/>
        <w:spacing w:after="0" w:line="250" w:lineRule="auto"/>
        <w:rPr>
          <w:sz w:val="20"/>
          <w:szCs w:val="20"/>
          <w:color w:val="auto"/>
        </w:rPr>
      </w:pPr>
      <w:r>
        <w:rPr>
          <w:rFonts w:ascii="Arial" w:cs="Arial" w:eastAsia="Arial" w:hAnsi="Arial"/>
          <w:sz w:val="18"/>
          <w:szCs w:val="18"/>
          <w:color w:val="auto"/>
        </w:rPr>
        <w:t xml:space="preserve">In conjunction with its outside investment managers, the Company performs quarterly reviews of all securities within its investment portfolio to determine whether any impairment has occurred. Management concluded that none of its fixed maturity securities were impaired at September 30, 2021 or December 31, 2020. At September 30, 2021, 99.4% of the Company’s fixed maturity security portfolio was rated “BBB-” or better (“investment grade”) by Standard &amp; Poor’s or received an equivalent rating from another nationally recognized rating agency. </w:t>
      </w:r>
      <w:r>
        <w:rPr>
          <w:rFonts w:ascii="Arial" w:cs="Arial" w:eastAsia="Arial" w:hAnsi="Arial"/>
          <w:sz w:val="18"/>
          <w:szCs w:val="18"/>
          <w:color w:val="231F20"/>
        </w:rPr>
        <w:t>Management does not intend to sell available-for-sale</w:t>
      </w:r>
      <w:r>
        <w:rPr>
          <w:rFonts w:ascii="Arial" w:cs="Arial" w:eastAsia="Arial" w:hAnsi="Arial"/>
          <w:sz w:val="18"/>
          <w:szCs w:val="18"/>
          <w:color w:val="auto"/>
        </w:rPr>
        <w:t xml:space="preserve"> </w:t>
      </w:r>
      <w:r>
        <w:rPr>
          <w:rFonts w:ascii="Arial" w:cs="Arial" w:eastAsia="Arial" w:hAnsi="Arial"/>
          <w:sz w:val="18"/>
          <w:szCs w:val="18"/>
          <w:color w:val="231F20"/>
        </w:rPr>
        <w:t>securities in an unrealized loss position, and it is not “more likely than not” that the Company will be required to sell these securities before a recovery in their value to their amortized cost basis occurs.</w:t>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amortized cost and fair value of our available-for-sale fixed maturity securities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1"/>
              </w:rPr>
              <w:t>September 30, 2021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December 31, 2020</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80"/>
              <w:spacing w:after="0" w:line="132" w:lineRule="exact"/>
              <w:rPr>
                <w:sz w:val="20"/>
                <w:szCs w:val="20"/>
                <w:color w:val="auto"/>
              </w:rPr>
            </w:pPr>
            <w:r>
              <w:rPr>
                <w:rFonts w:ascii="Arial" w:cs="Arial" w:eastAsia="Arial" w:hAnsi="Arial"/>
                <w:sz w:val="14"/>
                <w:szCs w:val="14"/>
                <w:b w:val="1"/>
                <w:bCs w:val="1"/>
                <w:color w:val="auto"/>
                <w:w w:val="89"/>
              </w:rPr>
              <w:t>Cost or</w:t>
            </w:r>
          </w:p>
        </w:tc>
        <w:tc>
          <w:tcPr>
            <w:tcW w:w="260" w:type="dxa"/>
            <w:vAlign w:val="bottom"/>
          </w:tcPr>
          <w:p>
            <w:pPr>
              <w:spacing w:after="0"/>
              <w:rPr>
                <w:sz w:val="11"/>
                <w:szCs w:val="11"/>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30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89"/>
              </w:rPr>
              <w:t>Cost or</w:t>
            </w:r>
          </w:p>
        </w:tc>
        <w:tc>
          <w:tcPr>
            <w:tcW w:w="260" w:type="dxa"/>
            <w:vAlign w:val="bottom"/>
          </w:tcPr>
          <w:p>
            <w:pPr>
              <w:spacing w:after="0"/>
              <w:rPr>
                <w:sz w:val="11"/>
                <w:szCs w:val="11"/>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30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5"/>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4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Fair Value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7"/>
        </w:trPr>
        <w:tc>
          <w:tcPr>
            <w:tcW w:w="3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5"/>
          </w:tcPr>
          <w:p>
            <w:pPr>
              <w:ind w:left="88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Fixed maturity securities, available-for-sale: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324,050</w:t>
            </w:r>
          </w:p>
        </w:tc>
        <w:tc>
          <w:tcPr>
            <w:tcW w:w="10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335,635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19.5 %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277,241</w:t>
            </w:r>
          </w:p>
        </w:tc>
        <w:tc>
          <w:tcPr>
            <w:tcW w:w="1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296,405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16.6 %</w:t>
            </w: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293,848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16.5 %</w:t>
            </w: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698,454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725,872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42.2 %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715,145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766,822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i w:val="1"/>
                <w:iCs w:val="1"/>
                <w:color w:val="auto"/>
              </w:rPr>
              <w:t>43.0 %</w:t>
            </w:r>
          </w:p>
        </w:tc>
        <w:tc>
          <w:tcPr>
            <w:tcW w:w="0" w:type="dxa"/>
            <w:vAlign w:val="bottom"/>
          </w:tcPr>
          <w:p>
            <w:pPr>
              <w:spacing w:after="0"/>
              <w:rPr>
                <w:sz w:val="1"/>
                <w:szCs w:val="1"/>
                <w:color w:val="auto"/>
              </w:rPr>
            </w:pPr>
          </w:p>
        </w:tc>
      </w:tr>
      <w:tr>
        <w:trPr>
          <w:trHeight w:val="22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Commercial mortgage and asset-backed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313,158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314,911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326,719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18.3 %</w:t>
            </w:r>
          </w:p>
        </w:tc>
        <w:tc>
          <w:tcPr>
            <w:tcW w:w="0" w:type="dxa"/>
            <w:vAlign w:val="bottom"/>
          </w:tcPr>
          <w:p>
            <w:pPr>
              <w:spacing w:after="0"/>
              <w:rPr>
                <w:sz w:val="1"/>
                <w:szCs w:val="1"/>
                <w:color w:val="auto"/>
              </w:rPr>
            </w:pPr>
          </w:p>
        </w:tc>
      </w:tr>
      <w:tr>
        <w:trPr>
          <w:trHeight w:val="174"/>
        </w:trPr>
        <w:tc>
          <w:tcPr>
            <w:tcW w:w="3340" w:type="dxa"/>
            <w:vAlign w:val="bottom"/>
          </w:tcPr>
          <w:p>
            <w:pPr>
              <w:ind w:left="180"/>
              <w:spacing w:after="0" w:line="174" w:lineRule="exact"/>
              <w:rPr>
                <w:sz w:val="20"/>
                <w:szCs w:val="20"/>
                <w:color w:val="auto"/>
              </w:rPr>
            </w:pPr>
            <w:r>
              <w:rPr>
                <w:rFonts w:ascii="Arial" w:cs="Arial" w:eastAsia="Arial" w:hAnsi="Arial"/>
                <w:sz w:val="18"/>
                <w:szCs w:val="18"/>
                <w:color w:val="auto"/>
                <w:w w:val="98"/>
              </w:rPr>
              <w:t>U.S. Treasury securities and obligations</w:t>
            </w: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85,252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85,987</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5.0 %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97,489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99,848</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5.6 %</w:t>
            </w:r>
          </w:p>
        </w:tc>
        <w:tc>
          <w:tcPr>
            <w:tcW w:w="0" w:type="dxa"/>
            <w:vAlign w:val="bottom"/>
          </w:tcPr>
          <w:p>
            <w:pPr>
              <w:spacing w:after="0"/>
              <w:rPr>
                <w:sz w:val="1"/>
                <w:szCs w:val="1"/>
                <w:color w:val="auto"/>
              </w:rPr>
            </w:pPr>
          </w:p>
        </w:tc>
      </w:tr>
      <w:tr>
        <w:trPr>
          <w:trHeight w:val="225"/>
        </w:trPr>
        <w:tc>
          <w:tcPr>
            <w:tcW w:w="3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guaranteed by the U.S. government</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34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Total fixed maturity securities, available-for-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1,673,281</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1,721,727</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1,690,890</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7"/>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1,783,642</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100.0 %</w:t>
            </w: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0"/>
              <w:spacing w:after="0" w:line="199" w:lineRule="exact"/>
              <w:rPr>
                <w:sz w:val="20"/>
                <w:szCs w:val="20"/>
                <w:color w:val="auto"/>
              </w:rPr>
            </w:pPr>
            <w:r>
              <w:rPr>
                <w:rFonts w:ascii="Arial" w:cs="Arial" w:eastAsia="Arial" w:hAnsi="Arial"/>
                <w:sz w:val="18"/>
                <w:szCs w:val="18"/>
                <w:color w:val="auto"/>
              </w:rPr>
              <w:t>sale</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The following table sets forth the composition of the Company’s portfolio of available-for-sale fixed maturity securities by rating as of </w:t>
      </w:r>
      <w:r>
        <w:rPr>
          <w:rFonts w:ascii="Arial" w:cs="Arial" w:eastAsia="Arial" w:hAnsi="Arial"/>
          <w:sz w:val="16"/>
          <w:szCs w:val="16"/>
          <w:color w:val="231F20"/>
        </w:rPr>
        <w:t>September 30,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31F20"/>
        </w:rPr>
        <w:t>2021</w:t>
      </w:r>
      <w:r>
        <w:rPr>
          <w:rFonts w:ascii="Arial" w:cs="Arial" w:eastAsia="Arial" w:hAnsi="Arial"/>
          <w:sz w:val="18"/>
          <w:szCs w:val="18"/>
          <w:color w:val="000000"/>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Standard &amp; Poor’s or Equivalent Designation</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of Total</w:t>
            </w:r>
          </w:p>
        </w:tc>
      </w:tr>
      <w:tr>
        <w:trPr>
          <w:trHeight w:val="182"/>
        </w:trPr>
        <w:tc>
          <w:tcPr>
            <w:tcW w:w="8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3"/>
          </w:tcPr>
          <w:p>
            <w:pPr>
              <w:jc w:val="right"/>
              <w:ind w:right="77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358,106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622,261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36.1 %</w:t>
            </w:r>
          </w:p>
        </w:tc>
      </w:tr>
      <w:tr>
        <w:trPr>
          <w:trHeight w:val="227"/>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539,174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192,236</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11.2 %</w:t>
            </w:r>
          </w:p>
        </w:tc>
      </w:tr>
      <w:tr>
        <w:trPr>
          <w:trHeight w:val="226"/>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BBB and unrated</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20"/>
        </w:trPr>
        <w:tc>
          <w:tcPr>
            <w:tcW w:w="85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1,721,727</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firstLine="319"/>
        <w:spacing w:after="0" w:line="266" w:lineRule="auto"/>
        <w:rPr>
          <w:sz w:val="20"/>
          <w:szCs w:val="20"/>
          <w:color w:val="auto"/>
        </w:rPr>
      </w:pPr>
      <w:r>
        <w:rPr>
          <w:rFonts w:ascii="Arial" w:cs="Arial" w:eastAsia="Arial" w:hAnsi="Arial"/>
          <w:sz w:val="18"/>
          <w:szCs w:val="18"/>
          <w:color w:val="auto"/>
        </w:rPr>
        <w:t xml:space="preserve">At September 30, 2021, our portfolio of fixed maturity securities contained corporate fixed maturity securities (available-for-sale) with a fair value of $725.9 million. A summary of these securities by industry segment is shown below as of </w:t>
      </w:r>
      <w:r>
        <w:rPr>
          <w:rFonts w:ascii="Arial" w:cs="Arial" w:eastAsia="Arial" w:hAnsi="Arial"/>
          <w:sz w:val="18"/>
          <w:szCs w:val="18"/>
          <w:color w:val="231F20"/>
        </w:rPr>
        <w:t>September 30, 2021</w:t>
      </w:r>
      <w:r>
        <w:rPr>
          <w:rFonts w:ascii="Arial" w:cs="Arial" w:eastAsia="Arial" w:hAnsi="Arial"/>
          <w:sz w:val="18"/>
          <w:szCs w:val="18"/>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 of Total</w:t>
            </w:r>
          </w:p>
        </w:tc>
      </w:tr>
      <w:tr>
        <w:trPr>
          <w:trHeight w:val="182"/>
        </w:trPr>
        <w:tc>
          <w:tcPr>
            <w:tcW w:w="8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3"/>
          </w:tcPr>
          <w:p>
            <w:pPr>
              <w:jc w:val="right"/>
              <w:ind w:right="774"/>
              <w:spacing w:after="0"/>
              <w:rPr>
                <w:sz w:val="20"/>
                <w:szCs w:val="20"/>
                <w:color w:val="auto"/>
              </w:rPr>
            </w:pPr>
            <w:r>
              <w:rPr>
                <w:rFonts w:ascii="Arial" w:cs="Arial" w:eastAsia="Arial" w:hAnsi="Arial"/>
                <w:sz w:val="14"/>
                <w:szCs w:val="14"/>
                <w:b w:val="1"/>
                <w:bCs w:val="1"/>
                <w:i w:val="1"/>
                <w:iCs w:val="1"/>
                <w:color w:val="auto"/>
              </w:rPr>
              <w:t>($ in thousands)</w:t>
            </w:r>
          </w:p>
        </w:tc>
      </w:tr>
      <w:tr>
        <w:trPr>
          <w:trHeight w:val="229"/>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Industrials and Other</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165,359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Financial</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189,181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26.1 %</w:t>
            </w:r>
          </w:p>
        </w:tc>
      </w:tr>
      <w:tr>
        <w:trPr>
          <w:trHeight w:val="227"/>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Discretionary</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111,671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15.4 %</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Health Care</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85,091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11.7 %</w:t>
            </w:r>
          </w:p>
        </w:tc>
      </w:tr>
      <w:tr>
        <w:trPr>
          <w:trHeight w:val="227"/>
        </w:trPr>
        <w:tc>
          <w:tcPr>
            <w:tcW w:w="8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Consumer Staples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25"/>
        </w:trPr>
        <w:tc>
          <w:tcPr>
            <w:tcW w:w="8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Utilities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117,287</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16.1 %</w:t>
            </w:r>
          </w:p>
        </w:tc>
      </w:tr>
      <w:tr>
        <w:trPr>
          <w:trHeight w:val="245"/>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725,872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Corporate fixed maturity securities (available-for-sale) include publicly traded securities and privately placed bonds as shown below as of </w:t>
      </w:r>
      <w:r>
        <w:rPr>
          <w:rFonts w:ascii="Arial" w:cs="Arial" w:eastAsia="Arial" w:hAnsi="Arial"/>
          <w:sz w:val="16"/>
          <w:szCs w:val="16"/>
          <w:color w:val="231F20"/>
        </w:rPr>
        <w:t>September 30,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231F20"/>
        </w:rPr>
        <w:t>2021</w:t>
      </w:r>
      <w:r>
        <w:rPr>
          <w:rFonts w:ascii="Arial" w:cs="Arial" w:eastAsia="Arial" w:hAnsi="Arial"/>
          <w:sz w:val="18"/>
          <w:szCs w:val="18"/>
          <w:color w:val="000000"/>
        </w:rPr>
        <w: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Public/Private</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 of Total</w:t>
            </w:r>
          </w:p>
        </w:tc>
      </w:tr>
      <w:tr>
        <w:trPr>
          <w:trHeight w:val="182"/>
        </w:trPr>
        <w:tc>
          <w:tcPr>
            <w:tcW w:w="8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3"/>
          </w:tcPr>
          <w:p>
            <w:pPr>
              <w:jc w:val="right"/>
              <w:ind w:right="756"/>
              <w:spacing w:after="0"/>
              <w:rPr>
                <w:sz w:val="20"/>
                <w:szCs w:val="20"/>
                <w:color w:val="auto"/>
              </w:rPr>
            </w:pPr>
            <w:r>
              <w:rPr>
                <w:rFonts w:ascii="Arial" w:cs="Arial" w:eastAsia="Arial" w:hAnsi="Arial"/>
                <w:sz w:val="14"/>
                <w:szCs w:val="14"/>
                <w:b w:val="1"/>
                <w:bCs w:val="1"/>
                <w:i w:val="1"/>
                <w:iCs w:val="1"/>
                <w:color w:val="auto"/>
              </w:rPr>
              <w:t>($ in thousands)</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Publicly traded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654,464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90.2 %</w:t>
            </w:r>
          </w:p>
        </w:tc>
      </w:tr>
      <w:tr>
        <w:trPr>
          <w:trHeight w:val="225"/>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Privately placed</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71,408</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9.8 %</w:t>
            </w:r>
          </w:p>
        </w:tc>
      </w:tr>
      <w:tr>
        <w:trPr>
          <w:trHeight w:val="245"/>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725,872</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amortized cost and fair value of our available-for-sale investments in fixed maturity securities summarized by contractual maturity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3"/>
              </w:rPr>
              <w:t>September 30, 2021</w:t>
            </w:r>
          </w:p>
        </w:tc>
        <w:tc>
          <w:tcPr>
            <w:tcW w:w="1320" w:type="dxa"/>
            <w:vAlign w:val="bottom"/>
            <w:tcBorders>
              <w:bottom w:val="single" w:sz="8" w:color="auto"/>
            </w:tcBorders>
          </w:tcPr>
          <w:p>
            <w:pPr>
              <w:spacing w:after="0"/>
              <w:rPr>
                <w:sz w:val="16"/>
                <w:szCs w:val="16"/>
                <w:color w:val="auto"/>
              </w:rPr>
            </w:pPr>
          </w:p>
        </w:tc>
      </w:tr>
      <w:tr>
        <w:trPr>
          <w:trHeight w:val="132"/>
        </w:trPr>
        <w:tc>
          <w:tcPr>
            <w:tcW w:w="7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2" w:lineRule="exact"/>
              <w:rPr>
                <w:sz w:val="20"/>
                <w:szCs w:val="20"/>
                <w:color w:val="auto"/>
              </w:rPr>
            </w:pPr>
            <w:r>
              <w:rPr>
                <w:rFonts w:ascii="Arial" w:cs="Arial" w:eastAsia="Arial" w:hAnsi="Arial"/>
                <w:sz w:val="14"/>
                <w:szCs w:val="14"/>
                <w:b w:val="1"/>
                <w:bCs w:val="1"/>
                <w:color w:val="auto"/>
                <w:w w:val="96"/>
              </w:rPr>
              <w:t>Amortized</w:t>
            </w:r>
          </w:p>
        </w:tc>
        <w:tc>
          <w:tcPr>
            <w:tcW w:w="320" w:type="dxa"/>
            <w:vAlign w:val="bottom"/>
          </w:tcPr>
          <w:p>
            <w:pPr>
              <w:spacing w:after="0"/>
              <w:rPr>
                <w:sz w:val="11"/>
                <w:szCs w:val="11"/>
                <w:color w:val="auto"/>
              </w:rPr>
            </w:pPr>
          </w:p>
        </w:tc>
        <w:tc>
          <w:tcPr>
            <w:tcW w:w="980" w:type="dxa"/>
            <w:vAlign w:val="bottom"/>
            <w:gridSpan w:val="2"/>
          </w:tcPr>
          <w:p>
            <w:pPr>
              <w:jc w:val="center"/>
              <w:ind w:right="440"/>
              <w:spacing w:after="0" w:line="132" w:lineRule="exact"/>
              <w:rPr>
                <w:sz w:val="20"/>
                <w:szCs w:val="20"/>
                <w:color w:val="auto"/>
              </w:rPr>
            </w:pPr>
            <w:r>
              <w:rPr>
                <w:rFonts w:ascii="Arial" w:cs="Arial" w:eastAsia="Arial" w:hAnsi="Arial"/>
                <w:sz w:val="14"/>
                <w:szCs w:val="14"/>
                <w:b w:val="1"/>
                <w:bCs w:val="1"/>
                <w:color w:val="auto"/>
              </w:rPr>
              <w:t>Fair</w:t>
            </w:r>
          </w:p>
        </w:tc>
        <w:tc>
          <w:tcPr>
            <w:tcW w:w="1320" w:type="dxa"/>
            <w:vAlign w:val="bottom"/>
          </w:tcPr>
          <w:p>
            <w:pPr>
              <w:jc w:val="right"/>
              <w:ind w:right="415"/>
              <w:spacing w:after="0" w:line="132" w:lineRule="exact"/>
              <w:rPr>
                <w:sz w:val="20"/>
                <w:szCs w:val="20"/>
                <w:color w:val="auto"/>
              </w:rPr>
            </w:pPr>
            <w:r>
              <w:rPr>
                <w:rFonts w:ascii="Arial" w:cs="Arial" w:eastAsia="Arial" w:hAnsi="Arial"/>
                <w:sz w:val="14"/>
                <w:szCs w:val="14"/>
                <w:b w:val="1"/>
                <w:bCs w:val="1"/>
                <w:color w:val="auto"/>
              </w:rPr>
              <w:t>% of</w:t>
            </w:r>
          </w:p>
        </w:tc>
      </w:tr>
      <w:tr>
        <w:trPr>
          <w:trHeight w:val="185"/>
        </w:trPr>
        <w:tc>
          <w:tcPr>
            <w:tcW w:w="7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3"/>
              </w:rPr>
              <w:t>Cost</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Total Value</w:t>
            </w:r>
          </w:p>
        </w:tc>
      </w:tr>
      <w:tr>
        <w:trPr>
          <w:trHeight w:val="177"/>
        </w:trPr>
        <w:tc>
          <w:tcPr>
            <w:tcW w:w="7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tcPr>
          <w:p>
            <w:pPr>
              <w:spacing w:after="0"/>
              <w:rPr>
                <w:sz w:val="15"/>
                <w:szCs w:val="15"/>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7260" w:type="dxa"/>
            <w:vAlign w:val="bottom"/>
          </w:tcPr>
          <w:p>
            <w:pPr>
              <w:ind w:left="140"/>
              <w:spacing w:after="0"/>
              <w:rPr>
                <w:sz w:val="20"/>
                <w:szCs w:val="20"/>
                <w:color w:val="auto"/>
              </w:rPr>
            </w:pPr>
            <w:r>
              <w:rPr>
                <w:rFonts w:ascii="Arial" w:cs="Arial" w:eastAsia="Arial" w:hAnsi="Arial"/>
                <w:sz w:val="18"/>
                <w:szCs w:val="18"/>
                <w:color w:val="auto"/>
              </w:rPr>
              <w:t>One year or less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103,777</w:t>
            </w:r>
          </w:p>
        </w:tc>
        <w:tc>
          <w:tcPr>
            <w:tcW w:w="120" w:type="dxa"/>
            <w:vAlign w:val="bottom"/>
          </w:tcPr>
          <w:p>
            <w:pPr>
              <w:spacing w:after="0"/>
              <w:rPr>
                <w:sz w:val="19"/>
                <w:szCs w:val="19"/>
                <w:color w:val="auto"/>
              </w:rPr>
            </w:pPr>
          </w:p>
        </w:tc>
        <w:tc>
          <w:tcPr>
            <w:tcW w:w="320" w:type="dxa"/>
            <w:vAlign w:val="bottom"/>
          </w:tcPr>
          <w:p>
            <w:pPr>
              <w:jc w:val="right"/>
              <w:ind w:righ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104,859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6.1 %</w:t>
            </w:r>
          </w:p>
        </w:tc>
      </w:tr>
      <w:tr>
        <w:trPr>
          <w:trHeight w:val="227"/>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458,454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27.7 %</w:t>
            </w:r>
          </w:p>
        </w:tc>
      </w:tr>
      <w:tr>
        <w:trPr>
          <w:trHeight w:val="225"/>
        </w:trPr>
        <w:tc>
          <w:tcPr>
            <w:tcW w:w="7260" w:type="dxa"/>
            <w:vAlign w:val="bottom"/>
          </w:tcPr>
          <w:p>
            <w:pPr>
              <w:ind w:left="1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303,453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310,034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18.0 %</w:t>
            </w:r>
          </w:p>
        </w:tc>
      </w:tr>
      <w:tr>
        <w:trPr>
          <w:trHeight w:val="227"/>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ten years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254,893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14.8 %</w:t>
            </w:r>
          </w:p>
        </w:tc>
      </w:tr>
      <w:tr>
        <w:trPr>
          <w:trHeight w:val="225"/>
        </w:trPr>
        <w:tc>
          <w:tcPr>
            <w:tcW w:w="7260" w:type="dxa"/>
            <w:vAlign w:val="bottom"/>
          </w:tcPr>
          <w:p>
            <w:pPr>
              <w:ind w:left="140"/>
              <w:spacing w:after="0"/>
              <w:rPr>
                <w:sz w:val="20"/>
                <w:szCs w:val="20"/>
                <w:color w:val="auto"/>
              </w:rPr>
            </w:pPr>
            <w:r>
              <w:rPr>
                <w:rFonts w:ascii="Arial" w:cs="Arial" w:eastAsia="Arial" w:hAnsi="Arial"/>
                <w:sz w:val="18"/>
                <w:szCs w:val="18"/>
                <w:color w:val="auto"/>
              </w:rPr>
              <w:t>Residential mortgage-backed</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258,302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261,075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i w:val="1"/>
                <w:iCs w:val="1"/>
                <w:color w:val="auto"/>
              </w:rPr>
              <w:t>15.2 %</w:t>
            </w:r>
          </w:p>
        </w:tc>
      </w:tr>
      <w:tr>
        <w:trPr>
          <w:trHeight w:val="226"/>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 and asset-backed</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313,158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18.2 %</w:t>
            </w:r>
          </w:p>
        </w:tc>
      </w:tr>
      <w:tr>
        <w:trPr>
          <w:trHeight w:val="220"/>
        </w:trPr>
        <w:tc>
          <w:tcPr>
            <w:tcW w:w="72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1,673,281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1,721,727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100.0 %</w:t>
            </w: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right="1800" w:firstLine="359"/>
        <w:spacing w:after="0" w:line="370" w:lineRule="auto"/>
        <w:rPr>
          <w:sz w:val="20"/>
          <w:szCs w:val="20"/>
          <w:color w:val="auto"/>
        </w:rPr>
      </w:pPr>
      <w:r>
        <w:rPr>
          <w:rFonts w:ascii="Arial" w:cs="Arial" w:eastAsia="Arial" w:hAnsi="Arial"/>
          <w:sz w:val="18"/>
          <w:szCs w:val="18"/>
          <w:color w:val="auto"/>
        </w:rPr>
        <w:t xml:space="preserve">At September 30, 2021, the Company had no investments in securitizations of alternative-A mortgages or sub-prime mortgages. </w:t>
      </w:r>
      <w:r>
        <w:rPr>
          <w:rFonts w:ascii="Arial" w:cs="Arial" w:eastAsia="Arial" w:hAnsi="Arial"/>
          <w:sz w:val="18"/>
          <w:szCs w:val="18"/>
          <w:b w:val="1"/>
          <w:bCs w:val="1"/>
          <w:i w:val="1"/>
          <w:iCs w:val="1"/>
          <w:color w:val="auto"/>
        </w:rPr>
        <w:t>Interest Expense</w:t>
      </w:r>
    </w:p>
    <w:p>
      <w:pPr>
        <w:jc w:val="both"/>
        <w:ind w:firstLine="319"/>
        <w:spacing w:after="0" w:line="256" w:lineRule="auto"/>
        <w:rPr>
          <w:sz w:val="20"/>
          <w:szCs w:val="20"/>
          <w:color w:val="auto"/>
        </w:rPr>
      </w:pPr>
      <w:r>
        <w:rPr>
          <w:rFonts w:ascii="Arial" w:cs="Arial" w:eastAsia="Arial" w:hAnsi="Arial"/>
          <w:sz w:val="18"/>
          <w:szCs w:val="18"/>
          <w:color w:val="auto"/>
        </w:rPr>
        <w:t>Interest expense was $2.2 million and $2.1 million for the three months ended September 30, 2021 and 2020, respectively ($6.7 million and $8.0 million for the respective nine month periods). See “—Liquidity and Capital Resources—Sources and Uses of Funds” for more information regarding our senior bank debt facilities and trust preferred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12"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The Company recorded $90,000 and $149,000 of amortization of intangible assets for the three months ended September 30, 2021 and 2020, respectively ($272,000 and $447,000 for the respective nine month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2"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Our effective tax rate fluctuates from period to period based on the relative mix of income reported by country and the respective tax rates imposed by each tax jurisdiction.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on share based compensation. The Company had a pre-tax loss of $129.6 million for the nine months ended September 30, 2021 and recorded a U.S. federal income tax benefit of $23.1 million. The pre-tax loss was largely driven by the $210.8 million of net adverse reserve development on prior accident years, including $190.7 million of net adverse development from the Excess and Surplus Lines segment that was primarily related to a former commercial auto account. For the nine months ended September 30, 2021, our U.S. federal income tax benefit was 17.8% of the loss before taxes. The Company had pre-tax income of $29.3 million for the nine months ended September 30, 2020 and recorded U.S. federal income taxes of $4.2 million. For the nine months ended September 30, 2020, our U.S. federal income tax was 14.4% of the income before taxes. The change in effective tax rate for the two periods reflects changes in reserve estimates in the commercial auto business, and the related impact on the mix of income reported by country in those respective periods.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of Common Shares</w:t>
      </w:r>
    </w:p>
    <w:p>
      <w:pPr>
        <w:spacing w:after="0" w:line="11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May 10, 2021, the Company closed the offering and public sale (the “Offering”) of an aggregate of 6,497,500 of the Company’s common shares at a public offering price of $31.00 per share. The Company received net proceeds (before expenses) from the Offering of $192.1 million, which were used for general corporate purposes. The common shares were offered and sold pursuant to an underwriting agreement entered into by the Company, Barclays Capital, Inc., and Keefe, Bruyette &amp; Woods, Inc., as representatives of the several underwriters named therein.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are organized as a Bermuda holding company with our operations conducted by our wholly-owned subsidiaries. Accordingly, our holding company may receive cash through loans from banks, issuance of common shares, borrowings on our credit facilities,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spacing w:after="0" w:line="8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James River Insurance Company paid a $17.0 million dividend to the U.S. holding company in the three months ended March 31, 2021, reducing the maximum amount of dividends available to the U.S. holding company from our U.S. insurance subsidiaries during the remainder of 2021 without regulatory approval to $11.6 million. However, insurance regulators have broad powers to prevent the reduction of statutory surplus to inadequate levels and could refuse to permit the payment of dividends calculated under any applicable formula.</w:t>
      </w:r>
    </w:p>
    <w:p>
      <w:pPr>
        <w:spacing w:after="0" w:line="73"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The Bermuda Insurance Act of 1978 prohibits an insurer from declaring or paying a dividend if it is in breach of its minimum solvency margin, its enhanced capital requirement, or its minimum liquidity ratio, or if the declaration or payment of such dividend would cause such a breach. An insurer can declare or pay dividends without prior regulatory approval up to 25% of the total statutory capital and surplus. The maximum combined amount of dividends and return of capital available to us from our Bermuda insurers in 2021 is calculated to be approximately $153.8 million. However, any dividend payment is contingent upon continued compliance with Bermuda regulatory requirements, including but not limited to the enhanced solvency requirement calculations.</w:t>
      </w:r>
    </w:p>
    <w:p>
      <w:pPr>
        <w:spacing w:after="0" w:line="58"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At September 30, 2021, the Bermuda holding company had $2.7 million of cash and cash equivalents. The U.S. holding company had $18.1 million of cash and invested assets, comprised of cash and cash equivalents of $6.7 million and other invested assets of $11.4 million, which are not subject to regulatory restrictions. Additionally, our U.K. intermediate holding company had no invested assets and cash of less than ten thousand dollars at September 30,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Company has a $315.0 million senior revolving credit facility (as amended or amended and restated, the “2013 Facility”). The 2013 Facility is comprised of the following at September 30, 2021:</w:t>
      </w:r>
    </w:p>
    <w:p>
      <w:pPr>
        <w:spacing w:after="0" w:line="73" w:lineRule="exact"/>
        <w:rPr>
          <w:sz w:val="20"/>
          <w:szCs w:val="20"/>
          <w:color w:val="auto"/>
        </w:rPr>
      </w:pPr>
    </w:p>
    <w:p>
      <w:pPr>
        <w:jc w:val="both"/>
        <w:ind w:left="640" w:hanging="315"/>
        <w:spacing w:after="0" w:line="256"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$102.5 million secured revolving facility used by JRG Re to issue letters of credit for the benefit of third-party reinsureds. This portion of our credit facility is secured by our investment securities. At September 30, 2021, the Company had $45.9 million of letters of credit issued under the secured facility.</w:t>
      </w:r>
    </w:p>
    <w:p>
      <w:pPr>
        <w:spacing w:after="0" w:line="82" w:lineRule="exact"/>
        <w:rPr>
          <w:rFonts w:ascii="Arial" w:cs="Arial" w:eastAsia="Arial" w:hAnsi="Arial"/>
          <w:sz w:val="18"/>
          <w:szCs w:val="18"/>
          <w:color w:val="auto"/>
        </w:rPr>
      </w:pPr>
    </w:p>
    <w:p>
      <w:pPr>
        <w:jc w:val="both"/>
        <w:ind w:left="640" w:hanging="315"/>
        <w:spacing w:after="0" w:line="253"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$212.5 million unsecured revolving facility to meet the working capital needs of the Company. All unpaid principal on the revolver is due at maturity. Interest accrues quarterly and is payable in arrears at 3-month LIBOR plus a margin which is currently 1.625% and is subject to change according to terms in the credit agreement. At September 30, 2021, the Company had a drawn balance of $185.8 million outstanding on the unsecured revolver.</w:t>
      </w:r>
    </w:p>
    <w:p>
      <w:pPr>
        <w:spacing w:after="0" w:line="8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2013 Facility has been amended from time to time since its inception in 2013. On November 8, 2019, the Company entered into a Second Amended and Restated Credit Agreement for the 2013 Facility which, among other things, extended the maturity date of the 2013 Facility until November 8, 2024, increased the amount available under the unsecured revolving credit facility to $212.5 million, lowered the applicable interest rate and letter of credit fees, and modified certain negative covenants to be less restrictive.</w:t>
      </w:r>
    </w:p>
    <w:p>
      <w:pPr>
        <w:spacing w:after="0" w:line="8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2013 Facility contains certain financial and other covenants (including minimum net worth, maximum ratio of total adjusted debt outstanding to total capitalization, and financial strength ratings) with which the Company was in compliance at September 30, 2021.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84" w:lineRule="auto"/>
        <w:rPr>
          <w:sz w:val="20"/>
          <w:szCs w:val="20"/>
          <w:color w:val="auto"/>
        </w:rPr>
      </w:pPr>
      <w:r>
        <w:rPr>
          <w:rFonts w:ascii="Arial" w:cs="Arial" w:eastAsia="Arial" w:hAnsi="Arial"/>
          <w:sz w:val="16"/>
          <w:szCs w:val="16"/>
          <w:color w:val="auto"/>
        </w:rPr>
        <w:t>On August 2, 2017, the Company, and its wholly-owned subsidiary, JRG Re, together as borrowers, entered into a credit agreement (the "2017 Facility") that provides the Company with a revolving line of credit of up to $100.0 million, which may be used for loans and letters of credit made or issued, at the borrowers' option, on a secured or unsecured basis. Obligations under the 2017 Facility carry a variable rate of interest subject to terms in the credit agreement and will mature 30 days after notice of termination from the lender. The 2017 Facility contains certain financial and other covenants with which we are in compliance at September 30, 2021. The loans and letters of credit made or issued under the revolving line of credit of the 2017 Facility may be used to finance the borrowers' general corporate purposes. On November 8, 2019, the Company entered into a First Amendment to Credit Agreement which, among other things, lowered the applicable interest rate and modified certain negative covenants to be less restrictive. Interest accrues quarterly and is payable in arrears at variable rates which are subject to change according to terms in the credit agreement. At September 30, 2021, unsecured loans of $61.5 million and secured letters of credit totaling $14.0 million were outstanding on the 2017 Facility.</w:t>
      </w:r>
    </w:p>
    <w:p>
      <w:pPr>
        <w:spacing w:after="0" w:line="62"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On May 26, 2004, we issued $15.0 million of senior debt due April 29, 2034. The senior debt is not redeemable by the holder or subject to sinking fund requirements. Interest accrues quarterly and is payable in arrears at a floating rate per annum equal to the 3-month LIBOR plus 3.85%. This senior debt is redeemable at par prior to its stated maturity at our option in whole or in part. The terms of the senior debt contain certain covenants, with which we are in compliance at September 30, 2021, and which, among other things, restrict our ability to assume senior indebtedness secured by our U.S. holding company’s common stock or its subsidiaries’ capital stock or to issue shares of its subsidiaries’ capital stock.</w:t>
      </w:r>
    </w:p>
    <w:p>
      <w:pPr>
        <w:spacing w:after="0" w:line="75"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8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following table summarizes the nature and terms of the junior subordinated debt and trust preferred securities outstanding at September 30, 2021 (including the Company’s repurchases of a portion of these trust preferred securities):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9"/>
              </w:rPr>
              <w:t>Franklin</w:t>
            </w: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54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w w:val="89"/>
              </w:rPr>
              <w:t>James River</w:t>
            </w: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58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2"/>
              </w:rPr>
              <w:t>James River</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James River</w:t>
            </w: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Holdings II</w:t>
            </w: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(Bermuda)</w:t>
            </w: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54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5"/>
              </w:rPr>
              <w:t>Capital Trust</w:t>
            </w:r>
          </w:p>
        </w:tc>
        <w:tc>
          <w:tcPr>
            <w:tcW w:w="1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Capital Trust</w:t>
            </w:r>
          </w:p>
        </w:tc>
        <w:tc>
          <w:tcPr>
            <w:tcW w:w="1580" w:type="dxa"/>
            <w:vAlign w:val="bottom"/>
          </w:tcPr>
          <w:p>
            <w:pPr>
              <w:jc w:val="center"/>
              <w:ind w:left="36"/>
              <w:spacing w:after="0" w:line="133" w:lineRule="exact"/>
              <w:rPr>
                <w:sz w:val="20"/>
                <w:szCs w:val="20"/>
                <w:color w:val="auto"/>
              </w:rPr>
            </w:pPr>
            <w:r>
              <w:rPr>
                <w:rFonts w:ascii="Arial" w:cs="Arial" w:eastAsia="Arial" w:hAnsi="Arial"/>
                <w:sz w:val="14"/>
                <w:szCs w:val="14"/>
                <w:b w:val="1"/>
                <w:bCs w:val="1"/>
                <w:color w:val="auto"/>
                <w:w w:val="95"/>
              </w:rPr>
              <w:t>Capital Trust</w:t>
            </w:r>
          </w:p>
        </w:tc>
        <w:tc>
          <w:tcPr>
            <w:tcW w:w="15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Capital Trust</w:t>
            </w:r>
          </w:p>
        </w:tc>
        <w:tc>
          <w:tcPr>
            <w:tcW w:w="14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Capital Trust</w:t>
            </w:r>
          </w:p>
        </w:tc>
        <w:tc>
          <w:tcPr>
            <w:tcW w:w="0" w:type="dxa"/>
            <w:vAlign w:val="bottom"/>
          </w:tcPr>
          <w:p>
            <w:pPr>
              <w:spacing w:after="0"/>
              <w:rPr>
                <w:sz w:val="1"/>
                <w:szCs w:val="1"/>
                <w:color w:val="auto"/>
              </w:rPr>
            </w:pPr>
          </w:p>
        </w:tc>
      </w:tr>
      <w:tr>
        <w:trPr>
          <w:trHeight w:val="185"/>
        </w:trPr>
        <w:tc>
          <w:tcPr>
            <w:tcW w:w="3680" w:type="dxa"/>
            <w:vAlign w:val="bottom"/>
          </w:tcPr>
          <w:p>
            <w:pPr>
              <w:spacing w:after="0"/>
              <w:rPr>
                <w:sz w:val="16"/>
                <w:szCs w:val="16"/>
                <w:color w:val="auto"/>
              </w:rPr>
            </w:pPr>
          </w:p>
        </w:tc>
        <w:tc>
          <w:tcPr>
            <w:tcW w:w="15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I</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II</w:t>
            </w:r>
          </w:p>
        </w:tc>
        <w:tc>
          <w:tcPr>
            <w:tcW w:w="158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rPr>
              <w:t>III</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IV</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80" w:type="dxa"/>
            <w:vAlign w:val="bottom"/>
          </w:tcPr>
          <w:p>
            <w:pPr>
              <w:jc w:val="center"/>
              <w:ind w:left="16"/>
              <w:spacing w:after="0"/>
              <w:rPr>
                <w:sz w:val="20"/>
                <w:szCs w:val="20"/>
                <w:color w:val="auto"/>
              </w:rPr>
            </w:pPr>
            <w:r>
              <w:rPr>
                <w:rFonts w:ascii="Arial" w:cs="Arial" w:eastAsia="Arial" w:hAnsi="Arial"/>
                <w:sz w:val="14"/>
                <w:szCs w:val="14"/>
                <w:b w:val="1"/>
                <w:bCs w:val="1"/>
                <w:i w:val="1"/>
                <w:iCs w:val="1"/>
                <w:color w:val="auto"/>
                <w:w w:val="88"/>
              </w:rPr>
              <w:t>($ in thousands)</w:t>
            </w:r>
          </w:p>
        </w:tc>
        <w:tc>
          <w:tcPr>
            <w:tcW w:w="15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Issue date</w:t>
            </w:r>
          </w:p>
        </w:tc>
        <w:tc>
          <w:tcPr>
            <w:tcW w:w="1540" w:type="dxa"/>
            <w:vAlign w:val="bottom"/>
            <w:shd w:val="clear" w:color="auto" w:fill="CCEEFF"/>
          </w:tcPr>
          <w:p>
            <w:pPr>
              <w:jc w:val="center"/>
              <w:ind w:right="35"/>
              <w:spacing w:after="0" w:line="176" w:lineRule="exact"/>
              <w:rPr>
                <w:sz w:val="20"/>
                <w:szCs w:val="20"/>
                <w:color w:val="auto"/>
              </w:rPr>
            </w:pPr>
            <w:r>
              <w:rPr>
                <w:rFonts w:ascii="Arial" w:cs="Arial" w:eastAsia="Arial" w:hAnsi="Arial"/>
                <w:sz w:val="18"/>
                <w:szCs w:val="18"/>
                <w:color w:val="auto"/>
                <w:w w:val="90"/>
              </w:rPr>
              <w:t>May 26,</w:t>
            </w:r>
          </w:p>
        </w:tc>
        <w:tc>
          <w:tcPr>
            <w:tcW w:w="13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December 15,</w:t>
            </w:r>
          </w:p>
        </w:tc>
        <w:tc>
          <w:tcPr>
            <w:tcW w:w="1580" w:type="dxa"/>
            <w:vAlign w:val="bottom"/>
            <w:shd w:val="clear" w:color="auto" w:fill="CCEEFF"/>
          </w:tcPr>
          <w:p>
            <w:pPr>
              <w:jc w:val="center"/>
              <w:ind w:left="36"/>
              <w:spacing w:after="0" w:line="176" w:lineRule="exact"/>
              <w:rPr>
                <w:sz w:val="20"/>
                <w:szCs w:val="20"/>
                <w:color w:val="auto"/>
              </w:rPr>
            </w:pPr>
            <w:r>
              <w:rPr>
                <w:rFonts w:ascii="Arial" w:cs="Arial" w:eastAsia="Arial" w:hAnsi="Arial"/>
                <w:sz w:val="18"/>
                <w:szCs w:val="18"/>
                <w:color w:val="auto"/>
                <w:w w:val="83"/>
              </w:rPr>
              <w:t>June 15,</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December 11, 2007</w:t>
            </w:r>
          </w:p>
        </w:tc>
        <w:tc>
          <w:tcPr>
            <w:tcW w:w="146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7"/>
              </w:rPr>
              <w:t>January 10,</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84"/>
              </w:rPr>
              <w:t>2004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15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9"/>
              </w:rPr>
              <w:t>2006</w:t>
            </w:r>
          </w:p>
        </w:tc>
        <w:tc>
          <w:tcPr>
            <w:tcW w:w="1580" w:type="dxa"/>
            <w:vAlign w:val="bottom"/>
            <w:vMerge w:val="continue"/>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8"/>
                <w:szCs w:val="18"/>
                <w:color w:val="auto"/>
              </w:rPr>
              <w:t>Principal amount of trust preferred securities</w:t>
            </w:r>
          </w:p>
        </w:tc>
        <w:tc>
          <w:tcPr>
            <w:tcW w:w="1540" w:type="dxa"/>
            <w:vAlign w:val="bottom"/>
          </w:tcPr>
          <w:p>
            <w:pPr>
              <w:jc w:val="center"/>
              <w:ind w:right="35"/>
              <w:spacing w:after="0"/>
              <w:rPr>
                <w:sz w:val="20"/>
                <w:szCs w:val="20"/>
                <w:color w:val="auto"/>
              </w:rPr>
            </w:pPr>
            <w:r>
              <w:rPr>
                <w:rFonts w:ascii="Arial" w:cs="Arial" w:eastAsia="Arial" w:hAnsi="Arial"/>
                <w:sz w:val="18"/>
                <w:szCs w:val="18"/>
                <w:color w:val="auto"/>
                <w:w w:val="90"/>
              </w:rPr>
              <w:t>$7,000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$15,000</w:t>
            </w:r>
          </w:p>
        </w:tc>
        <w:tc>
          <w:tcPr>
            <w:tcW w:w="1580" w:type="dxa"/>
            <w:vAlign w:val="bottom"/>
          </w:tcPr>
          <w:p>
            <w:pPr>
              <w:jc w:val="center"/>
              <w:ind w:left="36"/>
              <w:spacing w:after="0"/>
              <w:rPr>
                <w:sz w:val="20"/>
                <w:szCs w:val="20"/>
                <w:color w:val="auto"/>
              </w:rPr>
            </w:pPr>
            <w:r>
              <w:rPr>
                <w:rFonts w:ascii="Arial" w:cs="Arial" w:eastAsia="Arial" w:hAnsi="Arial"/>
                <w:sz w:val="18"/>
                <w:szCs w:val="18"/>
                <w:color w:val="auto"/>
                <w:w w:val="89"/>
              </w:rPr>
              <w:t>$20,000</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$54,000</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$30,000</w:t>
            </w:r>
          </w:p>
        </w:tc>
        <w:tc>
          <w:tcPr>
            <w:tcW w:w="0" w:type="dxa"/>
            <w:vAlign w:val="bottom"/>
          </w:tcPr>
          <w:p>
            <w:pPr>
              <w:spacing w:after="0"/>
              <w:rPr>
                <w:sz w:val="1"/>
                <w:szCs w:val="1"/>
                <w:color w:val="auto"/>
              </w:rPr>
            </w:pPr>
          </w:p>
        </w:tc>
      </w:tr>
      <w:tr>
        <w:trPr>
          <w:trHeight w:val="227"/>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 of junior subordinated debt</w:t>
            </w:r>
          </w:p>
        </w:tc>
        <w:tc>
          <w:tcPr>
            <w:tcW w:w="154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90"/>
              </w:rPr>
              <w:t>$7,217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$15,464</w:t>
            </w:r>
          </w:p>
        </w:tc>
        <w:tc>
          <w:tcPr>
            <w:tcW w:w="1580" w:type="dxa"/>
            <w:vAlign w:val="bottom"/>
            <w:shd w:val="clear" w:color="auto" w:fill="CCEEFF"/>
          </w:tcPr>
          <w:p>
            <w:pPr>
              <w:jc w:val="center"/>
              <w:ind w:left="36"/>
              <w:spacing w:after="0"/>
              <w:rPr>
                <w:sz w:val="20"/>
                <w:szCs w:val="20"/>
                <w:color w:val="auto"/>
              </w:rPr>
            </w:pPr>
            <w:r>
              <w:rPr>
                <w:rFonts w:ascii="Arial" w:cs="Arial" w:eastAsia="Arial" w:hAnsi="Arial"/>
                <w:sz w:val="18"/>
                <w:szCs w:val="18"/>
                <w:color w:val="auto"/>
                <w:w w:val="89"/>
              </w:rPr>
              <w:t>$20,619</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$55,670</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$30,928</w:t>
            </w:r>
          </w:p>
        </w:tc>
        <w:tc>
          <w:tcPr>
            <w:tcW w:w="0" w:type="dxa"/>
            <w:vAlign w:val="bottom"/>
          </w:tcPr>
          <w:p>
            <w:pPr>
              <w:spacing w:after="0"/>
              <w:rPr>
                <w:sz w:val="1"/>
                <w:szCs w:val="1"/>
                <w:color w:val="auto"/>
              </w:rPr>
            </w:pPr>
          </w:p>
        </w:tc>
      </w:tr>
      <w:tr>
        <w:trPr>
          <w:trHeight w:val="174"/>
        </w:trPr>
        <w:tc>
          <w:tcPr>
            <w:tcW w:w="3680" w:type="dxa"/>
            <w:vAlign w:val="bottom"/>
          </w:tcPr>
          <w:p>
            <w:pPr>
              <w:ind w:left="20"/>
              <w:spacing w:after="0" w:line="174" w:lineRule="exact"/>
              <w:rPr>
                <w:sz w:val="20"/>
                <w:szCs w:val="20"/>
                <w:color w:val="auto"/>
              </w:rPr>
            </w:pPr>
            <w:r>
              <w:rPr>
                <w:rFonts w:ascii="Arial" w:cs="Arial" w:eastAsia="Arial" w:hAnsi="Arial"/>
                <w:sz w:val="18"/>
                <w:szCs w:val="18"/>
                <w:color w:val="auto"/>
                <w:w w:val="90"/>
              </w:rPr>
              <w:t>Carrying amount of junior subordinated debt net of</w:t>
            </w:r>
          </w:p>
        </w:tc>
        <w:tc>
          <w:tcPr>
            <w:tcW w:w="1540" w:type="dxa"/>
            <w:vAlign w:val="bottom"/>
            <w:vMerge w:val="restart"/>
          </w:tcPr>
          <w:p>
            <w:pPr>
              <w:jc w:val="center"/>
              <w:ind w:right="35"/>
              <w:spacing w:after="0"/>
              <w:rPr>
                <w:sz w:val="20"/>
                <w:szCs w:val="20"/>
                <w:color w:val="auto"/>
              </w:rPr>
            </w:pPr>
            <w:r>
              <w:rPr>
                <w:rFonts w:ascii="Arial" w:cs="Arial" w:eastAsia="Arial" w:hAnsi="Arial"/>
                <w:sz w:val="18"/>
                <w:szCs w:val="18"/>
                <w:color w:val="auto"/>
                <w:w w:val="90"/>
              </w:rPr>
              <w:t>$7,217</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89"/>
              </w:rPr>
              <w:t>$15,464</w:t>
            </w:r>
          </w:p>
        </w:tc>
        <w:tc>
          <w:tcPr>
            <w:tcW w:w="1580" w:type="dxa"/>
            <w:vAlign w:val="bottom"/>
            <w:vMerge w:val="restart"/>
          </w:tcPr>
          <w:p>
            <w:pPr>
              <w:jc w:val="center"/>
              <w:ind w:left="36"/>
              <w:spacing w:after="0"/>
              <w:rPr>
                <w:sz w:val="20"/>
                <w:szCs w:val="20"/>
                <w:color w:val="auto"/>
              </w:rPr>
            </w:pPr>
            <w:r>
              <w:rPr>
                <w:rFonts w:ascii="Arial" w:cs="Arial" w:eastAsia="Arial" w:hAnsi="Arial"/>
                <w:sz w:val="18"/>
                <w:szCs w:val="18"/>
                <w:color w:val="auto"/>
                <w:w w:val="89"/>
              </w:rPr>
              <w:t>$20,619</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89"/>
              </w:rPr>
              <w:t>$44,827</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89"/>
              </w:rPr>
              <w:t>$15,928</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8"/>
                <w:szCs w:val="18"/>
                <w:color w:val="auto"/>
              </w:rPr>
              <w:t>repurchases</w:t>
            </w:r>
          </w:p>
        </w:tc>
        <w:tc>
          <w:tcPr>
            <w:tcW w:w="154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6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4"/>
              </w:rPr>
              <w:t>Maturity date of junior subordinated debt, unless</w:t>
            </w:r>
          </w:p>
        </w:tc>
        <w:tc>
          <w:tcPr>
            <w:tcW w:w="1540" w:type="dxa"/>
            <w:vAlign w:val="bottom"/>
            <w:shd w:val="clear" w:color="auto" w:fill="CCEEFF"/>
          </w:tcPr>
          <w:p>
            <w:pPr>
              <w:jc w:val="center"/>
              <w:ind w:right="35"/>
              <w:spacing w:after="0" w:line="175" w:lineRule="exact"/>
              <w:rPr>
                <w:sz w:val="20"/>
                <w:szCs w:val="20"/>
                <w:color w:val="auto"/>
              </w:rPr>
            </w:pPr>
            <w:r>
              <w:rPr>
                <w:rFonts w:ascii="Arial" w:cs="Arial" w:eastAsia="Arial" w:hAnsi="Arial"/>
                <w:sz w:val="18"/>
                <w:szCs w:val="18"/>
                <w:color w:val="auto"/>
                <w:w w:val="90"/>
              </w:rPr>
              <w:t>May 24,</w:t>
            </w:r>
          </w:p>
        </w:tc>
        <w:tc>
          <w:tcPr>
            <w:tcW w:w="138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8"/>
              </w:rPr>
              <w:t>December 15,</w:t>
            </w:r>
          </w:p>
        </w:tc>
        <w:tc>
          <w:tcPr>
            <w:tcW w:w="1580" w:type="dxa"/>
            <w:vAlign w:val="bottom"/>
            <w:shd w:val="clear" w:color="auto" w:fill="CCEEFF"/>
          </w:tcPr>
          <w:p>
            <w:pPr>
              <w:jc w:val="center"/>
              <w:ind w:left="36"/>
              <w:spacing w:after="0" w:line="175" w:lineRule="exact"/>
              <w:rPr>
                <w:sz w:val="20"/>
                <w:szCs w:val="20"/>
                <w:color w:val="auto"/>
              </w:rPr>
            </w:pPr>
            <w:r>
              <w:rPr>
                <w:rFonts w:ascii="Arial" w:cs="Arial" w:eastAsia="Arial" w:hAnsi="Arial"/>
                <w:sz w:val="18"/>
                <w:szCs w:val="18"/>
                <w:color w:val="auto"/>
                <w:w w:val="83"/>
              </w:rPr>
              <w:t>June 15,</w:t>
            </w:r>
          </w:p>
        </w:tc>
        <w:tc>
          <w:tcPr>
            <w:tcW w:w="158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8"/>
              </w:rPr>
              <w:t>December 15,</w:t>
            </w:r>
          </w:p>
        </w:tc>
        <w:tc>
          <w:tcPr>
            <w:tcW w:w="146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89"/>
              </w:rPr>
              <w:t>March 15,</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accelerated earlier</w:t>
            </w:r>
          </w:p>
        </w:tc>
        <w:tc>
          <w:tcPr>
            <w:tcW w:w="1540" w:type="dxa"/>
            <w:vAlign w:val="bottom"/>
            <w:shd w:val="clear" w:color="auto" w:fill="CCEEFF"/>
          </w:tcPr>
          <w:p>
            <w:pPr>
              <w:jc w:val="center"/>
              <w:ind w:right="35"/>
              <w:spacing w:after="0"/>
              <w:rPr>
                <w:sz w:val="20"/>
                <w:szCs w:val="20"/>
                <w:color w:val="auto"/>
              </w:rPr>
            </w:pPr>
            <w:r>
              <w:rPr>
                <w:rFonts w:ascii="Arial" w:cs="Arial" w:eastAsia="Arial" w:hAnsi="Arial"/>
                <w:sz w:val="18"/>
                <w:szCs w:val="18"/>
                <w:color w:val="auto"/>
                <w:w w:val="84"/>
              </w:rPr>
              <w:t>2034</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2034</w:t>
            </w:r>
          </w:p>
        </w:tc>
        <w:tc>
          <w:tcPr>
            <w:tcW w:w="15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9"/>
              </w:rPr>
              <w:t>2036</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2037</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2038</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rPr>
                <w:sz w:val="20"/>
                <w:szCs w:val="20"/>
                <w:color w:val="auto"/>
              </w:rPr>
            </w:pPr>
            <w:r>
              <w:rPr>
                <w:rFonts w:ascii="Arial" w:cs="Arial" w:eastAsia="Arial" w:hAnsi="Arial"/>
                <w:sz w:val="18"/>
                <w:szCs w:val="18"/>
                <w:color w:val="auto"/>
              </w:rPr>
              <w:t>Trust common stock</w:t>
            </w:r>
          </w:p>
        </w:tc>
        <w:tc>
          <w:tcPr>
            <w:tcW w:w="1540" w:type="dxa"/>
            <w:vAlign w:val="bottom"/>
          </w:tcPr>
          <w:p>
            <w:pPr>
              <w:jc w:val="center"/>
              <w:ind w:right="35"/>
              <w:spacing w:after="0"/>
              <w:rPr>
                <w:sz w:val="20"/>
                <w:szCs w:val="20"/>
                <w:color w:val="auto"/>
              </w:rPr>
            </w:pPr>
            <w:r>
              <w:rPr>
                <w:rFonts w:ascii="Arial" w:cs="Arial" w:eastAsia="Arial" w:hAnsi="Arial"/>
                <w:sz w:val="18"/>
                <w:szCs w:val="18"/>
                <w:color w:val="auto"/>
                <w:w w:val="84"/>
              </w:rPr>
              <w:t>$217</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$464</w:t>
            </w:r>
          </w:p>
        </w:tc>
        <w:tc>
          <w:tcPr>
            <w:tcW w:w="1580" w:type="dxa"/>
            <w:vAlign w:val="bottom"/>
          </w:tcPr>
          <w:p>
            <w:pPr>
              <w:jc w:val="center"/>
              <w:ind w:left="16"/>
              <w:spacing w:after="0"/>
              <w:rPr>
                <w:sz w:val="20"/>
                <w:szCs w:val="20"/>
                <w:color w:val="auto"/>
              </w:rPr>
            </w:pPr>
            <w:r>
              <w:rPr>
                <w:rFonts w:ascii="Arial" w:cs="Arial" w:eastAsia="Arial" w:hAnsi="Arial"/>
                <w:sz w:val="18"/>
                <w:szCs w:val="18"/>
                <w:color w:val="auto"/>
                <w:w w:val="89"/>
              </w:rPr>
              <w:t>$619</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$1,670</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$928</w:t>
            </w:r>
          </w:p>
        </w:tc>
        <w:tc>
          <w:tcPr>
            <w:tcW w:w="0" w:type="dxa"/>
            <w:vAlign w:val="bottom"/>
          </w:tcPr>
          <w:p>
            <w:pPr>
              <w:spacing w:after="0"/>
              <w:rPr>
                <w:sz w:val="1"/>
                <w:szCs w:val="1"/>
                <w:color w:val="auto"/>
              </w:rPr>
            </w:pPr>
          </w:p>
        </w:tc>
      </w:tr>
      <w:tr>
        <w:trPr>
          <w:trHeight w:val="174"/>
        </w:trPr>
        <w:tc>
          <w:tcPr>
            <w:tcW w:w="36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Interest rate, per annum</w:t>
            </w:r>
          </w:p>
        </w:tc>
        <w:tc>
          <w:tcPr>
            <w:tcW w:w="1540" w:type="dxa"/>
            <w:vAlign w:val="bottom"/>
            <w:vMerge w:val="restart"/>
            <w:shd w:val="clear" w:color="auto" w:fill="CCEEFF"/>
          </w:tcPr>
          <w:p>
            <w:pPr>
              <w:jc w:val="center"/>
              <w:ind w:right="35"/>
              <w:spacing w:after="0"/>
              <w:rPr>
                <w:sz w:val="20"/>
                <w:szCs w:val="20"/>
                <w:color w:val="auto"/>
              </w:rPr>
            </w:pPr>
            <w:r>
              <w:rPr>
                <w:rFonts w:ascii="Arial" w:cs="Arial" w:eastAsia="Arial" w:hAnsi="Arial"/>
                <w:sz w:val="18"/>
                <w:szCs w:val="18"/>
                <w:color w:val="auto"/>
                <w:w w:val="91"/>
              </w:rPr>
              <w:t>Three-Month</w:t>
            </w:r>
          </w:p>
        </w:tc>
        <w:tc>
          <w:tcPr>
            <w:tcW w:w="1380" w:type="dxa"/>
            <w:vAlign w:val="bottom"/>
            <w:shd w:val="clear" w:color="auto" w:fill="CCEEFF"/>
          </w:tcPr>
          <w:p>
            <w:pPr>
              <w:jc w:val="center"/>
              <w:spacing w:after="0" w:line="175" w:lineRule="exact"/>
              <w:rPr>
                <w:sz w:val="20"/>
                <w:szCs w:val="20"/>
                <w:color w:val="auto"/>
              </w:rPr>
            </w:pPr>
            <w:r>
              <w:rPr>
                <w:rFonts w:ascii="Arial" w:cs="Arial" w:eastAsia="Arial" w:hAnsi="Arial"/>
                <w:sz w:val="18"/>
                <w:szCs w:val="18"/>
                <w:color w:val="auto"/>
                <w:w w:val="91"/>
              </w:rPr>
              <w:t>Three-Month</w:t>
            </w:r>
          </w:p>
        </w:tc>
        <w:tc>
          <w:tcPr>
            <w:tcW w:w="1580" w:type="dxa"/>
            <w:vAlign w:val="bottom"/>
            <w:vMerge w:val="restart"/>
            <w:shd w:val="clear" w:color="auto" w:fill="CCEEFF"/>
          </w:tcPr>
          <w:p>
            <w:pPr>
              <w:jc w:val="center"/>
              <w:ind w:left="36"/>
              <w:spacing w:after="0"/>
              <w:rPr>
                <w:sz w:val="20"/>
                <w:szCs w:val="20"/>
                <w:color w:val="auto"/>
              </w:rPr>
            </w:pPr>
            <w:r>
              <w:rPr>
                <w:rFonts w:ascii="Arial" w:cs="Arial" w:eastAsia="Arial" w:hAnsi="Arial"/>
                <w:sz w:val="18"/>
                <w:szCs w:val="18"/>
                <w:color w:val="auto"/>
                <w:w w:val="91"/>
              </w:rPr>
              <w:t>Three-Month</w:t>
            </w:r>
          </w:p>
        </w:tc>
        <w:tc>
          <w:tcPr>
            <w:tcW w:w="15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Three-Month</w:t>
            </w:r>
          </w:p>
        </w:tc>
        <w:tc>
          <w:tcPr>
            <w:tcW w:w="14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Three-Month</w:t>
            </w:r>
          </w:p>
        </w:tc>
        <w:tc>
          <w:tcPr>
            <w:tcW w:w="0" w:type="dxa"/>
            <w:vAlign w:val="bottom"/>
          </w:tcPr>
          <w:p>
            <w:pPr>
              <w:spacing w:after="0"/>
              <w:rPr>
                <w:sz w:val="1"/>
                <w:szCs w:val="1"/>
                <w:color w:val="auto"/>
              </w:rPr>
            </w:pPr>
          </w:p>
        </w:tc>
      </w:tr>
      <w:tr>
        <w:trPr>
          <w:trHeight w:val="173"/>
        </w:trPr>
        <w:tc>
          <w:tcPr>
            <w:tcW w:w="3680" w:type="dxa"/>
            <w:vAlign w:val="bottom"/>
            <w:shd w:val="clear" w:color="auto" w:fill="CCEEFF"/>
          </w:tcPr>
          <w:p>
            <w:pPr>
              <w:spacing w:after="0"/>
              <w:rPr>
                <w:sz w:val="15"/>
                <w:szCs w:val="15"/>
                <w:color w:val="auto"/>
              </w:rPr>
            </w:pPr>
          </w:p>
        </w:tc>
        <w:tc>
          <w:tcPr>
            <w:tcW w:w="1540" w:type="dxa"/>
            <w:vAlign w:val="bottom"/>
            <w:vMerge w:val="continue"/>
            <w:shd w:val="clear" w:color="auto" w:fill="CCEEFF"/>
          </w:tcPr>
          <w:p>
            <w:pPr>
              <w:spacing w:after="0"/>
              <w:rPr>
                <w:sz w:val="15"/>
                <w:szCs w:val="15"/>
                <w:color w:val="auto"/>
              </w:rPr>
            </w:pPr>
          </w:p>
        </w:tc>
        <w:tc>
          <w:tcPr>
            <w:tcW w:w="1380" w:type="dxa"/>
            <w:vAlign w:val="bottom"/>
            <w:shd w:val="clear" w:color="auto" w:fill="CCEEFF"/>
          </w:tcPr>
          <w:p>
            <w:pPr>
              <w:jc w:val="center"/>
              <w:spacing w:after="0" w:line="173" w:lineRule="exact"/>
              <w:rPr>
                <w:sz w:val="20"/>
                <w:szCs w:val="20"/>
                <w:color w:val="auto"/>
              </w:rPr>
            </w:pPr>
            <w:r>
              <w:rPr>
                <w:rFonts w:ascii="Arial" w:cs="Arial" w:eastAsia="Arial" w:hAnsi="Arial"/>
                <w:sz w:val="18"/>
                <w:szCs w:val="18"/>
                <w:color w:val="auto"/>
                <w:w w:val="95"/>
              </w:rPr>
              <w:t>LIBOR plus</w:t>
            </w:r>
          </w:p>
        </w:tc>
        <w:tc>
          <w:tcPr>
            <w:tcW w:w="1580" w:type="dxa"/>
            <w:vAlign w:val="bottom"/>
            <w:vMerge w:val="continue"/>
            <w:shd w:val="clear" w:color="auto" w:fill="CCEEFF"/>
          </w:tcPr>
          <w:p>
            <w:pPr>
              <w:spacing w:after="0"/>
              <w:rPr>
                <w:sz w:val="15"/>
                <w:szCs w:val="15"/>
                <w:color w:val="auto"/>
              </w:rPr>
            </w:pPr>
          </w:p>
        </w:tc>
        <w:tc>
          <w:tcPr>
            <w:tcW w:w="1580" w:type="dxa"/>
            <w:vAlign w:val="bottom"/>
            <w:vMerge w:val="continue"/>
            <w:shd w:val="clear" w:color="auto" w:fill="CCEEFF"/>
          </w:tcPr>
          <w:p>
            <w:pPr>
              <w:spacing w:after="0"/>
              <w:rPr>
                <w:sz w:val="15"/>
                <w:szCs w:val="15"/>
                <w:color w:val="auto"/>
              </w:rPr>
            </w:pPr>
          </w:p>
        </w:tc>
        <w:tc>
          <w:tcPr>
            <w:tcW w:w="14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55"/>
              <w:spacing w:after="0"/>
              <w:rPr>
                <w:sz w:val="20"/>
                <w:szCs w:val="20"/>
                <w:color w:val="auto"/>
              </w:rPr>
            </w:pPr>
            <w:r>
              <w:rPr>
                <w:rFonts w:ascii="Arial" w:cs="Arial" w:eastAsia="Arial" w:hAnsi="Arial"/>
                <w:sz w:val="18"/>
                <w:szCs w:val="18"/>
                <w:color w:val="auto"/>
                <w:w w:val="92"/>
              </w:rPr>
              <w:t>LIBOR plus 4.0%</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5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92"/>
              </w:rPr>
              <w:t>LIBOR plus 3.0%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LIBOR plus 3.1%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LIBOR plus 4.0%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of the junior subordinated debt is currently redeemable at 100.0% of the unpaid principal amount at our option.</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junior subordinated debt contains certain covenants with which we are in compliance as of September 30, 2021.</w:t>
      </w:r>
    </w:p>
    <w:p>
      <w:pPr>
        <w:spacing w:after="0" w:line="112"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At September 30, 2021 and December 31, 2020, the Company's leverage ratio was 28.5% and 30.4%, respectively. The leverage ratio is defined in our senior credit agreements as the ratio of adjusted consolidated debt to total capital. Adjusted consolidated debt treats trust preferred securities as equity capital up to 15% of total capital. Total capital is defined as total debt plus tangible equity excluding accumulated other comprehensive income. The maximum leverage ratio permitted by the agreements is 35.0%. Having debt as part of our capital structure allows us to generate a higher return on equity and greater book value per share results than we could by using equity capital alone.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Ceded Reinsurance</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quota share reinsurance, the reinsurer agrees to assume a specified percentage of the ceding company’s losses arising out of a defined class of business in exchange for a corresponding percentage of premiums. For the three months ended September 30, 2021 and 2020, our net premium retention was 45.6% and 46.5%, respectively (47.9% and 49.7% for the nine month periods, respectively.</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Excess and Surplus Lines segment’s net retention after reinsurance as of September 30,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2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656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Company Retention</w:t>
            </w:r>
          </w:p>
        </w:tc>
        <w:tc>
          <w:tcPr>
            <w:tcW w:w="0" w:type="dxa"/>
            <w:vAlign w:val="bottom"/>
          </w:tcPr>
          <w:p>
            <w:pPr>
              <w:spacing w:after="0"/>
              <w:rPr>
                <w:sz w:val="1"/>
                <w:szCs w:val="1"/>
                <w:color w:val="auto"/>
              </w:rPr>
            </w:pPr>
          </w:p>
        </w:tc>
      </w:tr>
      <w:tr>
        <w:trPr>
          <w:trHeight w:val="224"/>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Casualty</w:t>
            </w:r>
          </w:p>
        </w:tc>
        <w:tc>
          <w:tcPr>
            <w:tcW w:w="6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640" w:type="dxa"/>
            <w:vAlign w:val="bottom"/>
            <w:gridSpan w:val="2"/>
            <w:shd w:val="clear" w:color="auto" w:fill="CCEEFF"/>
          </w:tcPr>
          <w:p>
            <w:pPr>
              <w:ind w:left="260"/>
              <w:spacing w:after="0" w:line="175" w:lineRule="exact"/>
              <w:rPr>
                <w:sz w:val="20"/>
                <w:szCs w:val="20"/>
                <w:color w:val="auto"/>
              </w:rPr>
            </w:pPr>
            <w:r>
              <w:rPr>
                <w:rFonts w:ascii="Arial" w:cs="Arial" w:eastAsia="Arial" w:hAnsi="Arial"/>
                <w:sz w:val="18"/>
                <w:szCs w:val="18"/>
                <w:color w:val="auto"/>
              </w:rPr>
              <w:t>Primary Specialty Casualty, including Professional</w:t>
            </w:r>
          </w:p>
        </w:tc>
        <w:tc>
          <w:tcPr>
            <w:tcW w:w="65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8"/>
              </w:rPr>
              <w:t xml:space="preserve">Up to $1.0 million per occurrence, subject to a $1.0 million aggregate deductible. </w:t>
            </w:r>
            <w:r>
              <w:rPr>
                <w:rFonts w:ascii="Arial" w:cs="Arial" w:eastAsia="Arial" w:hAnsi="Arial"/>
                <w:sz w:val="14"/>
                <w:szCs w:val="14"/>
                <w:i w:val="1"/>
                <w:iCs w:val="1"/>
                <w:color w:val="auto"/>
                <w:w w:val="98"/>
              </w:rPr>
              <w:t>(1)</w:t>
            </w:r>
          </w:p>
        </w:tc>
        <w:tc>
          <w:tcPr>
            <w:tcW w:w="0" w:type="dxa"/>
            <w:vAlign w:val="bottom"/>
          </w:tcPr>
          <w:p>
            <w:pPr>
              <w:spacing w:after="0"/>
              <w:rPr>
                <w:sz w:val="1"/>
                <w:szCs w:val="1"/>
                <w:color w:val="auto"/>
              </w:rPr>
            </w:pPr>
          </w:p>
        </w:tc>
      </w:tr>
      <w:tr>
        <w:trPr>
          <w:trHeight w:val="225"/>
        </w:trPr>
        <w:tc>
          <w:tcPr>
            <w:tcW w:w="4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Liability</w:t>
            </w:r>
          </w:p>
        </w:tc>
        <w:tc>
          <w:tcPr>
            <w:tcW w:w="6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gridSpan w:val="2"/>
          </w:tcPr>
          <w:p>
            <w:pPr>
              <w:ind w:left="260"/>
              <w:spacing w:after="0"/>
              <w:rPr>
                <w:sz w:val="20"/>
                <w:szCs w:val="20"/>
                <w:color w:val="auto"/>
              </w:rPr>
            </w:pPr>
            <w:r>
              <w:rPr>
                <w:rFonts w:ascii="Arial" w:cs="Arial" w:eastAsia="Arial" w:hAnsi="Arial"/>
                <w:sz w:val="18"/>
                <w:szCs w:val="18"/>
                <w:color w:val="auto"/>
              </w:rPr>
              <w:t>Primary Casualty</w:t>
            </w:r>
          </w:p>
        </w:tc>
        <w:tc>
          <w:tcPr>
            <w:tcW w:w="6560" w:type="dxa"/>
            <w:vAlign w:val="bottom"/>
          </w:tcPr>
          <w:p>
            <w:pPr>
              <w:ind w:left="20"/>
              <w:spacing w:after="0"/>
              <w:rPr>
                <w:sz w:val="20"/>
                <w:szCs w:val="20"/>
                <w:color w:val="auto"/>
              </w:rPr>
            </w:pPr>
            <w:r>
              <w:rPr>
                <w:rFonts w:ascii="Arial" w:cs="Arial" w:eastAsia="Arial" w:hAnsi="Arial"/>
                <w:sz w:val="18"/>
                <w:szCs w:val="18"/>
                <w:color w:val="auto"/>
              </w:rPr>
              <w:t xml:space="preserve">Up to $2.0 million per occurrence. </w:t>
            </w:r>
            <w:r>
              <w:rPr>
                <w:rFonts w:ascii="Arial" w:cs="Arial" w:eastAsia="Arial" w:hAnsi="Arial"/>
                <w:sz w:val="14"/>
                <w:szCs w:val="14"/>
                <w:i w:val="1"/>
                <w:iCs w:val="1"/>
                <w:color w:val="auto"/>
              </w:rPr>
              <w:t>(2)</w:t>
            </w:r>
          </w:p>
        </w:tc>
        <w:tc>
          <w:tcPr>
            <w:tcW w:w="0" w:type="dxa"/>
            <w:vAlign w:val="bottom"/>
          </w:tcPr>
          <w:p>
            <w:pPr>
              <w:spacing w:after="0"/>
              <w:rPr>
                <w:sz w:val="1"/>
                <w:szCs w:val="1"/>
                <w:color w:val="auto"/>
              </w:rPr>
            </w:pPr>
          </w:p>
        </w:tc>
      </w:tr>
      <w:tr>
        <w:trPr>
          <w:trHeight w:val="227"/>
        </w:trPr>
        <w:tc>
          <w:tcPr>
            <w:tcW w:w="4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Excess Casualty</w:t>
            </w: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Up to $1.0 million per occurrence. </w:t>
            </w:r>
            <w:r>
              <w:rPr>
                <w:rFonts w:ascii="Arial" w:cs="Arial" w:eastAsia="Arial" w:hAnsi="Arial"/>
                <w:sz w:val="14"/>
                <w:szCs w:val="14"/>
                <w:i w:val="1"/>
                <w:iCs w:val="1"/>
                <w:color w:val="auto"/>
              </w:rPr>
              <w:t>(3)</w:t>
            </w:r>
          </w:p>
        </w:tc>
        <w:tc>
          <w:tcPr>
            <w:tcW w:w="0" w:type="dxa"/>
            <w:vAlign w:val="bottom"/>
          </w:tcPr>
          <w:p>
            <w:pPr>
              <w:spacing w:after="0"/>
              <w:rPr>
                <w:sz w:val="1"/>
                <w:szCs w:val="1"/>
                <w:color w:val="auto"/>
              </w:rPr>
            </w:pPr>
          </w:p>
        </w:tc>
      </w:tr>
      <w:tr>
        <w:trPr>
          <w:trHeight w:val="225"/>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Property</w:t>
            </w:r>
          </w:p>
        </w:tc>
        <w:tc>
          <w:tcPr>
            <w:tcW w:w="6560" w:type="dxa"/>
            <w:vAlign w:val="bottom"/>
          </w:tcPr>
          <w:p>
            <w:pPr>
              <w:ind w:left="20"/>
              <w:spacing w:after="0"/>
              <w:rPr>
                <w:sz w:val="20"/>
                <w:szCs w:val="20"/>
                <w:color w:val="auto"/>
              </w:rPr>
            </w:pPr>
            <w:r>
              <w:rPr>
                <w:rFonts w:ascii="Arial" w:cs="Arial" w:eastAsia="Arial" w:hAnsi="Arial"/>
                <w:sz w:val="18"/>
                <w:szCs w:val="18"/>
                <w:color w:val="auto"/>
              </w:rPr>
              <w:t xml:space="preserve">Up to $5.0 million per event. </w:t>
            </w:r>
            <w:r>
              <w:rPr>
                <w:rFonts w:ascii="Arial" w:cs="Arial" w:eastAsia="Arial" w:hAnsi="Arial"/>
                <w:sz w:val="14"/>
                <w:szCs w:val="14"/>
                <w:i w:val="1"/>
                <w:iCs w:val="1"/>
                <w:color w:val="auto"/>
              </w:rPr>
              <w:t>(4)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hanging="314"/>
        <w:spacing w:after="0"/>
        <w:tabs>
          <w:tab w:leader="none" w:pos="3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Except for Life Sciences quota share carve out, which is up to $2.0 million per occurrence</w:t>
      </w:r>
    </w:p>
    <w:p>
      <w:pPr>
        <w:spacing w:after="0" w:line="58" w:lineRule="exact"/>
        <w:rPr>
          <w:rFonts w:ascii="Arial" w:cs="Arial" w:eastAsia="Arial" w:hAnsi="Arial"/>
          <w:sz w:val="18"/>
          <w:szCs w:val="18"/>
          <w:i w:val="1"/>
          <w:iCs w:val="1"/>
          <w:color w:val="auto"/>
        </w:rPr>
      </w:pPr>
    </w:p>
    <w:p>
      <w:pPr>
        <w:ind w:left="320" w:hanging="314"/>
        <w:spacing w:after="0"/>
        <w:tabs>
          <w:tab w:leader="none" w:pos="3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Total exposure to any one claim is generally $1.0 million.</w:t>
      </w:r>
    </w:p>
    <w:p>
      <w:pPr>
        <w:spacing w:after="0" w:line="58" w:lineRule="exact"/>
        <w:rPr>
          <w:rFonts w:ascii="Arial" w:cs="Arial" w:eastAsia="Arial" w:hAnsi="Arial"/>
          <w:sz w:val="18"/>
          <w:szCs w:val="18"/>
          <w:i w:val="1"/>
          <w:iCs w:val="1"/>
          <w:color w:val="auto"/>
        </w:rPr>
      </w:pPr>
    </w:p>
    <w:p>
      <w:pPr>
        <w:ind w:left="320" w:hanging="314"/>
        <w:spacing w:after="0"/>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For policies with an occurrence limit up to $10.0 million, the excess casualty treaty is set such that our retention is no more than $1.0 million.</w:t>
      </w:r>
    </w:p>
    <w:p>
      <w:pPr>
        <w:spacing w:after="0" w:line="70" w:lineRule="exact"/>
        <w:rPr>
          <w:rFonts w:ascii="Arial" w:cs="Arial" w:eastAsia="Arial" w:hAnsi="Arial"/>
          <w:sz w:val="17"/>
          <w:szCs w:val="17"/>
          <w:color w:val="auto"/>
        </w:rPr>
      </w:pPr>
    </w:p>
    <w:p>
      <w:pPr>
        <w:ind w:left="320" w:hanging="314"/>
        <w:spacing w:after="0"/>
        <w:tabs>
          <w:tab w:leader="none" w:pos="32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The property catastrophe reinsurance treaty has a limit of $40.0 million with one reinstatement.</w:t>
      </w:r>
    </w:p>
    <w:p>
      <w:pPr>
        <w:spacing w:after="0" w:line="112" w:lineRule="exact"/>
        <w:rPr>
          <w:sz w:val="20"/>
          <w:szCs w:val="20"/>
          <w:color w:val="auto"/>
        </w:rPr>
      </w:pPr>
    </w:p>
    <w:p>
      <w:pPr>
        <w:jc w:val="both"/>
        <w:ind w:firstLine="319"/>
        <w:spacing w:after="0" w:line="303" w:lineRule="auto"/>
        <w:rPr>
          <w:sz w:val="20"/>
          <w:szCs w:val="20"/>
          <w:color w:val="auto"/>
        </w:rPr>
      </w:pPr>
      <w:r>
        <w:rPr>
          <w:rFonts w:ascii="Arial" w:cs="Arial" w:eastAsia="Arial" w:hAnsi="Arial"/>
          <w:sz w:val="16"/>
          <w:szCs w:val="16"/>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48"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In our Excess and Surplus Lines segment, we write a small book of excess property insurance, but we do not write primary property insurance. The Excess and Surplus Lines segment has a surplus share reinsurance treaty in effect that was specifically designed to cover property risks. The surplus share treaty along with facultative reinsurance helps ensure that our net retained limit per risk will be $5.0 million or less.</w:t>
      </w:r>
    </w:p>
    <w:p>
      <w:pPr>
        <w:spacing w:after="0" w:line="6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Based upon the modeling of our Excess and Surplus Lines and Specialty Admitted segments, it would take an event beyond our 1 in 1000 year PML to exhaust our $45.0 million of property catastrophe reinsurance. In the event of a catastrophe loss exhausting our $45.0 million of property catastrophe reinsurance, we estimate our pre-tax cost at approximately $7.5 million, including reinstatement premiums and net retentions. In addition to this retention, we would retain any losses in excess of our reinsurance coverage limits.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On September 27, 2021, James River entered into a loss portfolio transfer transaction (the “LPT Transaction”) with Aleka to reinsure substantially all of</w:t>
      </w:r>
    </w:p>
    <w:p>
      <w:pPr>
        <w:spacing w:after="0" w:line="6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Excess and Surplus Lines segment’s legacy portfolio of commercial auto policies previously issued to Rasier for which James River is not otherwise indemnified by Rasier. Under the terms of the LPT Transaction, effective as of July 1, 2021, James River ceded to Aleka approximately $345.1 million of commercial auto liabilities relating to Rasier policies written in the years 2013-2019, which amount constituted the reinsurance premium. Aleka is required to post collateral equal to 102% of James River's estimate of Aleka's obligations under the reinsurance agreement, calculated in accordance with statutory accounting principles. The collateral is provided through a collateral trust arrangement (the “LPT Trust”) established in favor of James River by Aleka. The balance in the LPT Trust at September 30, 2021 is $309.6 million securing total reinsurance recoverables of $305.8 million (including $292.1 million of unpaid recoverables and $13.7 million of paid recoverables) associated with the LPT Transaction.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Specialty Admitted Insurance segment’s ceded reinsurance in place as of September 30,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auto"/>
              </w:rPr>
              <w:t>Line of Business</w:t>
            </w:r>
          </w:p>
        </w:tc>
        <w:tc>
          <w:tcPr>
            <w:tcW w:w="400" w:type="dxa"/>
            <w:vAlign w:val="bottom"/>
          </w:tcPr>
          <w:p>
            <w:pPr>
              <w:spacing w:after="0"/>
              <w:rPr>
                <w:sz w:val="16"/>
                <w:szCs w:val="16"/>
                <w:color w:val="auto"/>
              </w:rPr>
            </w:pPr>
          </w:p>
        </w:tc>
        <w:tc>
          <w:tcPr>
            <w:tcW w:w="7420" w:type="dxa"/>
            <w:vAlign w:val="bottom"/>
            <w:tcBorders>
              <w:bottom w:val="single" w:sz="8" w:color="auto"/>
            </w:tcBorders>
          </w:tcPr>
          <w:p>
            <w:pPr>
              <w:ind w:left="3420"/>
              <w:spacing w:after="0"/>
              <w:rPr>
                <w:sz w:val="20"/>
                <w:szCs w:val="20"/>
                <w:color w:val="auto"/>
              </w:rPr>
            </w:pPr>
            <w:r>
              <w:rPr>
                <w:rFonts w:ascii="Arial" w:cs="Arial" w:eastAsia="Arial" w:hAnsi="Arial"/>
                <w:sz w:val="14"/>
                <w:szCs w:val="14"/>
                <w:b w:val="1"/>
                <w:bCs w:val="1"/>
                <w:color w:val="auto"/>
              </w:rPr>
              <w:t>Coverage</w:t>
            </w:r>
          </w:p>
        </w:tc>
      </w:tr>
      <w:tr>
        <w:trPr>
          <w:trHeight w:val="224"/>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Casualty</w:t>
            </w:r>
          </w:p>
        </w:tc>
        <w:tc>
          <w:tcPr>
            <w:tcW w:w="7420" w:type="dxa"/>
            <w:vAlign w:val="bottom"/>
          </w:tcPr>
          <w:p>
            <w:pPr>
              <w:spacing w:after="0"/>
              <w:rPr>
                <w:sz w:val="19"/>
                <w:szCs w:val="19"/>
                <w:color w:val="auto"/>
              </w:rPr>
            </w:pPr>
          </w:p>
        </w:tc>
      </w:tr>
      <w:tr>
        <w:trPr>
          <w:trHeight w:val="173"/>
        </w:trPr>
        <w:tc>
          <w:tcPr>
            <w:tcW w:w="3780" w:type="dxa"/>
            <w:vAlign w:val="bottom"/>
            <w:gridSpan w:val="2"/>
            <w:shd w:val="clear" w:color="auto" w:fill="CCEEFF"/>
          </w:tcPr>
          <w:p>
            <w:pPr>
              <w:ind w:left="180"/>
              <w:spacing w:after="0" w:line="174" w:lineRule="exact"/>
              <w:rPr>
                <w:sz w:val="20"/>
                <w:szCs w:val="20"/>
                <w:color w:val="auto"/>
              </w:rPr>
            </w:pPr>
            <w:r>
              <w:rPr>
                <w:rFonts w:ascii="Arial" w:cs="Arial" w:eastAsia="Arial" w:hAnsi="Arial"/>
                <w:sz w:val="18"/>
                <w:szCs w:val="18"/>
                <w:color w:val="auto"/>
              </w:rPr>
              <w:t>Workers’ Compensation</w:t>
            </w:r>
          </w:p>
        </w:tc>
        <w:tc>
          <w:tcPr>
            <w:tcW w:w="742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Quota share coverage for 70-85% of the first $1.0 million.</w:t>
            </w:r>
            <w:r>
              <w:rPr>
                <w:rFonts w:ascii="Arial" w:cs="Arial" w:eastAsia="Arial" w:hAnsi="Arial"/>
                <w:sz w:val="20"/>
                <w:szCs w:val="20"/>
                <w:color w:val="auto"/>
                <w:vertAlign w:val="superscript"/>
              </w:rPr>
              <w:t>(1)(2)</w:t>
            </w:r>
          </w:p>
        </w:tc>
      </w:tr>
      <w:tr>
        <w:trPr>
          <w:trHeight w:val="226"/>
        </w:trPr>
        <w:tc>
          <w:tcPr>
            <w:tcW w:w="3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2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Excess of loss coverage for $29.0 million in excess of $1.0 million.</w:t>
            </w:r>
            <w:r>
              <w:rPr>
                <w:rFonts w:ascii="Arial" w:cs="Arial" w:eastAsia="Arial" w:hAnsi="Arial"/>
                <w:sz w:val="23"/>
                <w:szCs w:val="23"/>
                <w:color w:val="auto"/>
                <w:vertAlign w:val="superscript"/>
              </w:rPr>
              <w:t>(1)(2)</w:t>
            </w:r>
          </w:p>
        </w:tc>
      </w:tr>
      <w:tr>
        <w:trPr>
          <w:trHeight w:val="174"/>
        </w:trPr>
        <w:tc>
          <w:tcPr>
            <w:tcW w:w="3780" w:type="dxa"/>
            <w:vAlign w:val="bottom"/>
            <w:gridSpan w:val="2"/>
          </w:tcPr>
          <w:p>
            <w:pPr>
              <w:ind w:left="180"/>
              <w:spacing w:after="0" w:line="174" w:lineRule="exact"/>
              <w:rPr>
                <w:sz w:val="20"/>
                <w:szCs w:val="20"/>
                <w:color w:val="auto"/>
              </w:rPr>
            </w:pPr>
            <w:r>
              <w:rPr>
                <w:rFonts w:ascii="Arial" w:cs="Arial" w:eastAsia="Arial" w:hAnsi="Arial"/>
                <w:sz w:val="18"/>
                <w:szCs w:val="18"/>
                <w:color w:val="auto"/>
              </w:rPr>
              <w:t>Auto Programs</w:t>
            </w:r>
          </w:p>
        </w:tc>
        <w:tc>
          <w:tcPr>
            <w:tcW w:w="7420" w:type="dxa"/>
            <w:vAlign w:val="bottom"/>
          </w:tcPr>
          <w:p>
            <w:pPr>
              <w:ind w:left="20"/>
              <w:spacing w:after="0" w:line="174" w:lineRule="exact"/>
              <w:rPr>
                <w:sz w:val="20"/>
                <w:szCs w:val="20"/>
                <w:color w:val="auto"/>
              </w:rPr>
            </w:pPr>
            <w:r>
              <w:rPr>
                <w:rFonts w:ascii="Arial" w:cs="Arial" w:eastAsia="Arial" w:hAnsi="Arial"/>
                <w:sz w:val="18"/>
                <w:szCs w:val="18"/>
                <w:color w:val="auto"/>
                <w:w w:val="91"/>
              </w:rPr>
              <w:t>Quota share coverage for 70-90% of limits up to $1.5 million liability and $5.0 million physical damage</w:t>
            </w:r>
          </w:p>
        </w:tc>
      </w:tr>
      <w:tr>
        <w:trPr>
          <w:trHeight w:val="225"/>
        </w:trPr>
        <w:tc>
          <w:tcPr>
            <w:tcW w:w="3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per occurrence.</w:t>
            </w:r>
          </w:p>
        </w:tc>
      </w:tr>
      <w:tr>
        <w:trPr>
          <w:trHeight w:val="174"/>
        </w:trPr>
        <w:tc>
          <w:tcPr>
            <w:tcW w:w="3780" w:type="dxa"/>
            <w:vAlign w:val="bottom"/>
            <w:gridSpan w:val="2"/>
            <w:shd w:val="clear" w:color="auto" w:fill="CCEEFF"/>
          </w:tcPr>
          <w:p>
            <w:pPr>
              <w:ind w:left="140"/>
              <w:spacing w:after="0" w:line="175" w:lineRule="exact"/>
              <w:rPr>
                <w:sz w:val="20"/>
                <w:szCs w:val="20"/>
                <w:color w:val="auto"/>
              </w:rPr>
            </w:pPr>
            <w:r>
              <w:rPr>
                <w:rFonts w:ascii="Arial" w:cs="Arial" w:eastAsia="Arial" w:hAnsi="Arial"/>
                <w:sz w:val="18"/>
                <w:szCs w:val="18"/>
                <w:color w:val="auto"/>
              </w:rPr>
              <w:t>General Liability &amp; Professional Liability –</w:t>
            </w:r>
          </w:p>
        </w:tc>
        <w:tc>
          <w:tcPr>
            <w:tcW w:w="74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Quota share coverage for 70% - 100% of limits up to $3.0 million per occurrence.</w:t>
            </w:r>
          </w:p>
        </w:tc>
      </w:tr>
      <w:tr>
        <w:trPr>
          <w:trHeight w:val="225"/>
        </w:trPr>
        <w:tc>
          <w:tcPr>
            <w:tcW w:w="3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Programs</w:t>
            </w:r>
          </w:p>
        </w:tc>
        <w:tc>
          <w:tcPr>
            <w:tcW w:w="7420" w:type="dxa"/>
            <w:vAlign w:val="bottom"/>
            <w:shd w:val="clear" w:color="auto" w:fill="CCEEFF"/>
          </w:tcPr>
          <w:p>
            <w:pPr>
              <w:spacing w:after="0"/>
              <w:rPr>
                <w:sz w:val="19"/>
                <w:szCs w:val="19"/>
                <w:color w:val="auto"/>
              </w:rPr>
            </w:pPr>
          </w:p>
        </w:tc>
      </w:tr>
      <w:tr>
        <w:trPr>
          <w:trHeight w:val="174"/>
        </w:trPr>
        <w:tc>
          <w:tcPr>
            <w:tcW w:w="3780" w:type="dxa"/>
            <w:vAlign w:val="bottom"/>
            <w:gridSpan w:val="2"/>
          </w:tcPr>
          <w:p>
            <w:pPr>
              <w:ind w:left="140"/>
              <w:spacing w:after="0" w:line="174" w:lineRule="exact"/>
              <w:rPr>
                <w:sz w:val="20"/>
                <w:szCs w:val="20"/>
                <w:color w:val="auto"/>
              </w:rPr>
            </w:pPr>
            <w:r>
              <w:rPr>
                <w:rFonts w:ascii="Arial" w:cs="Arial" w:eastAsia="Arial" w:hAnsi="Arial"/>
                <w:sz w:val="18"/>
                <w:szCs w:val="18"/>
                <w:color w:val="auto"/>
              </w:rPr>
              <w:t>Umbrella and Excess Casualty - Programs</w:t>
            </w:r>
          </w:p>
        </w:tc>
        <w:tc>
          <w:tcPr>
            <w:tcW w:w="7420" w:type="dxa"/>
            <w:vAlign w:val="bottom"/>
          </w:tcPr>
          <w:p>
            <w:pPr>
              <w:ind w:left="20"/>
              <w:spacing w:after="0" w:line="174" w:lineRule="exact"/>
              <w:rPr>
                <w:sz w:val="20"/>
                <w:szCs w:val="20"/>
                <w:color w:val="auto"/>
              </w:rPr>
            </w:pPr>
            <w:r>
              <w:rPr>
                <w:rFonts w:ascii="Arial" w:cs="Arial" w:eastAsia="Arial" w:hAnsi="Arial"/>
                <w:sz w:val="18"/>
                <w:szCs w:val="18"/>
                <w:color w:val="auto"/>
                <w:w w:val="92"/>
              </w:rPr>
              <w:t>Quota share coverage for 95%-100% of limits up to $10.0 million per occurrence, and excess of loss</w:t>
            </w:r>
          </w:p>
        </w:tc>
      </w:tr>
      <w:tr>
        <w:trPr>
          <w:trHeight w:val="225"/>
        </w:trPr>
        <w:tc>
          <w:tcPr>
            <w:tcW w:w="3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coverage for $5.0 million in excess of $10.0 million.</w:t>
            </w:r>
          </w:p>
        </w:tc>
      </w:tr>
      <w:tr>
        <w:trPr>
          <w:trHeight w:val="227"/>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w:t>
            </w:r>
          </w:p>
        </w:tc>
        <w:tc>
          <w:tcPr>
            <w:tcW w:w="7420" w:type="dxa"/>
            <w:vAlign w:val="bottom"/>
            <w:shd w:val="clear" w:color="auto" w:fill="CCEEFF"/>
          </w:tcPr>
          <w:p>
            <w:pPr>
              <w:spacing w:after="0"/>
              <w:rPr>
                <w:sz w:val="19"/>
                <w:szCs w:val="19"/>
                <w:color w:val="auto"/>
              </w:rPr>
            </w:pPr>
          </w:p>
        </w:tc>
      </w:tr>
      <w:tr>
        <w:trPr>
          <w:trHeight w:val="225"/>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Property within Package - Programs</w:t>
            </w:r>
          </w:p>
        </w:tc>
        <w:tc>
          <w:tcPr>
            <w:tcW w:w="7420" w:type="dxa"/>
            <w:vAlign w:val="bottom"/>
          </w:tcPr>
          <w:p>
            <w:pPr>
              <w:ind w:left="20"/>
              <w:spacing w:after="0"/>
              <w:rPr>
                <w:sz w:val="20"/>
                <w:szCs w:val="20"/>
                <w:color w:val="auto"/>
              </w:rPr>
            </w:pPr>
            <w:r>
              <w:rPr>
                <w:rFonts w:ascii="Arial" w:cs="Arial" w:eastAsia="Arial" w:hAnsi="Arial"/>
                <w:sz w:val="18"/>
                <w:szCs w:val="18"/>
                <w:color w:val="auto"/>
              </w:rPr>
              <w:t>Quota share coverage for 100% of limits up to $40.0 million per occurrence.</w:t>
            </w:r>
          </w:p>
        </w:tc>
      </w:tr>
      <w:tr>
        <w:trPr>
          <w:trHeight w:val="227"/>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Excess Property</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Quota share coverage for 100% of limits up to $16.9 million.</w:t>
            </w:r>
          </w:p>
        </w:tc>
      </w:tr>
      <w:tr>
        <w:trPr>
          <w:trHeight w:val="225"/>
        </w:trPr>
        <w:tc>
          <w:tcPr>
            <w:tcW w:w="3780" w:type="dxa"/>
            <w:vAlign w:val="bottom"/>
            <w:gridSpan w:val="2"/>
          </w:tcPr>
          <w:p>
            <w:pPr>
              <w:ind w:left="180"/>
              <w:spacing w:after="0"/>
              <w:rPr>
                <w:sz w:val="20"/>
                <w:szCs w:val="20"/>
                <w:color w:val="auto"/>
              </w:rPr>
            </w:pPr>
            <w:r>
              <w:rPr>
                <w:rFonts w:ascii="Arial" w:cs="Arial" w:eastAsia="Arial" w:hAnsi="Arial"/>
                <w:sz w:val="18"/>
                <w:szCs w:val="18"/>
                <w:color w:val="auto"/>
              </w:rPr>
              <w:t>Catastrophe Coverage</w:t>
            </w:r>
          </w:p>
        </w:tc>
        <w:tc>
          <w:tcPr>
            <w:tcW w:w="7420" w:type="dxa"/>
            <w:vAlign w:val="bottom"/>
          </w:tcPr>
          <w:p>
            <w:pPr>
              <w:ind w:left="20"/>
              <w:spacing w:after="0"/>
              <w:rPr>
                <w:sz w:val="20"/>
                <w:szCs w:val="20"/>
                <w:color w:val="auto"/>
              </w:rPr>
            </w:pPr>
            <w:r>
              <w:rPr>
                <w:rFonts w:ascii="Arial" w:cs="Arial" w:eastAsia="Arial" w:hAnsi="Arial"/>
                <w:sz w:val="18"/>
                <w:szCs w:val="18"/>
                <w:color w:val="auto"/>
              </w:rPr>
              <w:t>Excess of Loss coverage for $44.0 million in excess of $1.0 million per occurrence.</w:t>
            </w:r>
          </w:p>
        </w:tc>
      </w:tr>
      <w:tr>
        <w:trPr>
          <w:trHeight w:val="214"/>
        </w:trPr>
        <w:tc>
          <w:tcPr>
            <w:tcW w:w="3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Aviation Programs</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Quota share coverage for 80% of limits up to $20 million liability and $2.5 million hull per occurrence,</w:t>
            </w:r>
          </w:p>
        </w:tc>
      </w:tr>
      <w:tr>
        <w:trPr>
          <w:trHeight w:val="199"/>
        </w:trPr>
        <w:tc>
          <w:tcPr>
            <w:tcW w:w="3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2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each aircraft; and excess of loss coverage for up to $7.3M excess of $200 thousand of our 20% share of</w:t>
            </w:r>
          </w:p>
        </w:tc>
      </w:tr>
      <w:tr>
        <w:trPr>
          <w:trHeight w:val="238"/>
        </w:trPr>
        <w:tc>
          <w:tcPr>
            <w:tcW w:w="3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quota share each occurrence.</w:t>
            </w:r>
          </w:p>
        </w:tc>
      </w:tr>
    </w:tbl>
    <w:p>
      <w:pPr>
        <w:spacing w:after="0" w:line="187" w:lineRule="exact"/>
        <w:rPr>
          <w:sz w:val="20"/>
          <w:szCs w:val="20"/>
          <w:color w:val="auto"/>
        </w:rPr>
      </w:pPr>
    </w:p>
    <w:p>
      <w:pPr>
        <w:ind w:left="320" w:hanging="314"/>
        <w:spacing w:after="0" w:line="266" w:lineRule="auto"/>
        <w:tabs>
          <w:tab w:leader="none" w:pos="392"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Excluding one program which has quota share coverage for 84.5% of the first $1.0 million per occurrence and excess of loss coverage for $49.0 million in excess of $1.0 million per occurrence.</w:t>
      </w:r>
    </w:p>
    <w:p>
      <w:pPr>
        <w:spacing w:after="0" w:line="19" w:lineRule="exact"/>
        <w:rPr>
          <w:rFonts w:ascii="Arial" w:cs="Arial" w:eastAsia="Arial" w:hAnsi="Arial"/>
          <w:sz w:val="18"/>
          <w:szCs w:val="18"/>
          <w:i w:val="1"/>
          <w:iCs w:val="1"/>
          <w:color w:val="auto"/>
        </w:rPr>
      </w:pPr>
    </w:p>
    <w:p>
      <w:pPr>
        <w:ind w:left="400" w:hanging="394"/>
        <w:spacing w:after="0"/>
        <w:tabs>
          <w:tab w:leader="none" w:pos="40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any residual market pools.</w:t>
      </w:r>
    </w:p>
    <w:p>
      <w:pPr>
        <w:spacing w:after="0" w:line="11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Our Specialty Admitted Insurance segment purchases reinsurance for at least 50% of the exposed limits on specialty admitted property-casualty business. The segment enters into reinsurance contracts for the individual risk workers’ compensation business as well as fronting and program business. While the segment focuses on casualty business, incidental property risk is incurred in the fronting and program business. The segment is covered for $44.0 million in excess of $1.0 million per occurrence to manage its property exposure to an approximate 1 in 1,000 year PML.</w:t>
      </w:r>
    </w:p>
    <w:p>
      <w:pPr>
        <w:spacing w:after="0" w:line="71"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In our Casualty Reinsurance segment, we also have limited property catastrophe exposure, primarily through auto physical damage coverage. In the aggregate, we believe our pre-tax group-wide PML from a 1 in 1,000 year property catastrophe event would not exceed $16.0 million, inclusive of reinstatement premiums payable.</w:t>
      </w:r>
    </w:p>
    <w:p>
      <w:pPr>
        <w:spacing w:after="0" w:line="8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also have a clash and contingency reinsurance treaty to cover both the Excess and Surplus Lines and Specialty Admitted Insurance segments in the event of a claims incident involving more than one of our insureds. The treaty covers $10.0 million in excess of a $2.0 million retention for loss occurrences within the treaty term. This coverage has two reinstatements in the event we exhaust any of the coverage. As of September 30, 2021, our average net retained limit per risk is $2.5 million.</w:t>
      </w:r>
    </w:p>
    <w:p>
      <w:pPr>
        <w:spacing w:after="0" w:line="8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Effective January 1, 2020, we purchased an additional $10.0 million in claims made coverage for excess policy limits and extra contractual obligations exposures above the clash and contingency treaty for the period 2014 to present. This treaty has one reinstatement.</w:t>
      </w:r>
    </w:p>
    <w:p>
      <w:pPr>
        <w:spacing w:after="0" w:line="73"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September 30, 2021, the allowance for credit losses on reinsurance recoverables was $515,000.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customarily require a collateral trust arrangement to secure the obligations of the insurance entity for whom we are fronting.</w:t>
      </w:r>
    </w:p>
    <w:p>
      <w:pPr>
        <w:spacing w:after="0" w:line="7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At September 30, 2021, we had reinsurance recoverables on unpaid losses of $1,348.9 million and reinsurance recoverables on paid losses of $82.1 million, and all material recoverable amounts were from companies with A.M. Best ratings of “A-” 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ind w:right="920"/>
        <w:spacing w:after="0" w:line="370" w:lineRule="auto"/>
        <w:rPr>
          <w:sz w:val="20"/>
          <w:szCs w:val="20"/>
          <w:color w:val="auto"/>
        </w:rPr>
      </w:pPr>
      <w:r>
        <w:rPr>
          <w:rFonts w:ascii="Arial" w:cs="Arial" w:eastAsia="Arial" w:hAnsi="Arial"/>
          <w:sz w:val="18"/>
          <w:szCs w:val="18"/>
          <w:color w:val="auto"/>
        </w:rPr>
        <w:t xml:space="preserve">better, collateral had been posted by the reinsurer for our benefit, or represent recoverables from a state residual market for automobile insurance. </w:t>
      </w:r>
      <w:r>
        <w:rPr>
          <w:rFonts w:ascii="Arial" w:cs="Arial" w:eastAsia="Arial" w:hAnsi="Arial"/>
          <w:sz w:val="18"/>
          <w:szCs w:val="18"/>
          <w:b w:val="1"/>
          <w:bCs w:val="1"/>
          <w:i w:val="1"/>
          <w:iCs w:val="1"/>
          <w:color w:val="auto"/>
        </w:rPr>
        <w:t>Amounts Recoverable from an Indemnifying Party</w:t>
      </w:r>
    </w:p>
    <w:p>
      <w:pPr>
        <w:jc w:val="both"/>
        <w:ind w:firstLine="319"/>
        <w:spacing w:after="0" w:line="284" w:lineRule="auto"/>
        <w:rPr>
          <w:sz w:val="20"/>
          <w:szCs w:val="20"/>
          <w:color w:val="auto"/>
        </w:rPr>
      </w:pPr>
      <w:r>
        <w:rPr>
          <w:rFonts w:ascii="Arial" w:cs="Arial" w:eastAsia="Arial" w:hAnsi="Arial"/>
          <w:sz w:val="16"/>
          <w:szCs w:val="16"/>
          <w:color w:val="auto"/>
        </w:rPr>
        <w:t>James River previously issued a set of insurance contracts to Rasier under which James River pays losses and loss adjustment expenses on the contracts. James River has indemnity agreements with Rasier (non-insurance entities) and is contractually entitled to reimbursement for a significant portion of the losses and loss adjustment expenses paid on behalf of Rasier and other expenses incurred by James River. Rasier is required to collateralize amounts currently due to James River and to provide additional collateral sufficient to cover the amounts that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conjunction with the LPT Transaction described above, James River returned $691.3 million to the Indemnity Trust, representing the remaining balance of the amount withdrawn in October 2019, as permitted under the indemnification agreements with Rasier and the associated trust agreement.</w:t>
      </w:r>
    </w:p>
    <w:p>
      <w:pPr>
        <w:spacing w:after="0" w:line="106"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As part of the LPT Transaction, James River and Aleka entered into an administrative services agreement with a third party claims administrator pursuant to which the administrator will handle the claims on the Rasier commercial auto policies for the remaining life of those claims following a transition period. The claims paid by the claims manager are reimbursable by James River, and pursuant to the terms of the administrative services agreement James River established a loss fund trust account for the benefit of the claims manager (the “Loss Fund Trust”) to collateralize its claims payment reimbursement</w:t>
      </w:r>
    </w:p>
    <w:p>
      <w:pPr>
        <w:spacing w:after="0" w:line="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obligations. James River will fund the Loss Fund Trust using funds withdrawn from the Indemnity Trust, funds withdrawn from the LPT Trust, and its own funds, in each case in an amount equal to the pro rata portion of the required Loss Fund Trust balance attributable to the Rasier indemnity agreements, the LPT Transaction and James River’s existing third party reinsurance agreements, respectively. At September 30, 2021, in accordance with the administrative</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services agreement, the Company posted $10.0 million as collateral for the claims paid by the administrator, including $6.8 million of which represents collateral supporting Rasier’s obligations under the indemnity agreements and $2.8 million of which represents collateral supporting Aleka’s obligations under the under the LPT Transaction. The $10.0 million collateral is classified as restricted cash equivalents on the Company's balance sheet at September 30, 2021.</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2"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Our sources of funds consist primarily of premiums written, investment income, reinsurance recoveries, proceeds from sales and redemptions of investments, borrowings on our credit facilities, and the issuance of common shares. We use operating cash flows primarily to pay operating expenses, losses and loss adjustment expenses, reinsurance premiums, and income taxes. The following table summarizes our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84"/>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177"/>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40" w:type="dxa"/>
            <w:vAlign w:val="bottom"/>
          </w:tcPr>
          <w:p>
            <w:pPr>
              <w:spacing w:after="0"/>
              <w:rPr>
                <w:sz w:val="15"/>
                <w:szCs w:val="15"/>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equivalents (used in) provided by: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5"/>
        </w:trPr>
        <w:tc>
          <w:tcPr>
            <w:tcW w:w="844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(1,061,314)</w:t>
            </w:r>
          </w:p>
        </w:tc>
        <w:tc>
          <w:tcPr>
            <w:tcW w:w="120" w:type="dxa"/>
            <w:vAlign w:val="bottom"/>
          </w:tcPr>
          <w:p>
            <w:pPr>
              <w:spacing w:after="0"/>
              <w:rPr>
                <w:sz w:val="19"/>
                <w:szCs w:val="19"/>
                <w:color w:val="auto"/>
              </w:rPr>
            </w:pPr>
          </w:p>
        </w:tc>
        <w:tc>
          <w:tcPr>
            <w:tcW w:w="460" w:type="dxa"/>
            <w:vAlign w:val="bottom"/>
          </w:tcPr>
          <w:p>
            <w:pPr>
              <w:jc w:val="right"/>
              <w:ind w:right="27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(222,060)</w:t>
            </w:r>
          </w:p>
        </w:tc>
      </w:tr>
      <w:tr>
        <w:trPr>
          <w:trHeight w:val="227"/>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(135,331)</w:t>
            </w:r>
          </w:p>
        </w:tc>
      </w:tr>
      <w:tr>
        <w:trPr>
          <w:trHeight w:val="22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157,926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31,505</w:t>
            </w:r>
          </w:p>
        </w:tc>
      </w:tr>
      <w:tr>
        <w:trPr>
          <w:trHeight w:val="24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cash, cash equivalents, and restricted cash equivalents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(791,629)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(325,886)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 xml:space="preserve">Cash used in operating activities for the nine months ended September 30, 2021 and 2020, respectively, primarily reflects $849.9 million and $258.9 million of restricted cash equivalents returned to a former insured per the terms of a collateral trust (see </w:t>
      </w:r>
      <w:r>
        <w:rPr>
          <w:rFonts w:ascii="Arial" w:cs="Arial" w:eastAsia="Arial" w:hAnsi="Arial"/>
          <w:sz w:val="17"/>
          <w:szCs w:val="17"/>
          <w:i w:val="1"/>
          <w:iCs w:val="1"/>
          <w:color w:val="auto"/>
        </w:rPr>
        <w:t>Amounts Recoverable from an Indemnifying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Party </w:t>
      </w:r>
      <w:r>
        <w:rPr>
          <w:rFonts w:ascii="Arial" w:cs="Arial" w:eastAsia="Arial" w:hAnsi="Arial"/>
          <w:sz w:val="17"/>
          <w:szCs w:val="17"/>
          <w:color w:val="auto"/>
        </w:rPr>
        <w:t>above). Excluding the reduction in the collateral funds, cash (used in) provided by operating activities was $(211.4) million and $36.9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2021 and 2020, respectively. Cash used in operating activities excluding restricted cash equivalents for the nine months ended September 30, 2021 primarily reflects the outflow of funds to effect the LPT Transaction in the third quarter. Cash provided by operating activities excluding restricted cash equivalents for the nine months ended September 30, 2020 reflects growth in our U.S. segments and the collection of premiums receivable at a quicker rate than payments of loss and loss adjustment expenses.</w:t>
      </w:r>
    </w:p>
    <w:p>
      <w:pPr>
        <w:spacing w:after="0" w:line="7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Cash provided by investing activities for the nine months ended September 30, 2021 reflects the investments sold/funds withdrawn from our investment portfolio to effect the LPT Transaction in the third quarter. Cash used in investing activities for the nine months ended September 30, 2020 reflects our efforts to enhance the yield in our investment portfolio by investing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available cash and cash equivalents into higher yielding investments. Cash and cash equivalents (excluding restricted cash equivalents) comprised 9.7% and 6.1% of total cash and invested assets at September 30, 2021 and 2020, respectively.</w:t>
      </w:r>
    </w:p>
    <w:p>
      <w:pPr>
        <w:spacing w:after="0" w:line="73"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8"/>
          <w:szCs w:val="18"/>
          <w:color w:val="auto"/>
        </w:rPr>
        <w:t>Cash provided by financing activities for the nine months ended September 30, 2021 and 2020 included $32.0 million and $27.8 million of dividends paid to shareholders, respectively. On May 10, 2021, the Company closed on a public offering of its common shares. The Company received net proceeds (before expenses) of $192.1 million. The proceeds were used for general corporate purposes. In the nine months ended September 30, 2020, we drew a net $59.0 million on our senior credit facilities as a precautionary measure to increase our cash position and preserve financial flexibility in light of uncertainty in the global markets resulting from the coronavirus (COVID-19) outbreak.</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Ratings</w:t>
      </w:r>
    </w:p>
    <w:p>
      <w:pPr>
        <w:spacing w:after="0" w:line="112" w:lineRule="exact"/>
        <w:rPr>
          <w:sz w:val="20"/>
          <w:szCs w:val="20"/>
          <w:color w:val="auto"/>
        </w:rPr>
      </w:pPr>
    </w:p>
    <w:p>
      <w:pPr>
        <w:jc w:val="both"/>
        <w:ind w:firstLine="319"/>
        <w:spacing w:after="0" w:line="282" w:lineRule="auto"/>
        <w:rPr>
          <w:sz w:val="20"/>
          <w:szCs w:val="20"/>
          <w:color w:val="auto"/>
        </w:rPr>
      </w:pPr>
      <w:r>
        <w:rPr>
          <w:rFonts w:ascii="Arial" w:cs="Arial" w:eastAsia="Arial" w:hAnsi="Arial"/>
          <w:sz w:val="16"/>
          <w:szCs w:val="16"/>
          <w:color w:val="auto"/>
        </w:rPr>
        <w:t>The A.M. Best financial strength rating for our group’s regulated insurance and reinsurance subsidiaries is “A-” (Excellent) with a stable outlook. This rating reflects A.M. Best’s opinion of our insurance and reinsurance subsidiaries’ financial strength, operating performance and ability to meet obligations to policyholders and is not an evaluation directed towards the protection of investors. The rating for our operating insurance and reinsurance companies of “A-” (Excellent) is the fourth highest rating of the thirteen ratings issued by A.M. Best and is assigned to insurers that have, in A.M. Best’s opinion, an excellent ability to meet their ongoing obligations to policyholders. On March 4, 2021, A.M. Best announced that it reduced the outlook on our regulated insurance subsidiaries to negative from stable on the “A” (Excellent) financial strength rating on such entities following our announcement of $86.0 million of adverse development on reserves for losses and loss adjustment expenses in the fourth quarter of 2020 principally related to our commercial auto business in our Excess and Surplus Lines segment. On May 7, 2021, following the Company's announcement of $168.7 million of further adverse development in the first quarter of 2021 on reserves for losses and loss adjustment expenses in our Excess and Surplus Lines segment, inclusive of $170.0 million of unfavorable development in our commercial auto business, A.M. Best announced a downgrade of our financial strength rating to “A-” (Excellent) and maintained a negative outlook on our regulated insurance subsidiaries. The Company's outlook was upgraded to stable by A.M. Best in the third quarter following the completion of the LPT Transaction which reinsures substantially all of the legacy commercial auto business.</w:t>
      </w:r>
    </w:p>
    <w:p>
      <w:pPr>
        <w:spacing w:after="0" w:line="65"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The “A-” (Excellent) ratings assigned to our insurance and reinsurance subsidiaries are consistent with our business plans and we believe allow our subsidiaries to actively pursue relationships with the agents and brokers identified in their marketing plans.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w:t>
      </w:r>
    </w:p>
    <w:p>
      <w:pPr>
        <w:spacing w:after="0" w:line="118"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On May 10, 2021, the Company closed the offering and public sale (the “Offering”) of an aggregate of 6,497,500 of the Company’s common shares at a public offering price of $31.00 per share. The Company received net proceeds (before expenses) from the Offering of $192.1 million, which were used for general corporate purposes. The common shares were offered and sold pursuant to an underwriting agreement entered into by the Company, Barclays Capital, Inc., and Keefe, Bruyette &amp; Woods, Inc., as representatives of the several underwriters named therein.</w:t>
      </w:r>
    </w:p>
    <w:p>
      <w:pPr>
        <w:spacing w:after="0" w:line="71" w:lineRule="exact"/>
        <w:rPr>
          <w:sz w:val="20"/>
          <w:szCs w:val="20"/>
          <w:color w:val="auto"/>
        </w:rPr>
      </w:pPr>
    </w:p>
    <w:p>
      <w:pPr>
        <w:jc w:val="both"/>
        <w:ind w:firstLine="319"/>
        <w:spacing w:after="0" w:line="329" w:lineRule="auto"/>
        <w:rPr>
          <w:sz w:val="20"/>
          <w:szCs w:val="20"/>
          <w:color w:val="auto"/>
        </w:rPr>
      </w:pPr>
      <w:r>
        <w:rPr>
          <w:rFonts w:ascii="Arial" w:cs="Arial" w:eastAsia="Arial" w:hAnsi="Arial"/>
          <w:sz w:val="16"/>
          <w:szCs w:val="16"/>
          <w:color w:val="auto"/>
        </w:rPr>
        <w:t>The Company also issued 140,483 common shares in the nine months ended September 30, 2021 related to outstanding equity incentive plan awards. Of the new shares issued, 27,979 were related to employee stock option exercises and 112,504 were related to vesting of restricted share units (“RSUs”).</w:t>
      </w:r>
    </w:p>
    <w:p>
      <w:pPr>
        <w:spacing w:after="0" w:line="27"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As a result of the Offering and the issuances related to equity incentive plan awards, the total common shares outstanding increased from 30,649,261 at December 31, 2020 to 37,287,244 at September 30,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 Expense</w:t>
      </w:r>
    </w:p>
    <w:p>
      <w:pPr>
        <w:spacing w:after="0" w:line="112"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For the three months ended September 30, 2021 and 2020, the Company recognized $1.5 million and $2.1 million, respectively, of share based compensation expense ($5.2 million and $5.9 million in the respective nine month periods). As of September 30, 2021, the Company had $10.3 million of unrecognized share based compensation expense expected to be charged to earnings over a weighted-average period of 1.9 years.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option activity: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5"/>
              </w:rPr>
              <w:t>Nine Months Ended September 30,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8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9"/>
              <w:spacing w:after="0" w:line="127"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58"/>
              <w:spacing w:after="0" w:line="127"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3"/>
        </w:trPr>
        <w:tc>
          <w:tcPr>
            <w:tcW w:w="5580" w:type="dxa"/>
            <w:vAlign w:val="bottom"/>
          </w:tcPr>
          <w:p>
            <w:pPr>
              <w:spacing w:after="0"/>
              <w:rPr>
                <w:sz w:val="11"/>
                <w:szCs w:val="11"/>
                <w:color w:val="auto"/>
              </w:rPr>
            </w:pPr>
          </w:p>
        </w:tc>
        <w:tc>
          <w:tcPr>
            <w:tcW w:w="13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6"/>
              </w:rPr>
              <w:t>Exercise</w:t>
            </w:r>
          </w:p>
        </w:tc>
        <w:tc>
          <w:tcPr>
            <w:tcW w:w="13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8"/>
              <w:spacing w:after="0" w:line="133"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1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0"/>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1320" w:type="dxa"/>
            <w:vAlign w:val="bottom"/>
          </w:tcPr>
          <w:p>
            <w:pPr>
              <w:jc w:val="right"/>
              <w:spacing w:after="0"/>
              <w:rPr>
                <w:sz w:val="20"/>
                <w:szCs w:val="20"/>
                <w:color w:val="auto"/>
              </w:rPr>
            </w:pPr>
            <w:r>
              <w:rPr>
                <w:rFonts w:ascii="Arial" w:cs="Arial" w:eastAsia="Arial" w:hAnsi="Arial"/>
                <w:sz w:val="18"/>
                <w:szCs w:val="18"/>
                <w:color w:val="auto"/>
              </w:rPr>
              <w:t>463,324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643,851</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27"/>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5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tcPr>
          <w:p>
            <w:pPr>
              <w:jc w:val="right"/>
              <w:spacing w:after="0"/>
              <w:rPr>
                <w:sz w:val="20"/>
                <w:szCs w:val="20"/>
                <w:color w:val="auto"/>
              </w:rPr>
            </w:pPr>
            <w:r>
              <w:rPr>
                <w:rFonts w:ascii="Arial" w:cs="Arial" w:eastAsia="Arial" w:hAnsi="Arial"/>
                <w:sz w:val="18"/>
                <w:szCs w:val="18"/>
                <w:color w:val="auto"/>
              </w:rPr>
              <w:t>(41,392)</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24.87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(79,615)</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2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5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392,514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32.53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564,236</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end of period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392,514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564,236</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right="100" w:firstLine="319"/>
        <w:spacing w:after="0" w:line="266" w:lineRule="auto"/>
        <w:rPr>
          <w:sz w:val="20"/>
          <w:szCs w:val="20"/>
          <w:color w:val="auto"/>
        </w:rPr>
      </w:pPr>
      <w:r>
        <w:rPr>
          <w:rFonts w:ascii="Arial" w:cs="Arial" w:eastAsia="Arial" w:hAnsi="Arial"/>
          <w:sz w:val="18"/>
          <w:szCs w:val="18"/>
          <w:color w:val="auto"/>
        </w:rPr>
        <w:t>All of the outstanding options are fully vested (vesting period of three years from date of grant) and have a contractual life of seven years from the original date of grant.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RSU activity:</w:t>
      </w:r>
    </w:p>
    <w:p>
      <w:pPr>
        <w:spacing w:after="0" w:line="195"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jc w:val="right"/>
              <w:ind w:right="260"/>
              <w:spacing w:after="0" w:line="127"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jc w:val="right"/>
              <w:ind w:right="79"/>
              <w:spacing w:after="0" w:line="127"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jc w:val="center"/>
              <w:ind w:right="179"/>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3"/>
        </w:trPr>
        <w:tc>
          <w:tcPr>
            <w:tcW w:w="5080" w:type="dxa"/>
            <w:vAlign w:val="bottom"/>
          </w:tcPr>
          <w:p>
            <w:pPr>
              <w:spacing w:after="0"/>
              <w:rPr>
                <w:sz w:val="11"/>
                <w:szCs w:val="11"/>
                <w:color w:val="auto"/>
              </w:rPr>
            </w:pPr>
          </w:p>
        </w:tc>
        <w:tc>
          <w:tcPr>
            <w:tcW w:w="13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4"/>
              </w:rPr>
              <w:t>Grant Date</w:t>
            </w:r>
          </w:p>
        </w:tc>
        <w:tc>
          <w:tcPr>
            <w:tcW w:w="13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jc w:val="center"/>
              <w:ind w:right="179"/>
              <w:spacing w:after="0" w:line="133"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85"/>
        </w:trPr>
        <w:tc>
          <w:tcPr>
            <w:tcW w:w="50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center"/>
              <w:ind w:right="179"/>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0"/>
        </w:trPr>
        <w:tc>
          <w:tcPr>
            <w:tcW w:w="50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80" w:type="dxa"/>
            <w:vAlign w:val="bottom"/>
          </w:tcPr>
          <w:p>
            <w:pPr>
              <w:ind w:left="340"/>
              <w:spacing w:after="0"/>
              <w:rPr>
                <w:sz w:val="20"/>
                <w:szCs w:val="20"/>
                <w:color w:val="auto"/>
              </w:rPr>
            </w:pPr>
            <w:r>
              <w:rPr>
                <w:rFonts w:ascii="Arial" w:cs="Arial" w:eastAsia="Arial" w:hAnsi="Arial"/>
                <w:sz w:val="18"/>
                <w:szCs w:val="18"/>
                <w:color w:val="auto"/>
              </w:rPr>
              <w:t>Unvested, beginning of period</w:t>
            </w:r>
          </w:p>
        </w:tc>
        <w:tc>
          <w:tcPr>
            <w:tcW w:w="1300" w:type="dxa"/>
            <w:vAlign w:val="bottom"/>
          </w:tcPr>
          <w:p>
            <w:pPr>
              <w:jc w:val="right"/>
              <w:spacing w:after="0"/>
              <w:rPr>
                <w:sz w:val="20"/>
                <w:szCs w:val="20"/>
                <w:color w:val="auto"/>
              </w:rPr>
            </w:pPr>
            <w:r>
              <w:rPr>
                <w:rFonts w:ascii="Arial" w:cs="Arial" w:eastAsia="Arial" w:hAnsi="Arial"/>
                <w:sz w:val="18"/>
                <w:szCs w:val="18"/>
                <w:color w:val="auto"/>
              </w:rPr>
              <w:t>399,856</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43.59</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340,368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7"/>
        </w:trPr>
        <w:tc>
          <w:tcPr>
            <w:tcW w:w="5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Granted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197,518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25"/>
        </w:trPr>
        <w:tc>
          <w:tcPr>
            <w:tcW w:w="5080" w:type="dxa"/>
            <w:vAlign w:val="bottom"/>
          </w:tcPr>
          <w:p>
            <w:pPr>
              <w:ind w:left="500"/>
              <w:spacing w:after="0"/>
              <w:rPr>
                <w:sz w:val="20"/>
                <w:szCs w:val="20"/>
                <w:color w:val="auto"/>
              </w:rPr>
            </w:pPr>
            <w:r>
              <w:rPr>
                <w:rFonts w:ascii="Arial" w:cs="Arial" w:eastAsia="Arial" w:hAnsi="Arial"/>
                <w:sz w:val="18"/>
                <w:szCs w:val="18"/>
                <w:color w:val="auto"/>
              </w:rPr>
              <w:t>Vested</w:t>
            </w:r>
          </w:p>
        </w:tc>
        <w:tc>
          <w:tcPr>
            <w:tcW w:w="1300" w:type="dxa"/>
            <w:vAlign w:val="bottom"/>
          </w:tcPr>
          <w:p>
            <w:pPr>
              <w:jc w:val="right"/>
              <w:spacing w:after="0"/>
              <w:rPr>
                <w:sz w:val="20"/>
                <w:szCs w:val="20"/>
                <w:color w:val="auto"/>
              </w:rPr>
            </w:pPr>
            <w:r>
              <w:rPr>
                <w:rFonts w:ascii="Arial" w:cs="Arial" w:eastAsia="Arial" w:hAnsi="Arial"/>
                <w:sz w:val="18"/>
                <w:szCs w:val="18"/>
                <w:color w:val="auto"/>
              </w:rPr>
              <w:t>(165,131)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(156,434)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6"/>
        </w:trPr>
        <w:tc>
          <w:tcPr>
            <w:tcW w:w="5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0"/>
        </w:trPr>
        <w:tc>
          <w:tcPr>
            <w:tcW w:w="5080" w:type="dxa"/>
            <w:vAlign w:val="bottom"/>
          </w:tcPr>
          <w:p>
            <w:pPr>
              <w:ind w:left="340"/>
              <w:spacing w:after="0"/>
              <w:rPr>
                <w:sz w:val="20"/>
                <w:szCs w:val="20"/>
                <w:color w:val="auto"/>
              </w:rPr>
            </w:pPr>
            <w:r>
              <w:rPr>
                <w:rFonts w:ascii="Arial" w:cs="Arial" w:eastAsia="Arial" w:hAnsi="Arial"/>
                <w:sz w:val="18"/>
                <w:szCs w:val="18"/>
                <w:color w:val="auto"/>
              </w:rPr>
              <w:t>Unvested, end of period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317,832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364,606</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right="100" w:firstLine="319"/>
        <w:spacing w:after="0" w:line="266" w:lineRule="auto"/>
        <w:rPr>
          <w:sz w:val="20"/>
          <w:szCs w:val="20"/>
          <w:color w:val="auto"/>
        </w:rPr>
      </w:pPr>
      <w:r>
        <w:rPr>
          <w:rFonts w:ascii="Arial" w:cs="Arial" w:eastAsia="Arial" w:hAnsi="Arial"/>
          <w:sz w:val="18"/>
          <w:szCs w:val="18"/>
          <w:color w:val="auto"/>
        </w:rPr>
        <w:t>Outstanding RSUs granted to employees vest ratably over a three year vesting period. RSUs granted to non-employee directors have a one year vesting period.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MEASURES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Underwriting Profit</w:t>
      </w:r>
    </w:p>
    <w:p>
      <w:pPr>
        <w:spacing w:after="0" w:line="112"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Our definition of underwriting profit may not be comparable to that of other companies.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reconciles the underwriting (loss) profit by individual segment and for the entire Company to consolidated (loss) income before U.S.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3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Nine Months Ended</w:t>
            </w:r>
          </w:p>
        </w:tc>
      </w:tr>
      <w:tr>
        <w:trPr>
          <w:trHeight w:val="185"/>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79"/>
        </w:trPr>
        <w:tc>
          <w:tcPr>
            <w:tcW w:w="56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177"/>
        </w:trPr>
        <w:tc>
          <w:tcPr>
            <w:tcW w:w="5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(loss) profit of the insurance segments: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color w:val="auto"/>
              </w:rPr>
              <w:t>Excess and Surplus Lines</w:t>
            </w:r>
          </w:p>
        </w:tc>
        <w:tc>
          <w:tcPr>
            <w:tcW w:w="300" w:type="dxa"/>
            <w:vAlign w:val="bottom"/>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(21,527)</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15,581</w:t>
            </w:r>
          </w:p>
        </w:tc>
        <w:tc>
          <w:tcPr>
            <w:tcW w:w="100" w:type="dxa"/>
            <w:vAlign w:val="bottom"/>
          </w:tcPr>
          <w:p>
            <w:pPr>
              <w:spacing w:after="0"/>
              <w:rPr>
                <w:sz w:val="19"/>
                <w:szCs w:val="19"/>
                <w:color w:val="auto"/>
              </w:rPr>
            </w:pPr>
          </w:p>
        </w:tc>
        <w:tc>
          <w:tcPr>
            <w:tcW w:w="440" w:type="dxa"/>
            <w:vAlign w:val="bottom"/>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(145,556)</w:t>
            </w:r>
          </w:p>
        </w:tc>
        <w:tc>
          <w:tcPr>
            <w:tcW w:w="100" w:type="dxa"/>
            <w:vAlign w:val="bottom"/>
          </w:tcPr>
          <w:p>
            <w:pPr>
              <w:spacing w:after="0"/>
              <w:rPr>
                <w:sz w:val="19"/>
                <w:szCs w:val="19"/>
                <w:color w:val="auto"/>
              </w:rPr>
            </w:pP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39,788</w:t>
            </w:r>
          </w:p>
        </w:tc>
      </w:tr>
      <w:tr>
        <w:trPr>
          <w:trHeight w:val="22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Specialty Admitted Insurance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r>
      <w:tr>
        <w:trPr>
          <w:trHeight w:val="22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Casualty Reinsurance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r>
      <w:tr>
        <w:trPr>
          <w:trHeight w:val="22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underwriting (loss) profit of insurance segments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38,970</w:t>
            </w:r>
          </w:p>
        </w:tc>
      </w:tr>
      <w:tr>
        <w:trPr>
          <w:trHeight w:val="22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of the Corporate and Other segment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(23,556)</w:t>
            </w:r>
          </w:p>
        </w:tc>
      </w:tr>
      <w:tr>
        <w:trPr>
          <w:trHeight w:val="22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Underwriting (loss) profit </w:t>
            </w:r>
            <w:r>
              <w:rPr>
                <w:rFonts w:ascii="Arial" w:cs="Arial" w:eastAsia="Arial" w:hAnsi="Arial"/>
                <w:sz w:val="14"/>
                <w:szCs w:val="14"/>
                <w:color w:val="auto"/>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15,414</w:t>
            </w: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51,145</w:t>
            </w:r>
          </w:p>
        </w:tc>
      </w:tr>
      <w:tr>
        <w:trPr>
          <w:trHeight w:val="22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and unrealized gains (losses) on investments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(27,885)</w:t>
            </w:r>
          </w:p>
        </w:tc>
      </w:tr>
      <w:tr>
        <w:trPr>
          <w:trHeight w:val="225"/>
        </w:trPr>
        <w:tc>
          <w:tcPr>
            <w:tcW w:w="5660" w:type="dxa"/>
            <w:vAlign w:val="bottom"/>
          </w:tcPr>
          <w:p>
            <w:pPr>
              <w:ind w:left="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and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25"/>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w:t>
            </w:r>
          </w:p>
        </w:tc>
      </w:tr>
      <w:tr>
        <w:trPr>
          <w:trHeight w:val="245"/>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(129,647)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640" w:right="440" w:hanging="315"/>
        <w:spacing w:after="0" w:line="266" w:lineRule="auto"/>
        <w:tabs>
          <w:tab w:leader="none" w:pos="634"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Included in underwriting results for the three and nine months ended September 30, 2021 is gross fee income of $5.6 million and $16.2 million, respectively ($4.6 million and $15.8 million for the same periods in the prior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Adjusted Net Operating (Loss) Income</w:t>
      </w:r>
    </w:p>
    <w:p>
      <w:pPr>
        <w:spacing w:after="0" w:line="112" w:lineRule="exact"/>
        <w:rPr>
          <w:sz w:val="20"/>
          <w:szCs w:val="20"/>
          <w:color w:val="auto"/>
        </w:rPr>
      </w:pPr>
    </w:p>
    <w:p>
      <w:pPr>
        <w:jc w:val="both"/>
        <w:ind w:firstLine="319"/>
        <w:spacing w:after="0" w:line="287" w:lineRule="auto"/>
        <w:rPr>
          <w:sz w:val="20"/>
          <w:szCs w:val="20"/>
          <w:color w:val="auto"/>
        </w:rPr>
      </w:pPr>
      <w:r>
        <w:rPr>
          <w:rFonts w:ascii="Arial" w:cs="Arial" w:eastAsia="Arial" w:hAnsi="Arial"/>
          <w:sz w:val="16"/>
          <w:szCs w:val="16"/>
          <w:color w:val="auto"/>
        </w:rPr>
        <w:t>We define adjusted net operating (loss) income as net (loss) income excluding net realized and unrealized gains (losses) on investments, and certain non-operating expenses such as professional service fees related to various strategic initiatives and the filing of registration statements for the offering of securities, and severance costs associated with terminated employees. We use adjusted net operating (loss) income as an internal performance measure in the management of our operations because we believe it gives our management and other users of our financial information useful insight into our results of operations and our underlying business performance. Adjusted net operating (loss) income should not be viewed as a substitute for net (loss) income calculated in accordance with GAAP, and our definition of adjusted net operating (loss) income may not be comparable to that of other companies.</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(loss) income before taxes and net (loss) income reconcile to our adjusted net operating (loss) income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jc w:val="center"/>
              <w:ind w:right="380"/>
              <w:spacing w:after="0" w:line="127"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1"/>
                <w:szCs w:val="11"/>
                <w:color w:val="auto"/>
              </w:rPr>
            </w:pPr>
          </w:p>
        </w:tc>
        <w:tc>
          <w:tcPr>
            <w:tcW w:w="12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440" w:type="dxa"/>
            <w:vAlign w:val="bottom"/>
          </w:tcPr>
          <w:p>
            <w:pPr>
              <w:spacing w:after="0"/>
              <w:rPr>
                <w:sz w:val="11"/>
                <w:szCs w:val="11"/>
                <w:color w:val="auto"/>
              </w:rPr>
            </w:pPr>
          </w:p>
        </w:tc>
        <w:tc>
          <w:tcPr>
            <w:tcW w:w="980" w:type="dxa"/>
            <w:vAlign w:val="bottom"/>
            <w:gridSpan w:val="2"/>
          </w:tcPr>
          <w:p>
            <w:pPr>
              <w:jc w:val="center"/>
              <w:ind w:right="540"/>
              <w:spacing w:after="0" w:line="127" w:lineRule="exact"/>
              <w:rPr>
                <w:sz w:val="20"/>
                <w:szCs w:val="20"/>
                <w:color w:val="auto"/>
              </w:rPr>
            </w:pPr>
            <w:r>
              <w:rPr>
                <w:rFonts w:ascii="Arial" w:cs="Arial" w:eastAsia="Arial" w:hAnsi="Arial"/>
                <w:sz w:val="14"/>
                <w:szCs w:val="14"/>
                <w:b w:val="1"/>
                <w:bCs w:val="1"/>
                <w:color w:val="auto"/>
                <w:w w:val="89"/>
              </w:rPr>
              <w:t>Income</w:t>
            </w:r>
          </w:p>
        </w:tc>
        <w:tc>
          <w:tcPr>
            <w:tcW w:w="280" w:type="dxa"/>
            <w:vAlign w:val="bottom"/>
          </w:tcPr>
          <w:p>
            <w:pPr>
              <w:spacing w:after="0"/>
              <w:rPr>
                <w:sz w:val="11"/>
                <w:szCs w:val="11"/>
                <w:color w:val="auto"/>
              </w:rPr>
            </w:pPr>
          </w:p>
        </w:tc>
        <w:tc>
          <w:tcPr>
            <w:tcW w:w="104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3"/>
        </w:trPr>
        <w:tc>
          <w:tcPr>
            <w:tcW w:w="5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0"/>
              </w:rPr>
              <w:t>Before</w:t>
            </w: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2"/>
          </w:tcPr>
          <w:p>
            <w:pPr>
              <w:jc w:val="center"/>
              <w:ind w:right="540"/>
              <w:spacing w:after="0" w:line="133" w:lineRule="exact"/>
              <w:rPr>
                <w:sz w:val="20"/>
                <w:szCs w:val="20"/>
                <w:color w:val="auto"/>
              </w:rPr>
            </w:pPr>
            <w:r>
              <w:rPr>
                <w:rFonts w:ascii="Arial" w:cs="Arial" w:eastAsia="Arial" w:hAnsi="Arial"/>
                <w:sz w:val="14"/>
                <w:szCs w:val="14"/>
                <w:b w:val="1"/>
                <w:bCs w:val="1"/>
                <w:color w:val="auto"/>
                <w:w w:val="90"/>
              </w:rPr>
              <w:t>Before</w:t>
            </w:r>
          </w:p>
        </w:tc>
        <w:tc>
          <w:tcPr>
            <w:tcW w:w="2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85"/>
              </w:rPr>
              <w:t>Taxes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77"/>
        </w:trPr>
        <w:tc>
          <w:tcPr>
            <w:tcW w:w="5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as reported</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0" w:type="dxa"/>
            <w:vAlign w:val="bottom"/>
          </w:tcPr>
          <w:p>
            <w:pPr>
              <w:spacing w:after="0"/>
              <w:rPr>
                <w:sz w:val="1"/>
                <w:szCs w:val="1"/>
                <w:color w:val="auto"/>
              </w:rPr>
            </w:pPr>
          </w:p>
        </w:tc>
      </w:tr>
      <w:tr>
        <w:trPr>
          <w:trHeight w:val="225"/>
        </w:trPr>
        <w:tc>
          <w:tcPr>
            <w:tcW w:w="562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(8,824)</w:t>
            </w:r>
          </w:p>
        </w:tc>
        <w:tc>
          <w:tcPr>
            <w:tcW w:w="0" w:type="dxa"/>
            <w:vAlign w:val="bottom"/>
          </w:tcPr>
          <w:p>
            <w:pPr>
              <w:spacing w:after="0"/>
              <w:rPr>
                <w:sz w:val="1"/>
                <w:szCs w:val="1"/>
                <w:color w:val="auto"/>
              </w:rPr>
            </w:pPr>
          </w:p>
        </w:tc>
      </w:tr>
      <w:tr>
        <w:trPr>
          <w:trHeight w:val="22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0"/>
        </w:trPr>
        <w:tc>
          <w:tcPr>
            <w:tcW w:w="5620" w:type="dxa"/>
            <w:vAlign w:val="bottom"/>
          </w:tcPr>
          <w:p>
            <w:pPr>
              <w:ind w:left="20"/>
              <w:spacing w:after="0"/>
              <w:rPr>
                <w:sz w:val="20"/>
                <w:szCs w:val="20"/>
                <w:color w:val="auto"/>
              </w:rPr>
            </w:pPr>
            <w:r>
              <w:rPr>
                <w:rFonts w:ascii="Arial" w:cs="Arial" w:eastAsia="Arial" w:hAnsi="Arial"/>
                <w:sz w:val="18"/>
                <w:szCs w:val="18"/>
                <w:color w:val="auto"/>
              </w:rPr>
              <w:t>Adjusted net operating (loss) income</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17,382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4"/>
                <w:szCs w:val="14"/>
                <w:b w:val="1"/>
                <w:bCs w:val="1"/>
                <w:color w:val="auto"/>
              </w:rPr>
              <w:t>2021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center"/>
              <w:ind w:right="400"/>
              <w:spacing w:after="0" w:line="127" w:lineRule="exact"/>
              <w:rPr>
                <w:sz w:val="20"/>
                <w:szCs w:val="20"/>
                <w:color w:val="auto"/>
              </w:rPr>
            </w:pPr>
            <w:r>
              <w:rPr>
                <w:rFonts w:ascii="Arial" w:cs="Arial" w:eastAsia="Arial" w:hAnsi="Arial"/>
                <w:sz w:val="14"/>
                <w:szCs w:val="14"/>
                <w:b w:val="1"/>
                <w:bCs w:val="1"/>
                <w:color w:val="auto"/>
                <w:w w:val="79"/>
              </w:rPr>
              <w:t>Loss</w:t>
            </w:r>
          </w:p>
        </w:tc>
        <w:tc>
          <w:tcPr>
            <w:tcW w:w="220" w:type="dxa"/>
            <w:vAlign w:val="bottom"/>
          </w:tcPr>
          <w:p>
            <w:pPr>
              <w:spacing w:after="0"/>
              <w:rPr>
                <w:sz w:val="11"/>
                <w:szCs w:val="11"/>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Net</w:t>
            </w:r>
          </w:p>
        </w:tc>
        <w:tc>
          <w:tcPr>
            <w:tcW w:w="440" w:type="dxa"/>
            <w:vAlign w:val="bottom"/>
          </w:tcPr>
          <w:p>
            <w:pPr>
              <w:spacing w:after="0"/>
              <w:rPr>
                <w:sz w:val="11"/>
                <w:szCs w:val="11"/>
                <w:color w:val="auto"/>
              </w:rPr>
            </w:pPr>
          </w:p>
        </w:tc>
        <w:tc>
          <w:tcPr>
            <w:tcW w:w="1000" w:type="dxa"/>
            <w:vAlign w:val="bottom"/>
            <w:gridSpan w:val="2"/>
          </w:tcPr>
          <w:p>
            <w:pPr>
              <w:jc w:val="center"/>
              <w:ind w:right="540"/>
              <w:spacing w:after="0" w:line="127" w:lineRule="exact"/>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1"/>
                <w:szCs w:val="11"/>
                <w:color w:val="auto"/>
              </w:rPr>
            </w:pPr>
          </w:p>
        </w:tc>
        <w:tc>
          <w:tcPr>
            <w:tcW w:w="1040" w:type="dxa"/>
            <w:vAlign w:val="bottom"/>
            <w:vMerge w:val="restart"/>
          </w:tcPr>
          <w:p>
            <w:pPr>
              <w:jc w:val="right"/>
              <w:ind w:right="47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33"/>
        </w:trPr>
        <w:tc>
          <w:tcPr>
            <w:tcW w:w="5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0"/>
              </w:rPr>
              <w:t>Before</w:t>
            </w: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jc w:val="center"/>
              <w:ind w:right="560"/>
              <w:spacing w:after="0" w:line="133" w:lineRule="exact"/>
              <w:rPr>
                <w:sz w:val="20"/>
                <w:szCs w:val="20"/>
                <w:color w:val="auto"/>
              </w:rPr>
            </w:pPr>
            <w:r>
              <w:rPr>
                <w:rFonts w:ascii="Arial" w:cs="Arial" w:eastAsia="Arial" w:hAnsi="Arial"/>
                <w:sz w:val="14"/>
                <w:szCs w:val="14"/>
                <w:b w:val="1"/>
                <w:bCs w:val="1"/>
                <w:color w:val="auto"/>
                <w:w w:val="90"/>
              </w:rPr>
              <w:t>Before</w:t>
            </w:r>
          </w:p>
        </w:tc>
        <w:tc>
          <w:tcPr>
            <w:tcW w:w="2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5"/>
              </w:rPr>
              <w:t>Taxes</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5"/>
              </w:rPr>
              <w:t>Taxes</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77"/>
        </w:trPr>
        <w:tc>
          <w:tcPr>
            <w:tcW w:w="5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rPr>
              <w:t>($ in thousands)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as reported</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25,082</w:t>
            </w:r>
          </w:p>
        </w:tc>
        <w:tc>
          <w:tcPr>
            <w:tcW w:w="0" w:type="dxa"/>
            <w:vAlign w:val="bottom"/>
          </w:tcPr>
          <w:p>
            <w:pPr>
              <w:spacing w:after="0"/>
              <w:rPr>
                <w:sz w:val="1"/>
                <w:szCs w:val="1"/>
                <w:color w:val="auto"/>
              </w:rPr>
            </w:pPr>
          </w:p>
        </w:tc>
      </w:tr>
      <w:tr>
        <w:trPr>
          <w:trHeight w:val="225"/>
        </w:trPr>
        <w:tc>
          <w:tcPr>
            <w:tcW w:w="5500" w:type="dxa"/>
            <w:vAlign w:val="bottom"/>
          </w:tcPr>
          <w:p>
            <w:pPr>
              <w:ind w:left="20"/>
              <w:spacing w:after="0"/>
              <w:rPr>
                <w:sz w:val="20"/>
                <w:szCs w:val="20"/>
                <w:color w:val="auto"/>
              </w:rPr>
            </w:pPr>
            <w:r>
              <w:rPr>
                <w:rFonts w:ascii="Arial" w:cs="Arial" w:eastAsia="Arial" w:hAnsi="Arial"/>
                <w:sz w:val="18"/>
                <w:szCs w:val="18"/>
                <w:color w:val="auto"/>
              </w:rPr>
              <w:t>Net realized and unrealized investment (gains) losses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23,646</w:t>
            </w:r>
          </w:p>
        </w:tc>
        <w:tc>
          <w:tcPr>
            <w:tcW w:w="0" w:type="dxa"/>
            <w:vAlign w:val="bottom"/>
          </w:tcPr>
          <w:p>
            <w:pPr>
              <w:spacing w:after="0"/>
              <w:rPr>
                <w:sz w:val="1"/>
                <w:szCs w:val="1"/>
                <w:color w:val="auto"/>
              </w:rPr>
            </w:pPr>
          </w:p>
        </w:tc>
      </w:tr>
      <w:tr>
        <w:trPr>
          <w:trHeight w:val="226"/>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20"/>
        </w:trPr>
        <w:tc>
          <w:tcPr>
            <w:tcW w:w="5500" w:type="dxa"/>
            <w:vAlign w:val="bottom"/>
          </w:tcPr>
          <w:p>
            <w:pPr>
              <w:ind w:left="20"/>
              <w:spacing w:after="0"/>
              <w:rPr>
                <w:sz w:val="20"/>
                <w:szCs w:val="20"/>
                <w:color w:val="auto"/>
              </w:rPr>
            </w:pPr>
            <w:r>
              <w:rPr>
                <w:rFonts w:ascii="Arial" w:cs="Arial" w:eastAsia="Arial" w:hAnsi="Arial"/>
                <w:sz w:val="18"/>
                <w:szCs w:val="18"/>
                <w:color w:val="auto"/>
              </w:rPr>
              <w:t>Adjusted net operating (loss) income</w:t>
            </w:r>
          </w:p>
        </w:tc>
        <w:tc>
          <w:tcPr>
            <w:tcW w:w="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(116,780)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Tangible Equity (per Share) and Pre Dividend Tangible Equity (per Share)</w:t>
      </w:r>
    </w:p>
    <w:p>
      <w:pPr>
        <w:spacing w:after="0" w:line="112" w:lineRule="exact"/>
        <w:rPr>
          <w:sz w:val="20"/>
          <w:szCs w:val="20"/>
          <w:color w:val="auto"/>
        </w:rPr>
      </w:pPr>
    </w:p>
    <w:p>
      <w:pPr>
        <w:jc w:val="both"/>
        <w:ind w:firstLine="319"/>
        <w:spacing w:after="0" w:line="348" w:lineRule="auto"/>
        <w:rPr>
          <w:sz w:val="20"/>
          <w:szCs w:val="20"/>
          <w:color w:val="auto"/>
        </w:rPr>
      </w:pPr>
      <w:r>
        <w:rPr>
          <w:rFonts w:ascii="Arial" w:cs="Arial" w:eastAsia="Arial" w:hAnsi="Arial"/>
          <w:sz w:val="14"/>
          <w:szCs w:val="14"/>
          <w:color w:val="auto"/>
        </w:rPr>
        <w:t>Key financial measures that we use to assess our longer term financial performance include the percentage growth in our tangible equity per share and our return on tangible equity. We believe tangible equity is a good measure to evaluate the strength of our balance sheet and to compare returns relative to this measure. For the nine months ended September 30, 2021, our tangible equity per share decreased by 15.2%. Absent the $31.8 million in dividends to shareholders in the nine months ended September 30, 2021, our tangible equity per share decreased by 10.4% for the nine months ended September 30, 2021.</w:t>
      </w:r>
    </w:p>
    <w:p>
      <w:pPr>
        <w:spacing w:after="0" w:line="24"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define tangible equity as the sum of shareholders’ equity less goodwill and intangible assets (net of amortization). Our definition of tangible equity may not be comparable to that of other companies, and it should not be viewed as a substitute for shareholders’ equity calculated in accordance with GAAP. The following table reconciles shareholders’ equity to tangible equity as of September 30, 2021 and December 31, 2020 and reconciles tangible equity to pre-dividend tangible equity as of September 30, 2021: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32"/>
        </w:trPr>
        <w:tc>
          <w:tcPr>
            <w:tcW w:w="5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1"/>
                <w:szCs w:val="11"/>
                <w:color w:val="auto"/>
              </w:rPr>
            </w:pPr>
          </w:p>
        </w:tc>
        <w:tc>
          <w:tcPr>
            <w:tcW w:w="1080" w:type="dxa"/>
            <w:vAlign w:val="bottom"/>
          </w:tcPr>
          <w:p>
            <w:pPr>
              <w:jc w:val="right"/>
              <w:ind w:right="197"/>
              <w:spacing w:after="0" w:line="132" w:lineRule="exact"/>
              <w:rPr>
                <w:sz w:val="20"/>
                <w:szCs w:val="20"/>
                <w:color w:val="auto"/>
              </w:rPr>
            </w:pPr>
            <w:r>
              <w:rPr>
                <w:rFonts w:ascii="Arial" w:cs="Arial" w:eastAsia="Arial" w:hAnsi="Arial"/>
                <w:sz w:val="14"/>
                <w:szCs w:val="14"/>
                <w:b w:val="1"/>
                <w:bCs w:val="1"/>
                <w:color w:val="auto"/>
              </w:rPr>
              <w:t>Equity per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Equity</w:t>
            </w:r>
          </w:p>
        </w:tc>
        <w:tc>
          <w:tcPr>
            <w:tcW w:w="200" w:type="dxa"/>
            <w:vAlign w:val="bottom"/>
          </w:tcPr>
          <w:p>
            <w:pPr>
              <w:spacing w:after="0"/>
              <w:rPr>
                <w:sz w:val="11"/>
                <w:szCs w:val="11"/>
                <w:color w:val="auto"/>
              </w:rPr>
            </w:pPr>
          </w:p>
        </w:tc>
        <w:tc>
          <w:tcPr>
            <w:tcW w:w="1040" w:type="dxa"/>
            <w:vAlign w:val="bottom"/>
          </w:tcPr>
          <w:p>
            <w:pPr>
              <w:jc w:val="right"/>
              <w:ind w:right="217"/>
              <w:spacing w:after="0" w:line="132" w:lineRule="exact"/>
              <w:rPr>
                <w:sz w:val="20"/>
                <w:szCs w:val="20"/>
                <w:color w:val="auto"/>
              </w:rPr>
            </w:pPr>
            <w:r>
              <w:rPr>
                <w:rFonts w:ascii="Arial" w:cs="Arial" w:eastAsia="Arial" w:hAnsi="Arial"/>
                <w:sz w:val="14"/>
                <w:szCs w:val="14"/>
                <w:b w:val="1"/>
                <w:bCs w:val="1"/>
                <w:color w:val="auto"/>
              </w:rPr>
              <w:t>Equity per</w:t>
            </w:r>
          </w:p>
        </w:tc>
        <w:tc>
          <w:tcPr>
            <w:tcW w:w="0" w:type="dxa"/>
            <w:vAlign w:val="bottom"/>
          </w:tcPr>
          <w:p>
            <w:pPr>
              <w:spacing w:after="0"/>
              <w:rPr>
                <w:sz w:val="1"/>
                <w:szCs w:val="1"/>
                <w:color w:val="auto"/>
              </w:rPr>
            </w:pPr>
          </w:p>
        </w:tc>
      </w:tr>
      <w:tr>
        <w:trPr>
          <w:trHeight w:val="185"/>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77"/>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spacing w:after="0"/>
              <w:rPr>
                <w:sz w:val="20"/>
                <w:szCs w:val="20"/>
                <w:color w:val="auto"/>
              </w:rPr>
            </w:pPr>
            <w:r>
              <w:rPr>
                <w:rFonts w:ascii="Arial" w:cs="Arial" w:eastAsia="Arial" w:hAnsi="Arial"/>
                <w:sz w:val="14"/>
                <w:szCs w:val="14"/>
                <w:b w:val="1"/>
                <w:bCs w:val="1"/>
                <w:i w:val="1"/>
                <w:iCs w:val="1"/>
                <w:color w:val="auto"/>
                <w:w w:val="94"/>
              </w:rPr>
              <w:t>($ in thousands, except share amounts)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25"/>
        </w:trPr>
        <w:tc>
          <w:tcPr>
            <w:tcW w:w="59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25"/>
        </w:trPr>
        <w:tc>
          <w:tcPr>
            <w:tcW w:w="59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Tangible equity</w:t>
            </w: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595,678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Dividends to shareholders for the nine months ended September 30, 2021</w:t>
            </w: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31,833</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98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Pre-dividend tangible equity</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627,511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8" w:lineRule="exact"/>
        <w:rPr>
          <w:sz w:val="20"/>
          <w:szCs w:val="20"/>
          <w:color w:val="auto"/>
        </w:rPr>
      </w:pPr>
    </w:p>
    <w:p>
      <w:pPr>
        <w:jc w:val="both"/>
        <w:ind w:firstLine="319"/>
        <w:spacing w:after="0" w:line="294" w:lineRule="auto"/>
        <w:rPr>
          <w:sz w:val="20"/>
          <w:szCs w:val="20"/>
          <w:color w:val="auto"/>
        </w:rPr>
      </w:pPr>
      <w:r>
        <w:rPr>
          <w:rFonts w:ascii="Arial" w:cs="Arial" w:eastAsia="Arial" w:hAnsi="Arial"/>
          <w:sz w:val="16"/>
          <w:szCs w:val="16"/>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56"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There have been no material changes in market risk from the information provided in Item 7A of our Annual Report on Form 10-K for the year ended December 31, 2020.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September 30, 2021,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September 30,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our quarter ended September 30, 2021 that have materially affected, or are reasonably likely to materially affect, our internal control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18"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8" w:lineRule="exact"/>
        <w:rPr>
          <w:sz w:val="20"/>
          <w:szCs w:val="20"/>
          <w:color w:val="auto"/>
        </w:rPr>
      </w:pPr>
    </w:p>
    <w:p>
      <w:pPr>
        <w:jc w:val="both"/>
        <w:ind w:firstLine="319"/>
        <w:spacing w:after="0" w:line="278" w:lineRule="auto"/>
        <w:rPr>
          <w:sz w:val="20"/>
          <w:szCs w:val="20"/>
          <w:color w:val="auto"/>
        </w:rPr>
      </w:pPr>
      <w:r>
        <w:rPr>
          <w:rFonts w:ascii="Arial" w:cs="Arial" w:eastAsia="Arial" w:hAnsi="Arial"/>
          <w:sz w:val="17"/>
          <w:szCs w:val="17"/>
          <w:color w:val="auto"/>
        </w:rPr>
        <w:t>We are involved in various legal proceedings, including commercial matters and litigation regarding insurance claims which arise in the ordinary course of business as well as an alleged class action lawsuit. We believe that the outcome of such matters, individually and in the aggregate, is not reasonably likely to have a material adverse effect on our consolidated financial position, results of operations or cash flows.</w:t>
      </w:r>
    </w:p>
    <w:p>
      <w:pPr>
        <w:spacing w:after="0" w:line="6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On July 9, 2021 a purported class action lawsuit was filed in the US District Court, Eastern District of Virginia (the "Court") by Employees' Retirement Fund of the City of Fort Worth against James River Group Holdings, Ltd. and certain of its present and former officers (together, "Defendants") asserting claims under Sections 10(b) and 20(a) of the Securities Exchange Act of 1934 on behalf of a putative class of persons and entities that purchased the Company's stock between August 1, 2019 and May 5, 2021 (the "Complaint"). The Complaint alleges that Defendants failed to make appropriate disclosures concerning the adequacy of reserves for policies that covered Rasier LLC, a subsidiary of Uber Technologies, Inc. On September 22, 2021, the Court entered an order appointing Employees' Retirement Fund of the City of Fort Worth and the City of Miami General Employees' and Sanitation Employees' Retirement Trust as co-lead plaintiffs (together, "Plaintiffs"). Plaintiffs' consolidated amended complaint is due to be filed on November 19, 2021. We believe that Plaintiffs' claims are without merit and we intend to vigorously defend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There have been no material changes in our risk factors in the quarter ended September 30, 2021 from those disclosed in our Annual Report on Form 10-</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K for the year ended December 31, 2020, except as follows:</w:t>
      </w:r>
    </w:p>
    <w:p>
      <w:pPr>
        <w:spacing w:after="0" w:line="101"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b w:val="1"/>
          <w:bCs w:val="1"/>
          <w:i w:val="1"/>
          <w:iCs w:val="1"/>
          <w:color w:val="auto"/>
        </w:rPr>
        <w:t>On May 7, 2021, our financial strength rating was downgraded. The downgrade of our financial strength rating, along with any further downgrade, may have a significant impact on our business, liquidity and financial condition.</w:t>
      </w:r>
    </w:p>
    <w:p>
      <w:pPr>
        <w:spacing w:after="0" w:line="73"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Companies, insurers and reinsurance brokers use ratings from independent ratings agencies as an important means of assessing the financial strength and quality of reinsurers. A.M. Best Company (“A.M. Best”) assigns ratings that are intended to provide an independent opinion of an insurance or reinsurance company’s ability to meet its obligations to policyholders and such ratings are not an evaluation directed to investors. A.M. Best periodically reviews our rating and may revise it downward at its sole discretion based primarily on its analysis of our balance sheet strength (including capital adequacy and loss and loss adjustment expense reserve adequacy), operating performance and business profile.</w:t>
      </w:r>
    </w:p>
    <w:p>
      <w:pPr>
        <w:spacing w:after="0" w:line="75" w:lineRule="exact"/>
        <w:rPr>
          <w:sz w:val="20"/>
          <w:szCs w:val="20"/>
          <w:color w:val="auto"/>
        </w:rPr>
      </w:pPr>
    </w:p>
    <w:p>
      <w:pPr>
        <w:jc w:val="both"/>
        <w:ind w:firstLine="319"/>
        <w:spacing w:after="0" w:line="267" w:lineRule="auto"/>
        <w:rPr>
          <w:sz w:val="20"/>
          <w:szCs w:val="20"/>
          <w:color w:val="auto"/>
        </w:rPr>
      </w:pPr>
      <w:r>
        <w:rPr>
          <w:rFonts w:ascii="Arial" w:cs="Arial" w:eastAsia="Arial" w:hAnsi="Arial"/>
          <w:sz w:val="17"/>
          <w:szCs w:val="17"/>
          <w:color w:val="auto"/>
        </w:rPr>
        <w:t>On May 7, 2021, A.M. Best announced that it downgraded the financial strength rating on our regulated insurance subsidiaries from “A” to “A-" (Excellent) with a negative outlook, as a result of, among other things, the recurring nature of adverse reserve development in commercial auto lines. On September 30, 2021, A.M. Best revised the outlook to stable from negative and affirmed the financial strength rating of "A-" (Excellent) on our regulated insurance subsidiaries. The reduction in our financial strength rating, and any future downgrades of our financial strength rating, may impact our ability to attract and retain insurance and reinsurance business that our subsidiaries write. Further, our competitive position in the industry, and therefore our business, could be adversely affected. The downgrade of our financial strength rating, and any future downgrades, could result in a substantial loss of business, as policyholders might move to other companies with higher financial strength ratings.</w:t>
      </w:r>
    </w:p>
    <w:p>
      <w:pPr>
        <w:spacing w:after="0" w:line="73"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b w:val="1"/>
          <w:bCs w:val="1"/>
          <w:i w:val="1"/>
          <w:iCs w:val="1"/>
          <w:color w:val="auto"/>
        </w:rPr>
        <w:t>Our credit agreements contain a number of financial covenants, the breach of any of which could result in acceleration of payment of our credit facilities.</w:t>
      </w:r>
    </w:p>
    <w:p>
      <w:pPr>
        <w:spacing w:after="0" w:line="73" w:lineRule="exact"/>
        <w:rPr>
          <w:sz w:val="20"/>
          <w:szCs w:val="20"/>
          <w:color w:val="auto"/>
        </w:rPr>
      </w:pPr>
    </w:p>
    <w:p>
      <w:pPr>
        <w:jc w:val="both"/>
        <w:ind w:firstLine="319"/>
        <w:spacing w:after="0" w:line="249" w:lineRule="auto"/>
        <w:rPr>
          <w:sz w:val="20"/>
          <w:szCs w:val="20"/>
          <w:color w:val="auto"/>
        </w:rPr>
      </w:pPr>
      <w:r>
        <w:rPr>
          <w:rFonts w:ascii="Arial" w:cs="Arial" w:eastAsia="Arial" w:hAnsi="Arial"/>
          <w:sz w:val="18"/>
          <w:szCs w:val="18"/>
          <w:color w:val="auto"/>
        </w:rPr>
        <w:t>As of September 30, 2021, we had an outstanding unsecured balance of approximately $247.3 million in the aggregate under our two bank credit agreements. The agreements contain certain financial covenants that require us to maintain consolidated net worth in excess of a specified minimum amount and a leverage ratio as of the end of any fiscal quarter not in excess of 0.35 to 1. The agreements contain other covenants which, among other things, require ongoing compliance with applicable insurance regulations and require each of our regulated insurance subsidiaries to maintain ratings from A.M. Best not lower than an A-. A breach of any of these covenants could result in acceleration of our obligations to repay our outstanding indebtedness under such agreement if we are unable to obtain a waiver or amendment from our lenders, and otherwise could impair our ability to borrow funds or result in higher borrowing costs.</w:t>
      </w:r>
    </w:p>
    <w:p>
      <w:pPr>
        <w:spacing w:after="0" w:line="92"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b w:val="1"/>
          <w:bCs w:val="1"/>
          <w:i w:val="1"/>
          <w:iCs w:val="1"/>
          <w:color w:val="auto"/>
        </w:rPr>
        <w:t>Our actual incurred losses may be greater than our loss and loss adjustment expense reserves, which could have a material adverse effect on our financial condition and results of operations.</w:t>
      </w:r>
    </w:p>
    <w:p>
      <w:pPr>
        <w:spacing w:after="0" w:line="73"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Our financial condition and results of operations depend upon our ability to assess accurately the potential losses and loss adjustment expenses under the terms of the insurance policies or reinsurance contracts we underwrite. Reserves do not represent an exact calculation of liability. Rather, reserves represent an estimate of what we expect the ultimate settlement and administration of claims will cost us, and our ultimate liability may be greater or less than current reserves. These estimates are based on our assessment of facts and circumstances then known,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climate change, economic and judicial trends, and legislative changes. We continually monitor reserves using new information on reported claims and a variety of statistical techniques.</w:t>
      </w:r>
    </w:p>
    <w:p>
      <w:pPr>
        <w:spacing w:after="0" w:line="61" w:lineRule="exact"/>
        <w:rPr>
          <w:sz w:val="20"/>
          <w:szCs w:val="20"/>
          <w:color w:val="auto"/>
        </w:rPr>
      </w:pPr>
    </w:p>
    <w:p>
      <w:pPr>
        <w:jc w:val="both"/>
        <w:ind w:firstLine="319"/>
        <w:spacing w:after="0" w:line="265" w:lineRule="auto"/>
        <w:rPr>
          <w:sz w:val="20"/>
          <w:szCs w:val="20"/>
          <w:color w:val="auto"/>
        </w:rPr>
      </w:pPr>
      <w:r>
        <w:rPr>
          <w:rFonts w:ascii="Arial" w:cs="Arial" w:eastAsia="Arial" w:hAnsi="Arial"/>
          <w:sz w:val="17"/>
          <w:szCs w:val="17"/>
          <w:color w:val="auto"/>
        </w:rPr>
        <w:t>In the insurance and reinsurance industry, there is always the risk that reserves may prove inadequate, and actual results always differ from our reserve estimates. It is possible for insurance and reinsurance companies to underestimate the cost of claims. Our estimates could prove to be low, and this underestimation could have a material adverse effect on our financial strength. For example, for the commercial auto business in our Excess and Surplus Lines segment we experienced adverse development on the reserves for losses and loss adjustment expenses of: $170.1 million in the first quarter of 2021 principally relating to the 2019 and prior accident years; $92.2 million in 2020 principally relating to the 2018 and prior accident years; and $69.0 million in 2019 principally relating to the 2016 and 2017 accident years. In addition, in our Casualty Reinsurance segment we experienced adverse development on the reserves for losses and loss adjustment expenses of: $22.6 million for the nine months ended September 30, 2021 primarily associated with treaties the Company has exited; $37.8 million in 2020 primarily in accident years 2014 through 2018; and $23.1 million in 2019 primarily in accident years 2011 through 2016. We cannot assure that we will not have further adverse development in this business.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uncertainties we encounter in establishing our reserves for losses and related expenses in connection with our insurance businesses include:</w:t>
      </w:r>
    </w:p>
    <w:p>
      <w:pPr>
        <w:spacing w:after="0" w:line="135" w:lineRule="exact"/>
        <w:rPr>
          <w:sz w:val="20"/>
          <w:szCs w:val="20"/>
          <w:color w:val="auto"/>
        </w:rPr>
      </w:pPr>
    </w:p>
    <w:p>
      <w:pPr>
        <w:jc w:val="both"/>
        <w:ind w:left="640" w:hanging="315"/>
        <w:spacing w:after="0" w:line="253"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 we write “occurrence” policies, we are obligated to pay covered claims, up to the contractually agreed amount, for any covered loss that occurs while the policy is in force. Losses can emerge many years after a policy has lapsed. Accordingly, our first notice of a claim or group of claims may arise many years after a policy has lapsed. Approximately 94% of our Excess and Surplus Lines net casualty loss reserves are associated with “occurrence form” policies at December 31, 2020.</w:t>
      </w:r>
    </w:p>
    <w:p>
      <w:pPr>
        <w:spacing w:after="0" w:line="84" w:lineRule="exact"/>
        <w:rPr>
          <w:rFonts w:ascii="Arial" w:cs="Arial" w:eastAsia="Arial" w:hAnsi="Arial"/>
          <w:sz w:val="18"/>
          <w:szCs w:val="18"/>
          <w:color w:val="auto"/>
        </w:rPr>
      </w:pPr>
    </w:p>
    <w:p>
      <w:pPr>
        <w:jc w:val="both"/>
        <w:ind w:left="640" w:hanging="315"/>
        <w:spacing w:after="0" w:line="256"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Even when a claim is received (irrespective of whether the policy is a “claims made” or “occurrence” basis form), it may take considerable time to fully appreciate the extent of the covered loss suffered by the insured and, consequently, estimates of loss associated with specific claims can increase over time.</w:t>
      </w:r>
    </w:p>
    <w:p>
      <w:pPr>
        <w:spacing w:after="0" w:line="82" w:lineRule="exact"/>
        <w:rPr>
          <w:rFonts w:ascii="Arial" w:cs="Arial" w:eastAsia="Arial" w:hAnsi="Arial"/>
          <w:sz w:val="18"/>
          <w:szCs w:val="18"/>
          <w:color w:val="auto"/>
        </w:rPr>
      </w:pPr>
    </w:p>
    <w:p>
      <w:pPr>
        <w:ind w:left="640" w:hanging="315"/>
        <w:spacing w:after="0" w:line="266"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theories of liability are enforced retroactively from time to time by courts. See also “The effect of emerging claim and coverage issues on our business is uncertain” risk factor in our Annual Report on Form 10-K for the year ended December 31, 2020.</w:t>
      </w:r>
    </w:p>
    <w:p>
      <w:pPr>
        <w:spacing w:after="0" w:line="73" w:lineRule="exact"/>
        <w:rPr>
          <w:rFonts w:ascii="Arial" w:cs="Arial" w:eastAsia="Arial" w:hAnsi="Arial"/>
          <w:sz w:val="18"/>
          <w:szCs w:val="18"/>
          <w:color w:val="auto"/>
        </w:rPr>
      </w:pPr>
    </w:p>
    <w:p>
      <w:pPr>
        <w:ind w:left="640" w:hanging="315"/>
        <w:spacing w:after="0" w:line="296"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Volatility in the financial markets, economic events and other external factors may result in an increase in the number of claims and the severity of the claims reported. In addition, elevated inflationary conditions could, among other things, cause loss costs to increase.</w:t>
      </w:r>
    </w:p>
    <w:p>
      <w:pPr>
        <w:spacing w:after="0" w:line="49" w:lineRule="exact"/>
        <w:rPr>
          <w:rFonts w:ascii="Arial" w:cs="Arial" w:eastAsia="Arial" w:hAnsi="Arial"/>
          <w:sz w:val="17"/>
          <w:szCs w:val="17"/>
          <w:color w:val="auto"/>
        </w:rPr>
      </w:pPr>
    </w:p>
    <w:p>
      <w:pPr>
        <w:jc w:val="both"/>
        <w:ind w:left="640" w:hanging="315"/>
        <w:spacing w:after="0" w:line="256"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claims became more frequent, even if we had no liability for those claims, the cost of evaluating these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spacing w:after="0" w:line="82" w:lineRule="exact"/>
        <w:rPr>
          <w:rFonts w:ascii="Arial" w:cs="Arial" w:eastAsia="Arial" w:hAnsi="Arial"/>
          <w:sz w:val="18"/>
          <w:szCs w:val="18"/>
          <w:color w:val="auto"/>
        </w:rPr>
      </w:pPr>
    </w:p>
    <w:p>
      <w:pPr>
        <w:ind w:left="640" w:right="20" w:hanging="315"/>
        <w:spacing w:after="0" w:line="329" w:lineRule="auto"/>
        <w:tabs>
          <w:tab w:leader="none" w:pos="635"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occasionally enter new lines of insurance, and as a consequence, we sometimes have to make estimates of future losses for risk classes with which we do not have a great deal of experience. This lack of experience may contribute to making errors of judgment when establishing reserves.</w:t>
      </w:r>
    </w:p>
    <w:p>
      <w:pPr>
        <w:spacing w:after="0" w:line="27"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In addition, reinsurance reserve estimates are typically subject to greater uncertainty than insurance reserve estimates, primarily due to reliance on the original underwriting decisions made by the ceding company. As a result, we are subject to the risk that our ceding companies may not have adequately evaluated the risks reinsured by us and the premiums ceded may not adequately compensate us for the risks we assume. Other factors resulting in additional uncertainty in establishing reinsurance reserves include:</w:t>
      </w:r>
    </w:p>
    <w:p>
      <w:pPr>
        <w:spacing w:after="0" w:line="85" w:lineRule="exact"/>
        <w:rPr>
          <w:sz w:val="20"/>
          <w:szCs w:val="20"/>
          <w:color w:val="auto"/>
        </w:rPr>
      </w:pPr>
    </w:p>
    <w:p>
      <w:pPr>
        <w:ind w:left="640" w:hanging="315"/>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increased lapse of time from the occurrence of an event to the reporting of the claim and the ultimate resolution or settlement of the claim.</w:t>
      </w:r>
    </w:p>
    <w:p>
      <w:pPr>
        <w:spacing w:after="0" w:line="135" w:lineRule="exact"/>
        <w:rPr>
          <w:rFonts w:ascii="Arial" w:cs="Arial" w:eastAsia="Arial" w:hAnsi="Arial"/>
          <w:sz w:val="16"/>
          <w:szCs w:val="16"/>
          <w:color w:val="auto"/>
        </w:rPr>
      </w:pPr>
    </w:p>
    <w:p>
      <w:pPr>
        <w:ind w:left="640" w:hanging="315"/>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diversity of development patterns among different types of reinsurance treaties.</w:t>
      </w:r>
    </w:p>
    <w:p>
      <w:pPr>
        <w:spacing w:after="0" w:line="112" w:lineRule="exact"/>
        <w:rPr>
          <w:rFonts w:ascii="Arial" w:cs="Arial" w:eastAsia="Arial" w:hAnsi="Arial"/>
          <w:sz w:val="18"/>
          <w:szCs w:val="18"/>
          <w:color w:val="auto"/>
        </w:rPr>
      </w:pPr>
    </w:p>
    <w:p>
      <w:pPr>
        <w:ind w:left="640" w:hanging="315"/>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necessary reliance on the ceding company for information regarding claims.</w:t>
      </w:r>
    </w:p>
    <w:p>
      <w:pPr>
        <w:spacing w:after="0" w:line="112" w:lineRule="exact"/>
        <w:rPr>
          <w:sz w:val="20"/>
          <w:szCs w:val="20"/>
          <w:color w:val="auto"/>
        </w:rPr>
      </w:pPr>
    </w:p>
    <w:p>
      <w:pPr>
        <w:jc w:val="both"/>
        <w:ind w:firstLine="319"/>
        <w:spacing w:after="0" w:line="272" w:lineRule="auto"/>
        <w:rPr>
          <w:sz w:val="20"/>
          <w:szCs w:val="20"/>
          <w:color w:val="auto"/>
        </w:rPr>
      </w:pPr>
      <w:r>
        <w:rPr>
          <w:rFonts w:ascii="Arial" w:cs="Arial" w:eastAsia="Arial" w:hAnsi="Arial"/>
          <w:sz w:val="17"/>
          <w:szCs w:val="17"/>
          <w:color w:val="auto"/>
        </w:rPr>
        <w:t>If any of our insurance or reinsurance reserves should prove to be inadequate for the reasons discussed above, or for any other reason, we will be required to increase reserves, resulting in a reduction in our net income and shareholders’ equity in the period in which the deficiency is identified. Future loss experience substantially in excess of established reserves could also have a material adverse effect on future earnings and liquidity and financial rating, which could affect our ability to attract business, our cost of capital and our ability to retain or hire qualified personnel.</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The ongoing effect of the 2017 Tax Act, as well as other changes in U.S. tax law, may have a significant impact on the Company.</w:t>
      </w:r>
    </w:p>
    <w:p>
      <w:pPr>
        <w:spacing w:after="0" w:line="124"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Public Law No. 115-97, enacted in December 2017 and informally titled the Tax Cuts and Jobs Act (the “Tax Act”), introduced significant changes to the Internal Revenue Code of 1986, as amended. The Tax Act contained many provisions that impact us and our shareholders, including provisions that impose a base erosion and anti-abuse tax (“BEAT”) on income of a U.S. corporation determined without regard to certain otherwise deductible payments made to certain foreign affiliates (including premium or other consideration paid or accrued to a related foreign reinsurance company for reinsurance), broaden the definition of United States shareholder for purposes of the controlled foreign corporation rules, and make it more difficult for a foreign insurance company to avoid being treated as a passive foreign investment company (“PFIC”).</w:t>
      </w:r>
    </w:p>
    <w:p>
      <w:pPr>
        <w:spacing w:after="0" w:line="73"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There is continued uncertainty regarding how these and other provisions of the Tax Act will be interpreted, although guidance in proposed and final forms has been released with respect to certain provisions of the Tax Act, including certain BEAT and PFIC provisions, that may impact the Company. The ultimate impact of the Tax Act may differ from the Company’s description below due to changes in interpretations, as well as additional regulatory guidance that may be issued. Given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complexity of the Tax Act, you are strongly encouraged to consult your own tax advisor regarding its potential impact on the U.S. federal income tax consequences to you considering your particular circumstance.</w:t>
      </w:r>
    </w:p>
    <w:p>
      <w:pPr>
        <w:spacing w:after="0" w:line="73" w:lineRule="exact"/>
        <w:rPr>
          <w:sz w:val="20"/>
          <w:szCs w:val="20"/>
          <w:color w:val="auto"/>
        </w:rPr>
      </w:pPr>
    </w:p>
    <w:p>
      <w:pPr>
        <w:jc w:val="both"/>
        <w:ind w:right="20" w:firstLine="319"/>
        <w:spacing w:after="0" w:line="266" w:lineRule="auto"/>
        <w:rPr>
          <w:sz w:val="20"/>
          <w:szCs w:val="20"/>
          <w:color w:val="auto"/>
        </w:rPr>
      </w:pPr>
      <w:r>
        <w:rPr>
          <w:rFonts w:ascii="Arial" w:cs="Arial" w:eastAsia="Arial" w:hAnsi="Arial"/>
          <w:sz w:val="18"/>
          <w:szCs w:val="18"/>
          <w:color w:val="auto"/>
        </w:rPr>
        <w:t>Apart from enactment of the Tax Act, other legislative proposals or administrative or judicial developments could also result in an increase in the amount of U.S. tax payable by us or by an owner of our common shares.</w:t>
      </w:r>
    </w:p>
    <w:p>
      <w:pPr>
        <w:spacing w:after="0" w:line="73" w:lineRule="exact"/>
        <w:rPr>
          <w:sz w:val="20"/>
          <w:szCs w:val="20"/>
          <w:color w:val="auto"/>
        </w:rPr>
      </w:pPr>
    </w:p>
    <w:p>
      <w:pPr>
        <w:jc w:val="both"/>
        <w:ind w:firstLine="319"/>
        <w:spacing w:after="0" w:line="256" w:lineRule="auto"/>
        <w:rPr>
          <w:sz w:val="20"/>
          <w:szCs w:val="20"/>
          <w:color w:val="auto"/>
        </w:rPr>
      </w:pPr>
      <w:r>
        <w:rPr>
          <w:rFonts w:ascii="Arial" w:cs="Arial" w:eastAsia="Arial" w:hAnsi="Arial"/>
          <w:sz w:val="18"/>
          <w:szCs w:val="18"/>
          <w:b w:val="1"/>
          <w:bCs w:val="1"/>
          <w:i w:val="1"/>
          <w:iCs w:val="1"/>
          <w:color w:val="auto"/>
        </w:rPr>
        <w:t>We are subject to extensive regulation, which may materially adversely affect our ability to achieve our business objectives. In addition, if we fail to comply with these regulations, we may be subject to penalties, including fines and suspensions, which may materially adversely affect our financial condition and results of operations.</w:t>
      </w:r>
    </w:p>
    <w:p>
      <w:pPr>
        <w:spacing w:after="0" w:line="82"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17"/>
          <w:szCs w:val="17"/>
          <w:color w:val="auto"/>
        </w:rPr>
        <w:t>Our admitted insurance and reinsurance subsidiaries are subject to extensive regulation, primarily by California (the domiciliary state for Falls Lake Fire and Casualty Company), Ohio (the domiciliary state for James River Insurance and Falls Lake National), North Carolina (the domiciliary state for Stonewood Insurance), Virginia (the domiciliary state for James River Casualty), Bermuda (the domicile of JRG Re and Carolina Re), and to a lesser degree, the other jurisdictions in the United States in which we operate. Most insurance regulations are designed to protect the interests of insurance policyholders, as opposed to the interests of shareholders. These regulations generally are administered by a department of insurance in each state and, in the case of JRG Re and Carolina Re, the Bermuda Monetary Authority (“BMA”) in Bermuda, and relate to, among other things, authorizations to write certain lines of business, capital and surplus requirements, reserve requirements, rate and form approvals, investment and underwriting limitations, affiliate transactions, dividend limitations, cancellation and non-renewal of policies, changes in control, solvency, receipt of reinsurance credit, accounting principles and a variety of other financial and non-financial aspects of our business. These laws and regulations are regularly re-examined and any changes in these laws and regulations or new laws or interpretations thereof may be more restrictive, could make it more expensive to conduct business or otherwise materially adversely affect our financial condition or operations. State insurance departments and the BMA also conduct periodic examinations of the affairs of insurance companies and reinsurance companies and require the filing of annual and other reports relating to financial condition, holding company issues and other matters. These regulatory requirements may impose timing and expense or other constraints that could materially adversely affect our ability to achieve some or all of our business objectives. Failure by any of insurance subsidiaries to comply with applicable regulations could result in a requirement for that subsidiary to cease writing business.</w:t>
      </w:r>
    </w:p>
    <w:p>
      <w:pPr>
        <w:spacing w:after="0" w:line="84" w:lineRule="exact"/>
        <w:rPr>
          <w:sz w:val="20"/>
          <w:szCs w:val="20"/>
          <w:color w:val="auto"/>
        </w:rPr>
      </w:pPr>
    </w:p>
    <w:p>
      <w:pPr>
        <w:jc w:val="both"/>
        <w:ind w:firstLine="319"/>
        <w:spacing w:after="0" w:line="286" w:lineRule="auto"/>
        <w:rPr>
          <w:sz w:val="20"/>
          <w:szCs w:val="20"/>
          <w:color w:val="auto"/>
        </w:rPr>
      </w:pPr>
      <w:r>
        <w:rPr>
          <w:rFonts w:ascii="Arial" w:cs="Arial" w:eastAsia="Arial" w:hAnsi="Arial"/>
          <w:sz w:val="16"/>
          <w:szCs w:val="16"/>
          <w:color w:val="auto"/>
        </w:rPr>
        <w:t>In addition, regulatory authorities have broad discretion to deny or revoke licenses for various reasons, including the violation of regulations. For example, an insurer’s registration may be cancelled by the BMA on certain grounds specified in the Insurance Act, including failure by the insurer to comply with its obligations under the Insurance Act, or if the BMA believes that the insurer has not been carrying on business in accordance with sound insurance principles. In some instances, where there is uncertainty as to applicability, we follow practices based on our interpretations of regulations or practices that we believe are generally followed by the industry. These practices may turn out to be different from the interpretations of regulatory authorities. If we do not have the requisite licenses and approvals or do not comply with applicable regulatory requirements, insurance regulatory authorities could preclude or temporarily suspend us from carrying on some or all of our activities or otherwise penalize us. This could materially adversely affect our ability to operate our business.</w:t>
      </w:r>
    </w:p>
    <w:p>
      <w:pPr>
        <w:spacing w:after="0" w:line="61"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8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7"/>
          <w:szCs w:val="17"/>
          <w:color w:val="auto"/>
        </w:rPr>
        <w:t>The National Association of Insurance Commissioners (“NAIC”) has developed a system to test the adequacy of statutory capital of U.S.-based insurers, known as risk-based capital or “RBC,” that many states have adopted. This system establishes the minimum amount of risk-based capital necessary for an insurer to support its overall business operations. It identifies property-casualty insurers that may be inadequately capitalized by looking at certain inherent risks of each insurer’s assets and liabilities and its mix of net written premiums. Insurers falling below a calculated threshold may be subject to varying degrees of regulatory action, including supervision, rehabilitation or liquidation. Failure to maintain adequate risk-based capital at the required levels could materially adversely affect the ability of our insurance subsidiaries to maintain regulatory authority to conduct their business. For additional information, see “Item 1. Business—Regulation—U.S. Insurance Regulation—State Regulation.” in our Annual Report on Form 10-K for the year ended December 31, 2020, which report is incorporated into the prospectus supplement by reference.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In addition, the various state insurance regulators have increased their focus on risks within an insurer’s holding company system that may pose enterprise risk to the insurer. In 2012, the NAIC adopted certain amendments, which when adopted by the various states, are designed to respond to perceived gaps in the regulation of insurance holding company systems in the United States. One of the major changes is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Other changes include (i) requiring a controlling person to submit prior notice to its domiciliary insurance regulator of a divestiture of control, (ii) having detailed minimum requirements for cost sharing and management agreements between an insurer and its affiliates and (iii) expanding the types of agreements between an insurer and its affiliates to be filed with its domiciliary insurance regulator. The amendments must be adopted by a state legislature and such state’s insurance regulator in order to be effective in that state. Each of California, North Carolina, Ohio and Virginia, the states in which our U.S. insurance subsidiaries are domiciled, include this enterprise risk report requirement.</w:t>
      </w:r>
    </w:p>
    <w:p>
      <w:pPr>
        <w:spacing w:after="0" w:line="81" w:lineRule="exact"/>
        <w:rPr>
          <w:sz w:val="20"/>
          <w:szCs w:val="20"/>
          <w:color w:val="auto"/>
        </w:rPr>
      </w:pPr>
    </w:p>
    <w:p>
      <w:pPr>
        <w:jc w:val="both"/>
        <w:ind w:firstLine="319"/>
        <w:spacing w:after="0" w:line="268" w:lineRule="auto"/>
        <w:rPr>
          <w:sz w:val="20"/>
          <w:szCs w:val="20"/>
          <w:color w:val="auto"/>
        </w:rPr>
      </w:pPr>
      <w:r>
        <w:rPr>
          <w:rFonts w:ascii="Arial" w:cs="Arial" w:eastAsia="Arial" w:hAnsi="Arial"/>
          <w:sz w:val="17"/>
          <w:szCs w:val="17"/>
          <w:color w:val="auto"/>
        </w:rPr>
        <w:t>In 2012, the NAIC also adopted the Risk Management and Own Risk and Solvency Assessment Model Act (the “ORSA Model Act”). The ORSA Model Act, when adopted by the various states, requires an insurance holding company system’s Chief Risk Officer to submit annually to its lead state insurance regulator an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 The ORSA Model Act must be adopted by a state legislature in order to be effective in that state. Each of California, North Carolina, Ohio and Virginia, the states in which our U.S. insurance subsidiaries are domiciled, adopted and require an ORSA filing.</w:t>
      </w:r>
    </w:p>
    <w:p>
      <w:pPr>
        <w:spacing w:after="0" w:line="73" w:lineRule="exact"/>
        <w:rPr>
          <w:sz w:val="20"/>
          <w:szCs w:val="20"/>
          <w:color w:val="auto"/>
        </w:rPr>
      </w:pPr>
    </w:p>
    <w:p>
      <w:pPr>
        <w:jc w:val="both"/>
        <w:ind w:firstLine="319"/>
        <w:spacing w:after="0" w:line="253" w:lineRule="auto"/>
        <w:rPr>
          <w:sz w:val="20"/>
          <w:szCs w:val="20"/>
          <w:color w:val="auto"/>
        </w:rPr>
      </w:pPr>
      <w:r>
        <w:rPr>
          <w:rFonts w:ascii="Arial" w:cs="Arial" w:eastAsia="Arial" w:hAnsi="Arial"/>
          <w:sz w:val="18"/>
          <w:szCs w:val="18"/>
          <w:color w:val="auto"/>
        </w:rPr>
        <w:t>We cannot predict with certainty the effect any enacted, proposed or future state or federal regulation or NAIC initiative may have on the conduct of our business. Furthermore, there can be no assurance that the regulatory requirements applicable to our business will not become more stringent in the future or result in materially higher cost than current requirements. Changes in regulation of our business may materially reduce our profitability, limit our growth or otherwise materially adversely affect our operations.</w:t>
      </w:r>
    </w:p>
    <w:p>
      <w:pPr>
        <w:spacing w:after="0" w:line="85"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b w:val="1"/>
          <w:bCs w:val="1"/>
          <w:i w:val="1"/>
          <w:iCs w:val="1"/>
          <w:color w:val="auto"/>
        </w:rPr>
        <w:t>We depend upon dividends and distributions from our subsidiaries, and we may be unable to distribute dividends to our shareholders to the extent we do not receive dividends from our subsidiaries.</w:t>
      </w:r>
    </w:p>
    <w:p>
      <w:pPr>
        <w:spacing w:after="0" w:line="73" w:lineRule="exact"/>
        <w:rPr>
          <w:sz w:val="20"/>
          <w:szCs w:val="20"/>
          <w:color w:val="auto"/>
        </w:rPr>
      </w:pPr>
    </w:p>
    <w:p>
      <w:pPr>
        <w:jc w:val="both"/>
        <w:ind w:firstLine="319"/>
        <w:spacing w:after="0" w:line="290" w:lineRule="auto"/>
        <w:rPr>
          <w:sz w:val="20"/>
          <w:szCs w:val="20"/>
          <w:color w:val="auto"/>
        </w:rPr>
      </w:pPr>
      <w:r>
        <w:rPr>
          <w:rFonts w:ascii="Arial" w:cs="Arial" w:eastAsia="Arial" w:hAnsi="Arial"/>
          <w:sz w:val="16"/>
          <w:szCs w:val="16"/>
          <w:color w:val="auto"/>
        </w:rPr>
        <w:t>We are a holding company that has no substantial operations of our own. Accordingly, we rely primarily on cash dividends or distributions from our operating subsidiaries to pay our operating expenses and any dividends that we may pay to shareholders. The payment of dividends by our insurance and reinsurance subsidiaries is limited under the laws and regulations of the applicable domicile. These regulations stipulate the maximum amount of annual dividends or other distributions available to shareholders without prior approval of the relevant regulatory authorities. As a result of such regulations, we may not be able to pay our operating expenses as they become due and our payment of future dividends to shareholders may be limited.</w:t>
      </w:r>
    </w:p>
    <w:p>
      <w:pPr>
        <w:spacing w:after="0" w:line="58" w:lineRule="exact"/>
        <w:rPr>
          <w:sz w:val="20"/>
          <w:szCs w:val="20"/>
          <w:color w:val="auto"/>
        </w:rPr>
      </w:pPr>
    </w:p>
    <w:p>
      <w:pPr>
        <w:jc w:val="both"/>
        <w:ind w:firstLine="319"/>
        <w:spacing w:after="0" w:line="263" w:lineRule="auto"/>
        <w:rPr>
          <w:sz w:val="20"/>
          <w:szCs w:val="20"/>
          <w:color w:val="auto"/>
        </w:rPr>
      </w:pPr>
      <w:r>
        <w:rPr>
          <w:rFonts w:ascii="Arial" w:cs="Arial" w:eastAsia="Arial" w:hAnsi="Arial"/>
          <w:sz w:val="17"/>
          <w:szCs w:val="17"/>
          <w:color w:val="auto"/>
        </w:rPr>
        <w:t>The payment of dividends by our subsidiaries to us is limited by statute. In general, the laws and regulations applicable to our U.S. insurance subsidiaries limit the aggregate amount of dividends or other distributions that they may declare or pay within any 12 month period without advance regulatory approval. In Ohio, the domiciliary state of Falls Lake National and James River Insurance, this limitation is the greater of statutory net income for the preceding calendar year or 10% of the statutory surplus at the end of the preceding calendar year, provided that such dividends may only be paid out of earned surplus of each of the companies, without obtaining regulatory approval. In North Carolina, the domiciliary state of Stonewood Insurance,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Virginia, the domiciliary state of James River Casualty, this limitation is the greater of statutory net income excluding realized capital gains for the preceding calendar year or 10% of the statutory surplus at the end of the preceding calendar year, provided that such dividends may only be paid out of unassigned surplus without obtaining regulatory approval. In California, the domiciliary state of Falls Lake Fire and Casualty Company,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 In addition, dividends paid by our U.S. subsidiaries to our U.K. holding company are subject to a 5% withholding tax by the IRS. Under U.K. domestic law, no withholding tax is applied to dividends paid by U.K. tax resident companies.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319"/>
        <w:spacing w:after="0" w:line="264" w:lineRule="auto"/>
        <w:rPr>
          <w:sz w:val="20"/>
          <w:szCs w:val="20"/>
          <w:color w:val="auto"/>
        </w:rPr>
      </w:pPr>
      <w:r>
        <w:rPr>
          <w:rFonts w:ascii="Arial" w:cs="Arial" w:eastAsia="Arial" w:hAnsi="Arial"/>
          <w:sz w:val="17"/>
          <w:szCs w:val="17"/>
          <w:color w:val="auto"/>
        </w:rPr>
        <w:t>Carolina Re and JRG Re, which are domiciled in Bermuda, are registered as a Class 3A and Class 3B, respectively, insurer under the Insurance Act. The Insurance Act, the conditions listed in the insurance license and the applicable approvals issued by the BMA provide that Carolina Re and JRG Re are required to maintain a combined minimum statutory solvency margin of approximately $172.9 million as of December 31, 2020. A Class 3A and a Class 3B insurer is prohibited from declaring or paying a dividend if it fails to meet, before or after declaration or payment of such dividend, its: (i) requirements under the Companies Act, (ii) minimum solvency margin, (iii) enhanced capital requirement or (iv) minimum liquidity ratio. If a Class 3A or Class 3B insurer fails to meet its minimum solvency margin or minimum liquidity ratio on the last day of any financial year, it is prohibited from declaring or paying any dividends during the next financial year without the approval of the BMA. In addition, Carolina Re, as a Class 3A insurer, and JRG Re, as a Class 3B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BMA an affidavit signed by at least two directors (one of whom must be a Bermuda resident director if any of the insurer’s directors are resident in Bermuda) and the principal representative stating that it will continue to meet its solvency margin and minimum liquidity ratio. Where such an affidavit is filed, it shall be available for public inspection at the offices of the BMA.</w:t>
      </w:r>
    </w:p>
    <w:p>
      <w:pPr>
        <w:spacing w:after="0" w:line="79" w:lineRule="exact"/>
        <w:rPr>
          <w:sz w:val="20"/>
          <w:szCs w:val="20"/>
          <w:color w:val="auto"/>
        </w:rPr>
      </w:pPr>
    </w:p>
    <w:p>
      <w:pPr>
        <w:jc w:val="both"/>
        <w:ind w:firstLine="319"/>
        <w:spacing w:after="0" w:line="266" w:lineRule="auto"/>
        <w:rPr>
          <w:sz w:val="20"/>
          <w:szCs w:val="20"/>
          <w:color w:val="auto"/>
        </w:rPr>
      </w:pPr>
      <w:r>
        <w:rPr>
          <w:rFonts w:ascii="Arial" w:cs="Arial" w:eastAsia="Arial" w:hAnsi="Arial"/>
          <w:sz w:val="18"/>
          <w:szCs w:val="18"/>
          <w:color w:val="auto"/>
        </w:rPr>
        <w:t>The inability of our subsidiaries to pay dividends or make distributions to us, including as a result of regulatory or other restrictions, may prevent us from paying our expenses or paying dividends to our shareholders.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60" w:type="dxa"/>
            <w:vAlign w:val="bottom"/>
            <w:gridSpan w:val="23"/>
            <w:vMerge w:val="restart"/>
          </w:tcPr>
          <w:p>
            <w:pPr>
              <w:ind w:left="14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6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900" w:type="dxa"/>
            <w:vAlign w:val="bottom"/>
            <w:tcBorders>
              <w:top w:val="single" w:sz="8" w:color="auto"/>
            </w:tcBorders>
          </w:tcPr>
          <w:p>
            <w:pPr>
              <w:ind w:left="20"/>
              <w:spacing w:after="0" w:line="181" w:lineRule="exact"/>
              <w:rPr>
                <w:sz w:val="20"/>
                <w:szCs w:val="20"/>
                <w:color w:val="auto"/>
              </w:rPr>
            </w:pPr>
            <w:r>
              <w:rPr>
                <w:rFonts w:ascii="Arial" w:cs="Arial" w:eastAsia="Arial" w:hAnsi="Arial"/>
                <w:sz w:val="18"/>
                <w:szCs w:val="18"/>
                <w:color w:val="auto"/>
              </w:rPr>
              <w:t>3.1</w:t>
            </w:r>
          </w:p>
        </w:tc>
        <w:tc>
          <w:tcPr>
            <w:tcW w:w="6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800" w:type="dxa"/>
            <w:vAlign w:val="bottom"/>
            <w:tcBorders>
              <w:top w:val="single" w:sz="8" w:color="auto"/>
            </w:tcBorders>
            <w:gridSpan w:val="26"/>
          </w:tcPr>
          <w:p>
            <w:pPr>
              <w:spacing w:after="0" w:line="181" w:lineRule="exact"/>
              <w:rPr>
                <w:rFonts w:ascii="Arial" w:cs="Arial" w:eastAsia="Arial" w:hAnsi="Arial"/>
                <w:sz w:val="18"/>
                <w:szCs w:val="18"/>
                <w:color w:val="0000FF"/>
                <w:w w:val="99"/>
              </w:rPr>
            </w:pPr>
            <w:hyperlink r:id="rId80">
              <w:r>
                <w:rPr>
                  <w:rFonts w:ascii="Arial" w:cs="Arial" w:eastAsia="Arial" w:hAnsi="Arial"/>
                  <w:sz w:val="18"/>
                  <w:szCs w:val="18"/>
                  <w:color w:val="0000FF"/>
                  <w:w w:val="99"/>
                </w:rPr>
                <w:t>Certificate of Incorporation of James River Group Holdings, Ltd. (incorporated by reference to Exhibit 3.1 of the</w:t>
              </w:r>
            </w:hyperlink>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tcBorders>
            <w:gridSpan w:val="20"/>
          </w:tcPr>
          <w:p>
            <w:pPr>
              <w:spacing w:after="0" w:line="153" w:lineRule="exact"/>
              <w:rPr>
                <w:rFonts w:ascii="Arial" w:cs="Arial" w:eastAsia="Arial" w:hAnsi="Arial"/>
                <w:sz w:val="17"/>
                <w:szCs w:val="17"/>
                <w:color w:val="0000FF"/>
                <w:w w:val="98"/>
              </w:rPr>
            </w:pPr>
            <w:hyperlink r:id="rId80">
              <w:r>
                <w:rPr>
                  <w:rFonts w:ascii="Arial" w:cs="Arial" w:eastAsia="Arial" w:hAnsi="Arial"/>
                  <w:sz w:val="17"/>
                  <w:szCs w:val="17"/>
                  <w:color w:val="0000FF"/>
                  <w:w w:val="98"/>
                </w:rPr>
                <w:t>Registration Statement on Form S-1, Registration No. 333-199958, filed with the Commission on November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900" w:type="dxa"/>
            <w:vAlign w:val="bottom"/>
          </w:tcPr>
          <w:p>
            <w:pPr>
              <w:ind w:left="2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6"/>
          </w:tcPr>
          <w:p>
            <w:pPr>
              <w:spacing w:after="0"/>
              <w:rPr>
                <w:rFonts w:ascii="Arial" w:cs="Arial" w:eastAsia="Arial" w:hAnsi="Arial"/>
                <w:sz w:val="18"/>
                <w:szCs w:val="18"/>
                <w:color w:val="0000FF"/>
                <w:w w:val="93"/>
              </w:rPr>
            </w:pPr>
            <w:hyperlink r:id="rId81">
              <w:r>
                <w:rPr>
                  <w:rFonts w:ascii="Arial" w:cs="Arial" w:eastAsia="Arial" w:hAnsi="Arial"/>
                  <w:sz w:val="18"/>
                  <w:szCs w:val="18"/>
                  <w:color w:val="0000FF"/>
                  <w:w w:val="93"/>
                </w:rPr>
                <w:t>Certificate of Incorporation on Change of Name (incorporated by reference to Exhibit 3.2 of the Registration Statement</w:t>
              </w:r>
            </w:hyperlink>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tcBorders>
            <w:gridSpan w:val="22"/>
          </w:tcPr>
          <w:p>
            <w:pPr>
              <w:spacing w:after="0" w:line="153" w:lineRule="exact"/>
              <w:rPr>
                <w:rFonts w:ascii="Arial" w:cs="Arial" w:eastAsia="Arial" w:hAnsi="Arial"/>
                <w:sz w:val="17"/>
                <w:szCs w:val="17"/>
                <w:color w:val="0000FF"/>
              </w:rPr>
            </w:pPr>
            <w:hyperlink r:id="rId81">
              <w:r>
                <w:rPr>
                  <w:rFonts w:ascii="Arial" w:cs="Arial" w:eastAsia="Arial" w:hAnsi="Arial"/>
                  <w:sz w:val="17"/>
                  <w:szCs w:val="17"/>
                  <w:color w:val="0000FF"/>
                </w:rPr>
                <w:t>on Form S-1, Registration No. 333-199958, filed with the Commission on November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900" w:type="dxa"/>
            <w:vAlign w:val="bottom"/>
          </w:tcPr>
          <w:p>
            <w:pPr>
              <w:ind w:left="20"/>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6"/>
          </w:tcPr>
          <w:p>
            <w:pPr>
              <w:spacing w:after="0"/>
              <w:rPr>
                <w:rFonts w:ascii="Arial" w:cs="Arial" w:eastAsia="Arial" w:hAnsi="Arial"/>
                <w:sz w:val="18"/>
                <w:szCs w:val="18"/>
                <w:color w:val="0000FF"/>
                <w:w w:val="97"/>
              </w:rPr>
            </w:pPr>
            <w:hyperlink r:id="rId82">
              <w:r>
                <w:rPr>
                  <w:rFonts w:ascii="Arial" w:cs="Arial" w:eastAsia="Arial" w:hAnsi="Arial"/>
                  <w:sz w:val="18"/>
                  <w:szCs w:val="18"/>
                  <w:color w:val="0000FF"/>
                  <w:w w:val="97"/>
                </w:rPr>
                <w:t>Memorandum of Association of James River Group Holdings, Ltd. (incorporated by reference to Exhibit 3.3 of the</w:t>
              </w:r>
            </w:hyperlink>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17"/>
          </w:tcPr>
          <w:p>
            <w:pPr>
              <w:spacing w:after="0" w:line="153" w:lineRule="exact"/>
              <w:rPr>
                <w:rFonts w:ascii="Arial" w:cs="Arial" w:eastAsia="Arial" w:hAnsi="Arial"/>
                <w:sz w:val="17"/>
                <w:szCs w:val="17"/>
                <w:color w:val="0000FF"/>
                <w:w w:val="98"/>
              </w:rPr>
            </w:pPr>
            <w:hyperlink r:id="rId82">
              <w:r>
                <w:rPr>
                  <w:rFonts w:ascii="Arial" w:cs="Arial" w:eastAsia="Arial" w:hAnsi="Arial"/>
                  <w:sz w:val="17"/>
                  <w:szCs w:val="17"/>
                  <w:color w:val="0000FF"/>
                  <w:w w:val="98"/>
                </w:rPr>
                <w:t>Registration Statement on Form S-1, Registration No. 333-199958, filed with the Commission on November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900" w:type="dxa"/>
            <w:vAlign w:val="bottom"/>
          </w:tcPr>
          <w:p>
            <w:pPr>
              <w:ind w:left="20"/>
              <w:spacing w:after="0"/>
              <w:rPr>
                <w:sz w:val="20"/>
                <w:szCs w:val="20"/>
                <w:color w:val="auto"/>
              </w:rPr>
            </w:pPr>
            <w:r>
              <w:rPr>
                <w:rFonts w:ascii="Arial" w:cs="Arial" w:eastAsia="Arial" w:hAnsi="Arial"/>
                <w:sz w:val="18"/>
                <w:szCs w:val="18"/>
                <w:color w:val="auto"/>
              </w:rPr>
              <w:t>3.4</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6"/>
          </w:tcPr>
          <w:p>
            <w:pPr>
              <w:spacing w:after="0"/>
              <w:rPr>
                <w:rFonts w:ascii="Arial" w:cs="Arial" w:eastAsia="Arial" w:hAnsi="Arial"/>
                <w:sz w:val="18"/>
                <w:szCs w:val="18"/>
                <w:color w:val="0000FF"/>
                <w:w w:val="99"/>
              </w:rPr>
            </w:pPr>
            <w:hyperlink r:id="rId83">
              <w:r>
                <w:rPr>
                  <w:rFonts w:ascii="Arial" w:cs="Arial" w:eastAsia="Arial" w:hAnsi="Arial"/>
                  <w:sz w:val="18"/>
                  <w:szCs w:val="18"/>
                  <w:color w:val="0000FF"/>
                  <w:w w:val="99"/>
                </w:rPr>
                <w:t>Certificate of Deposit of Memorandum of Increase of Share Capital, dated December 24, 2007 (incorporated by</w:t>
              </w:r>
            </w:hyperlink>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24"/>
          </w:tcPr>
          <w:p>
            <w:pPr>
              <w:spacing w:after="0" w:line="153" w:lineRule="exact"/>
              <w:rPr>
                <w:rFonts w:ascii="Arial" w:cs="Arial" w:eastAsia="Arial" w:hAnsi="Arial"/>
                <w:sz w:val="17"/>
                <w:szCs w:val="17"/>
                <w:color w:val="0000FF"/>
              </w:rPr>
            </w:pPr>
            <w:hyperlink r:id="rId83">
              <w:r>
                <w:rPr>
                  <w:rFonts w:ascii="Arial" w:cs="Arial" w:eastAsia="Arial" w:hAnsi="Arial"/>
                  <w:sz w:val="17"/>
                  <w:szCs w:val="17"/>
                  <w:color w:val="0000FF"/>
                </w:rPr>
                <w:t>reference to Exhibit 3.4 of the Registration Statement on Form S-1, Registration No. 333-199958, filed with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tcBorders>
            <w:gridSpan w:val="22"/>
          </w:tcPr>
          <w:p>
            <w:pPr>
              <w:spacing w:after="0" w:line="153" w:lineRule="exact"/>
              <w:rPr>
                <w:rFonts w:ascii="Arial" w:cs="Arial" w:eastAsia="Arial" w:hAnsi="Arial"/>
                <w:sz w:val="17"/>
                <w:szCs w:val="17"/>
                <w:color w:val="0000FF"/>
              </w:rPr>
            </w:pPr>
            <w:hyperlink r:id="rId83">
              <w:r>
                <w:rPr>
                  <w:rFonts w:ascii="Arial" w:cs="Arial" w:eastAsia="Arial" w:hAnsi="Arial"/>
                  <w:sz w:val="17"/>
                  <w:szCs w:val="17"/>
                  <w:color w:val="0000FF"/>
                </w:rPr>
                <w:t>Commission on November 7, 2014)</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900" w:type="dxa"/>
            <w:vAlign w:val="bottom"/>
          </w:tcPr>
          <w:p>
            <w:pPr>
              <w:ind w:left="20"/>
              <w:spacing w:after="0"/>
              <w:rPr>
                <w:sz w:val="20"/>
                <w:szCs w:val="20"/>
                <w:color w:val="auto"/>
              </w:rPr>
            </w:pPr>
            <w:r>
              <w:rPr>
                <w:rFonts w:ascii="Arial" w:cs="Arial" w:eastAsia="Arial" w:hAnsi="Arial"/>
                <w:sz w:val="18"/>
                <w:szCs w:val="18"/>
                <w:color w:val="auto"/>
              </w:rPr>
              <w:t>3.5</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6"/>
          </w:tcPr>
          <w:p>
            <w:pPr>
              <w:spacing w:after="0"/>
              <w:rPr>
                <w:rFonts w:ascii="Arial" w:cs="Arial" w:eastAsia="Arial" w:hAnsi="Arial"/>
                <w:sz w:val="18"/>
                <w:szCs w:val="18"/>
                <w:color w:val="0000FF"/>
                <w:w w:val="91"/>
              </w:rPr>
            </w:pPr>
            <w:hyperlink r:id="rId84">
              <w:r>
                <w:rPr>
                  <w:rFonts w:ascii="Arial" w:cs="Arial" w:eastAsia="Arial" w:hAnsi="Arial"/>
                  <w:sz w:val="18"/>
                  <w:szCs w:val="18"/>
                  <w:color w:val="0000FF"/>
                  <w:w w:val="91"/>
                </w:rPr>
                <w:t>Certificate of Deposit of Memorandum of Increase of Share Capital, dated October 7, 2009 (incorporated by reference to</w:t>
              </w:r>
            </w:hyperlink>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80" w:type="dxa"/>
            <w:vAlign w:val="bottom"/>
            <w:tcBorders>
              <w:top w:val="single" w:sz="8" w:color="0000FF"/>
            </w:tcBorders>
            <w:gridSpan w:val="25"/>
          </w:tcPr>
          <w:p>
            <w:pPr>
              <w:spacing w:after="0" w:line="153" w:lineRule="exact"/>
              <w:rPr>
                <w:rFonts w:ascii="Arial" w:cs="Arial" w:eastAsia="Arial" w:hAnsi="Arial"/>
                <w:sz w:val="17"/>
                <w:szCs w:val="17"/>
                <w:color w:val="0000FF"/>
              </w:rPr>
            </w:pPr>
            <w:hyperlink r:id="rId84">
              <w:r>
                <w:rPr>
                  <w:rFonts w:ascii="Arial" w:cs="Arial" w:eastAsia="Arial" w:hAnsi="Arial"/>
                  <w:sz w:val="17"/>
                  <w:szCs w:val="17"/>
                  <w:color w:val="0000FF"/>
                </w:rPr>
                <w:t>Exhibit 3.5 of the Registration Statement on Form S-1, Registration No. 333-199958, filed with the Commission 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19"/>
          </w:tcPr>
          <w:p>
            <w:pPr>
              <w:spacing w:after="0" w:line="153" w:lineRule="exact"/>
              <w:rPr>
                <w:rFonts w:ascii="Arial" w:cs="Arial" w:eastAsia="Arial" w:hAnsi="Arial"/>
                <w:sz w:val="17"/>
                <w:szCs w:val="17"/>
                <w:color w:val="0000FF"/>
              </w:rPr>
            </w:pPr>
            <w:hyperlink r:id="rId84">
              <w:r>
                <w:rPr>
                  <w:rFonts w:ascii="Arial" w:cs="Arial" w:eastAsia="Arial" w:hAnsi="Arial"/>
                  <w:sz w:val="17"/>
                  <w:szCs w:val="17"/>
                  <w:color w:val="0000FF"/>
                </w:rPr>
                <w:t>November 7, 2014)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900" w:type="dxa"/>
            <w:vAlign w:val="bottom"/>
          </w:tcPr>
          <w:p>
            <w:pPr>
              <w:ind w:left="20"/>
              <w:spacing w:after="0"/>
              <w:rPr>
                <w:sz w:val="20"/>
                <w:szCs w:val="20"/>
                <w:color w:val="auto"/>
              </w:rPr>
            </w:pPr>
            <w:r>
              <w:rPr>
                <w:rFonts w:ascii="Arial" w:cs="Arial" w:eastAsia="Arial" w:hAnsi="Arial"/>
                <w:sz w:val="18"/>
                <w:szCs w:val="18"/>
                <w:color w:val="auto"/>
              </w:rPr>
              <w:t>3.6</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6"/>
          </w:tcPr>
          <w:p>
            <w:pPr>
              <w:spacing w:after="0"/>
              <w:rPr>
                <w:rFonts w:ascii="Arial" w:cs="Arial" w:eastAsia="Arial" w:hAnsi="Arial"/>
                <w:sz w:val="18"/>
                <w:szCs w:val="18"/>
                <w:color w:val="0000FF"/>
                <w:w w:val="93"/>
              </w:rPr>
            </w:pPr>
            <w:hyperlink r:id="rId85">
              <w:r>
                <w:rPr>
                  <w:rFonts w:ascii="Arial" w:cs="Arial" w:eastAsia="Arial" w:hAnsi="Arial"/>
                  <w:sz w:val="18"/>
                  <w:szCs w:val="18"/>
                  <w:color w:val="0000FF"/>
                  <w:w w:val="93"/>
                </w:rPr>
                <w:t>Third Amended and Restated Bye-Laws of James River Group Holdings, Ltd. (incorporated by reference to Exhibit 3.6</w:t>
              </w:r>
            </w:hyperlink>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10"/>
          </w:tcPr>
          <w:p>
            <w:pPr>
              <w:spacing w:after="0" w:line="153" w:lineRule="exact"/>
              <w:rPr>
                <w:rFonts w:ascii="Arial" w:cs="Arial" w:eastAsia="Arial" w:hAnsi="Arial"/>
                <w:sz w:val="17"/>
                <w:szCs w:val="17"/>
                <w:color w:val="0000FF"/>
                <w:w w:val="96"/>
              </w:rPr>
            </w:pPr>
            <w:hyperlink r:id="rId85">
              <w:r>
                <w:rPr>
                  <w:rFonts w:ascii="Arial" w:cs="Arial" w:eastAsia="Arial" w:hAnsi="Arial"/>
                  <w:sz w:val="17"/>
                  <w:szCs w:val="17"/>
                  <w:color w:val="0000FF"/>
                  <w:w w:val="96"/>
                </w:rPr>
                <w:t>to the Annual Report on Form 10-K filed on March 12, 2015, Commission File No. 001-36777)</w:t>
              </w:r>
            </w:hyperlink>
          </w:p>
        </w:tc>
        <w:tc>
          <w:tcPr>
            <w:tcW w:w="194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99"/>
        </w:trPr>
        <w:tc>
          <w:tcPr>
            <w:tcW w:w="1900" w:type="dxa"/>
            <w:vAlign w:val="bottom"/>
          </w:tcPr>
          <w:p>
            <w:pPr>
              <w:ind w:left="20"/>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gridSpan w:val="26"/>
          </w:tcPr>
          <w:p>
            <w:pPr>
              <w:spacing w:after="0"/>
              <w:rPr>
                <w:rFonts w:ascii="Arial" w:cs="Arial" w:eastAsia="Arial" w:hAnsi="Arial"/>
                <w:sz w:val="18"/>
                <w:szCs w:val="18"/>
                <w:color w:val="0000FF"/>
                <w:w w:val="89"/>
              </w:rPr>
            </w:pPr>
            <w:hyperlink r:id="rId86">
              <w:r>
                <w:rPr>
                  <w:rFonts w:ascii="Arial" w:cs="Arial" w:eastAsia="Arial" w:hAnsi="Arial"/>
                  <w:sz w:val="18"/>
                  <w:szCs w:val="18"/>
                  <w:color w:val="0000FF"/>
                  <w:w w:val="89"/>
                </w:rPr>
                <w:t>Separation and Release Agreement, dated as of August 2, 2021, by and among Robert P. Myron, the Company and James</w:t>
              </w:r>
            </w:hyperlink>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16"/>
          </w:tcPr>
          <w:p>
            <w:pPr>
              <w:spacing w:after="0" w:line="153" w:lineRule="exact"/>
              <w:rPr>
                <w:rFonts w:ascii="Arial" w:cs="Arial" w:eastAsia="Arial" w:hAnsi="Arial"/>
                <w:sz w:val="17"/>
                <w:szCs w:val="17"/>
                <w:color w:val="0000FF"/>
                <w:w w:val="96"/>
              </w:rPr>
            </w:pPr>
            <w:hyperlink r:id="rId86">
              <w:r>
                <w:rPr>
                  <w:rFonts w:ascii="Arial" w:cs="Arial" w:eastAsia="Arial" w:hAnsi="Arial"/>
                  <w:sz w:val="17"/>
                  <w:szCs w:val="17"/>
                  <w:color w:val="0000FF"/>
                  <w:w w:val="96"/>
                </w:rPr>
                <w:t>River Group, Inc. (incorporated by reference to Exhibit 10.1 of the Current Report on Form 8-K filed on August 4, 2021,</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2"/>
          </w:tcPr>
          <w:p>
            <w:pPr>
              <w:spacing w:after="0" w:line="153" w:lineRule="exact"/>
              <w:rPr>
                <w:rFonts w:ascii="Arial" w:cs="Arial" w:eastAsia="Arial" w:hAnsi="Arial"/>
                <w:sz w:val="17"/>
                <w:szCs w:val="17"/>
                <w:color w:val="0000FF"/>
                <w:w w:val="95"/>
              </w:rPr>
            </w:pPr>
            <w:hyperlink r:id="rId86">
              <w:r>
                <w:rPr>
                  <w:rFonts w:ascii="Arial" w:cs="Arial" w:eastAsia="Arial" w:hAnsi="Arial"/>
                  <w:sz w:val="17"/>
                  <w:szCs w:val="17"/>
                  <w:color w:val="0000FF"/>
                  <w:w w:val="95"/>
                </w:rPr>
                <w:t>Commission File No. 001-36777)</w:t>
              </w:r>
            </w:hyperlink>
          </w:p>
        </w:tc>
        <w:tc>
          <w:tcPr>
            <w:tcW w:w="618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900" w:type="dxa"/>
            <w:vAlign w:val="bottom"/>
          </w:tcPr>
          <w:p>
            <w:pPr>
              <w:ind w:left="20"/>
              <w:spacing w:after="0"/>
              <w:rPr>
                <w:sz w:val="20"/>
                <w:szCs w:val="20"/>
                <w:color w:val="auto"/>
              </w:rPr>
            </w:pPr>
            <w:r>
              <w:rPr>
                <w:rFonts w:ascii="Arial" w:cs="Arial" w:eastAsia="Arial" w:hAnsi="Arial"/>
                <w:sz w:val="18"/>
                <w:szCs w:val="18"/>
                <w:color w:val="auto"/>
              </w:rPr>
              <w:t>10.2</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gridSpan w:val="26"/>
          </w:tcPr>
          <w:p>
            <w:pPr>
              <w:spacing w:after="0"/>
              <w:rPr>
                <w:rFonts w:ascii="Arial" w:cs="Arial" w:eastAsia="Arial" w:hAnsi="Arial"/>
                <w:sz w:val="18"/>
                <w:szCs w:val="18"/>
                <w:color w:val="0000FF"/>
                <w:w w:val="89"/>
              </w:rPr>
            </w:pPr>
            <w:hyperlink r:id="rId87">
              <w:r>
                <w:rPr>
                  <w:rFonts w:ascii="Arial" w:cs="Arial" w:eastAsia="Arial" w:hAnsi="Arial"/>
                  <w:sz w:val="18"/>
                  <w:szCs w:val="18"/>
                  <w:color w:val="0000FF"/>
                  <w:w w:val="89"/>
                </w:rPr>
                <w:t>Loss Portfolio Transfer Reinsurance Agreement dated September 27, 2021 between James River Insurance Company and</w:t>
              </w:r>
            </w:hyperlink>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tcBorders>
              <w:top w:val="single" w:sz="8" w:color="0000FF"/>
            </w:tcBorders>
            <w:gridSpan w:val="18"/>
          </w:tcPr>
          <w:p>
            <w:pPr>
              <w:spacing w:after="0" w:line="153" w:lineRule="exact"/>
              <w:rPr>
                <w:rFonts w:ascii="Arial" w:cs="Arial" w:eastAsia="Arial" w:hAnsi="Arial"/>
                <w:sz w:val="17"/>
                <w:szCs w:val="17"/>
                <w:color w:val="0000FF"/>
                <w:w w:val="99"/>
              </w:rPr>
            </w:pPr>
            <w:hyperlink r:id="rId87">
              <w:r>
                <w:rPr>
                  <w:rFonts w:ascii="Arial" w:cs="Arial" w:eastAsia="Arial" w:hAnsi="Arial"/>
                  <w:sz w:val="17"/>
                  <w:szCs w:val="17"/>
                  <w:color w:val="0000FF"/>
                  <w:w w:val="99"/>
                </w:rPr>
                <w:t>James River Casualty Company and Aleka Insurance, Inc. (incorporated by reference to Exhibit 10.1 of the Current</w:t>
              </w:r>
            </w:hyperlink>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8"/>
          </w:tcPr>
          <w:p>
            <w:pPr>
              <w:spacing w:after="0" w:line="153" w:lineRule="exact"/>
              <w:rPr>
                <w:rFonts w:ascii="Arial" w:cs="Arial" w:eastAsia="Arial" w:hAnsi="Arial"/>
                <w:sz w:val="17"/>
                <w:szCs w:val="17"/>
                <w:color w:val="0000FF"/>
                <w:w w:val="95"/>
              </w:rPr>
            </w:pPr>
            <w:hyperlink r:id="rId87">
              <w:r>
                <w:rPr>
                  <w:rFonts w:ascii="Arial" w:cs="Arial" w:eastAsia="Arial" w:hAnsi="Arial"/>
                  <w:sz w:val="17"/>
                  <w:szCs w:val="17"/>
                  <w:color w:val="0000FF"/>
                  <w:w w:val="95"/>
                </w:rPr>
                <w:t>Report on Form 8-K filed on September 20, 2021, Commission File No. 001-36777)</w:t>
              </w:r>
            </w:hyperlink>
          </w:p>
        </w:tc>
        <w:tc>
          <w:tcPr>
            <w:tcW w:w="2180" w:type="dxa"/>
            <w:vAlign w:val="bottom"/>
            <w:tcBorders>
              <w:top w:val="single" w:sz="8" w:color="0000FF"/>
            </w:tcBorders>
            <w:gridSpan w:val="4"/>
          </w:tcPr>
          <w:p>
            <w:pPr>
              <w:spacing w:after="0"/>
              <w:rPr>
                <w:sz w:val="13"/>
                <w:szCs w:val="13"/>
                <w:color w:val="auto"/>
              </w:rPr>
            </w:pPr>
          </w:p>
        </w:tc>
        <w:tc>
          <w:tcPr>
            <w:tcW w:w="240" w:type="dxa"/>
            <w:vAlign w:val="bottom"/>
            <w:gridSpan w:val="2"/>
          </w:tcPr>
          <w:p>
            <w:pPr>
              <w:spacing w:after="0"/>
              <w:rPr>
                <w:sz w:val="13"/>
                <w:szCs w:val="13"/>
                <w:color w:val="auto"/>
              </w:rPr>
            </w:pPr>
          </w:p>
        </w:tc>
        <w:tc>
          <w:tcPr>
            <w:tcW w:w="26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900" w:type="dxa"/>
            <w:vAlign w:val="bottom"/>
          </w:tcPr>
          <w:p>
            <w:pPr>
              <w:ind w:left="20"/>
              <w:spacing w:after="0"/>
              <w:rPr>
                <w:sz w:val="20"/>
                <w:szCs w:val="20"/>
                <w:color w:val="auto"/>
              </w:rPr>
            </w:pPr>
            <w:r>
              <w:rPr>
                <w:rFonts w:ascii="Arial" w:cs="Arial" w:eastAsia="Arial" w:hAnsi="Arial"/>
                <w:sz w:val="18"/>
                <w:szCs w:val="18"/>
                <w:color w:val="auto"/>
              </w:rPr>
              <w:t>10.3</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0" w:type="dxa"/>
            <w:vAlign w:val="bottom"/>
            <w:gridSpan w:val="26"/>
          </w:tcPr>
          <w:p>
            <w:pPr>
              <w:spacing w:after="0"/>
              <w:rPr>
                <w:rFonts w:ascii="Arial" w:cs="Arial" w:eastAsia="Arial" w:hAnsi="Arial"/>
                <w:sz w:val="18"/>
                <w:szCs w:val="18"/>
                <w:color w:val="0000FF"/>
                <w:w w:val="97"/>
              </w:rPr>
            </w:pPr>
            <w:hyperlink r:id="rId88">
              <w:r>
                <w:rPr>
                  <w:rFonts w:ascii="Arial" w:cs="Arial" w:eastAsia="Arial" w:hAnsi="Arial"/>
                  <w:sz w:val="18"/>
                  <w:szCs w:val="18"/>
                  <w:color w:val="0000FF"/>
                  <w:w w:val="97"/>
                </w:rPr>
                <w:t>Trust Agreement dated September 27, 2021 among James River Insurance Company and James River Casualty</w:t>
              </w:r>
            </w:hyperlink>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80" w:type="dxa"/>
            <w:vAlign w:val="bottom"/>
            <w:tcBorders>
              <w:top w:val="single" w:sz="8" w:color="0000FF"/>
            </w:tcBorders>
            <w:gridSpan w:val="11"/>
          </w:tcPr>
          <w:p>
            <w:pPr>
              <w:spacing w:after="0" w:line="153" w:lineRule="exact"/>
              <w:rPr>
                <w:rFonts w:ascii="Arial" w:cs="Arial" w:eastAsia="Arial" w:hAnsi="Arial"/>
                <w:sz w:val="17"/>
                <w:szCs w:val="17"/>
                <w:color w:val="0000FF"/>
                <w:w w:val="95"/>
              </w:rPr>
            </w:pPr>
            <w:hyperlink r:id="rId88">
              <w:r>
                <w:rPr>
                  <w:rFonts w:ascii="Arial" w:cs="Arial" w:eastAsia="Arial" w:hAnsi="Arial"/>
                  <w:sz w:val="17"/>
                  <w:szCs w:val="17"/>
                  <w:color w:val="0000FF"/>
                  <w:w w:val="95"/>
                </w:rPr>
                <w:t>Company, Aleka Insurance, Inc., and Wells Fargo Bank, N.A. (incorporated by reference to Exhibit 10.2 of the</w:t>
              </w:r>
            </w:hyperlink>
          </w:p>
        </w:tc>
        <w:tc>
          <w:tcPr>
            <w:tcW w:w="920" w:type="dxa"/>
            <w:vAlign w:val="bottom"/>
            <w:gridSpan w:val="15"/>
          </w:tcPr>
          <w:p>
            <w:pPr>
              <w:ind w:left="20"/>
              <w:spacing w:after="0" w:line="153" w:lineRule="exact"/>
              <w:rPr>
                <w:rFonts w:ascii="Arial" w:cs="Arial" w:eastAsia="Arial" w:hAnsi="Arial"/>
                <w:sz w:val="17"/>
                <w:szCs w:val="17"/>
                <w:color w:val="0000FF"/>
              </w:rPr>
            </w:pPr>
            <w:hyperlink r:id="rId88">
              <w:r>
                <w:rPr>
                  <w:rFonts w:ascii="Arial" w:cs="Arial" w:eastAsia="Arial" w:hAnsi="Arial"/>
                  <w:sz w:val="17"/>
                  <w:szCs w:val="17"/>
                  <w:color w:val="0000FF"/>
                </w:rPr>
                <w:t>Current</w:t>
              </w:r>
            </w:hyperlink>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7"/>
          </w:tcPr>
          <w:p>
            <w:pPr>
              <w:spacing w:after="0" w:line="153" w:lineRule="exact"/>
              <w:rPr>
                <w:rFonts w:ascii="Arial" w:cs="Arial" w:eastAsia="Arial" w:hAnsi="Arial"/>
                <w:sz w:val="17"/>
                <w:szCs w:val="17"/>
                <w:color w:val="0000FF"/>
                <w:w w:val="95"/>
              </w:rPr>
            </w:pPr>
            <w:hyperlink r:id="rId88">
              <w:r>
                <w:rPr>
                  <w:rFonts w:ascii="Arial" w:cs="Arial" w:eastAsia="Arial" w:hAnsi="Arial"/>
                  <w:sz w:val="17"/>
                  <w:szCs w:val="17"/>
                  <w:color w:val="0000FF"/>
                  <w:w w:val="95"/>
                </w:rPr>
                <w:t>Report on Form 8-K filed on September 30, 2021, Commission File No. 001-36777)</w:t>
              </w:r>
            </w:hyperlink>
          </w:p>
        </w:tc>
        <w:tc>
          <w:tcPr>
            <w:tcW w:w="2440" w:type="dxa"/>
            <w:vAlign w:val="bottom"/>
            <w:tcBorders>
              <w:top w:val="single" w:sz="8" w:color="0000FF"/>
            </w:tcBorders>
            <w:gridSpan w:val="7"/>
          </w:tcPr>
          <w:p>
            <w:pPr>
              <w:spacing w:after="0"/>
              <w:rPr>
                <w:sz w:val="13"/>
                <w:szCs w:val="13"/>
                <w:color w:val="auto"/>
              </w:rPr>
            </w:pPr>
          </w:p>
        </w:tc>
        <w:tc>
          <w:tcPr>
            <w:tcW w:w="260" w:type="dxa"/>
            <w:vAlign w:val="bottom"/>
            <w:gridSpan w:val="7"/>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1900" w:type="dxa"/>
            <w:vAlign w:val="bottom"/>
          </w:tcPr>
          <w:p>
            <w:pPr>
              <w:ind w:left="2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65">
              <w:r>
                <w:rPr>
                  <w:rFonts w:ascii="Arial" w:cs="Arial" w:eastAsia="Arial" w:hAnsi="Arial"/>
                  <w:sz w:val="18"/>
                  <w:szCs w:val="18"/>
                  <w:color w:val="0000FF"/>
                  <w:w w:val="90"/>
                </w:rPr>
                <w:t>Chief Executive Officer Certification pursuant to Rule 13a-14(a)/15d-14(a)</w:t>
              </w:r>
            </w:hyperlink>
          </w:p>
        </w:tc>
        <w:tc>
          <w:tcPr>
            <w:tcW w:w="34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1900" w:type="dxa"/>
            <w:vAlign w:val="bottom"/>
          </w:tcPr>
          <w:p>
            <w:pPr>
              <w:ind w:left="2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00" w:type="dxa"/>
            <w:vAlign w:val="bottom"/>
            <w:tcBorders>
              <w:bottom w:val="single" w:sz="8" w:color="0000FF"/>
            </w:tcBorders>
            <w:gridSpan w:val="5"/>
          </w:tcPr>
          <w:p>
            <w:pPr>
              <w:spacing w:after="0"/>
              <w:rPr>
                <w:rFonts w:ascii="Arial" w:cs="Arial" w:eastAsia="Arial" w:hAnsi="Arial"/>
                <w:sz w:val="18"/>
                <w:szCs w:val="18"/>
                <w:color w:val="0000FF"/>
                <w:w w:val="90"/>
              </w:rPr>
            </w:pPr>
            <w:hyperlink w:anchor="page66">
              <w:r>
                <w:rPr>
                  <w:rFonts w:ascii="Arial" w:cs="Arial" w:eastAsia="Arial" w:hAnsi="Arial"/>
                  <w:sz w:val="18"/>
                  <w:szCs w:val="18"/>
                  <w:color w:val="0000FF"/>
                  <w:w w:val="90"/>
                </w:rPr>
                <w:t>Chief Financial Officer Certification pursuant to Rule 13a-14(a)/15d-14(a)</w:t>
              </w:r>
            </w:hyperlink>
          </w:p>
        </w:tc>
        <w:tc>
          <w:tcPr>
            <w:tcW w:w="3500" w:type="dxa"/>
            <w:vAlign w:val="bottom"/>
            <w:gridSpan w:val="21"/>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900" w:type="dxa"/>
            <w:vAlign w:val="bottom"/>
          </w:tcPr>
          <w:p>
            <w:pPr>
              <w:ind w:left="20"/>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0" w:type="dxa"/>
            <w:vAlign w:val="bottom"/>
            <w:gridSpan w:val="26"/>
          </w:tcPr>
          <w:p>
            <w:pPr>
              <w:spacing w:after="0"/>
              <w:rPr>
                <w:rFonts w:ascii="Arial" w:cs="Arial" w:eastAsia="Arial" w:hAnsi="Arial"/>
                <w:sz w:val="18"/>
                <w:szCs w:val="18"/>
                <w:color w:val="0000FF"/>
                <w:w w:val="98"/>
              </w:rPr>
            </w:pPr>
            <w:hyperlink w:anchor="page67">
              <w:r>
                <w:rPr>
                  <w:rFonts w:ascii="Arial" w:cs="Arial" w:eastAsia="Arial" w:hAnsi="Arial"/>
                  <w:sz w:val="18"/>
                  <w:szCs w:val="18"/>
                  <w:color w:val="0000FF"/>
                  <w:w w:val="98"/>
                </w:rPr>
                <w:t>Chief Executive Officer and Chief Financial Officer Certification pursuant to 18 U.S.C. Section 1350, as adopted</w:t>
              </w:r>
            </w:hyperlink>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21"/>
          </w:tcPr>
          <w:p>
            <w:pPr>
              <w:spacing w:after="0" w:line="153" w:lineRule="exact"/>
              <w:rPr>
                <w:rFonts w:ascii="Arial" w:cs="Arial" w:eastAsia="Arial" w:hAnsi="Arial"/>
                <w:sz w:val="17"/>
                <w:szCs w:val="17"/>
                <w:color w:val="0000FF"/>
              </w:rPr>
            </w:pPr>
            <w:hyperlink w:anchor="page67">
              <w:r>
                <w:rPr>
                  <w:rFonts w:ascii="Arial" w:cs="Arial" w:eastAsia="Arial" w:hAnsi="Arial"/>
                  <w:sz w:val="17"/>
                  <w:szCs w:val="17"/>
                  <w:color w:val="0000FF"/>
                </w:rPr>
                <w:t>pursuant to Section 906 of the Sarbanes-Oxley Act of 2002</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42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46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800" w:type="dxa"/>
            <w:vAlign w:val="bottom"/>
            <w:gridSpan w:val="2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79"/>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800" w:type="dxa"/>
            <w:vAlign w:val="bottom"/>
            <w:gridSpan w:val="2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79"/>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800" w:type="dxa"/>
            <w:vAlign w:val="bottom"/>
            <w:gridSpan w:val="2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79"/>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800" w:type="dxa"/>
            <w:vAlign w:val="bottom"/>
            <w:gridSpan w:val="2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79"/>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800" w:type="dxa"/>
            <w:vAlign w:val="bottom"/>
            <w:gridSpan w:val="2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8"/>
        </w:trPr>
        <w:tc>
          <w:tcPr>
            <w:tcW w:w="1900" w:type="dxa"/>
            <w:vAlign w:val="bottom"/>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0" w:type="dxa"/>
            <w:vAlign w:val="bottom"/>
            <w:gridSpan w:val="26"/>
          </w:tcPr>
          <w:p>
            <w:pPr>
              <w:spacing w:after="0"/>
              <w:rPr>
                <w:sz w:val="20"/>
                <w:szCs w:val="20"/>
                <w:color w:val="auto"/>
              </w:rPr>
            </w:pPr>
            <w:r>
              <w:rPr>
                <w:rFonts w:ascii="Arial" w:cs="Arial" w:eastAsia="Arial" w:hAnsi="Arial"/>
                <w:sz w:val="18"/>
                <w:szCs w:val="18"/>
                <w:color w:val="auto"/>
                <w:w w:val="92"/>
              </w:rPr>
              <w:t>Cover Page Interactive Data File - the cover page XBRL tags are embedded within the Inline XBRL document in Exhibit</w:t>
            </w:r>
          </w:p>
        </w:tc>
        <w:tc>
          <w:tcPr>
            <w:tcW w:w="0" w:type="dxa"/>
            <w:vAlign w:val="bottom"/>
          </w:tcPr>
          <w:p>
            <w:pPr>
              <w:spacing w:after="0"/>
              <w:rPr>
                <w:sz w:val="1"/>
                <w:szCs w:val="1"/>
                <w:color w:val="auto"/>
              </w:rPr>
            </w:pPr>
          </w:p>
        </w:tc>
      </w:tr>
      <w:tr>
        <w:trPr>
          <w:trHeight w:val="224"/>
        </w:trPr>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7"/>
        </w:trPr>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20" w:type="dxa"/>
            <w:vAlign w:val="bottom"/>
            <w:gridSpan w:val="5"/>
          </w:tcPr>
          <w:p>
            <w:pPr>
              <w:jc w:val="right"/>
              <w:ind w:right="1009"/>
              <w:spacing w:after="0"/>
              <w:rPr>
                <w:sz w:val="20"/>
                <w:szCs w:val="20"/>
                <w:color w:val="auto"/>
              </w:rPr>
            </w:pPr>
            <w:r>
              <w:rPr>
                <w:rFonts w:ascii="Arial" w:cs="Arial" w:eastAsia="Arial" w:hAnsi="Arial"/>
                <w:sz w:val="18"/>
                <w:szCs w:val="18"/>
                <w:color w:val="auto"/>
              </w:rPr>
              <w:t>63</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9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32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480" w:type="dxa"/>
            <w:vAlign w:val="bottom"/>
            <w:gridSpan w:val="3"/>
          </w:tcPr>
          <w:p>
            <w:pPr>
              <w:ind w:left="1600"/>
              <w:spacing w:after="0"/>
              <w:rPr>
                <w:sz w:val="20"/>
                <w:szCs w:val="20"/>
                <w:color w:val="auto"/>
              </w:rPr>
            </w:pPr>
            <w:r>
              <w:rPr>
                <w:rFonts w:ascii="Arial" w:cs="Arial" w:eastAsia="Arial" w:hAnsi="Arial"/>
                <w:sz w:val="18"/>
                <w:szCs w:val="18"/>
                <w:color w:val="auto"/>
              </w:rPr>
              <w:t>James River Group Holdings, Ltd.</w:t>
            </w:r>
          </w:p>
        </w:tc>
      </w:tr>
      <w:tr>
        <w:trPr>
          <w:trHeight w:val="45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ind w:left="120"/>
              <w:spacing w:after="0"/>
              <w:rPr>
                <w:sz w:val="20"/>
                <w:szCs w:val="20"/>
                <w:color w:val="auto"/>
              </w:rPr>
            </w:pPr>
            <w:r>
              <w:rPr>
                <w:rFonts w:ascii="Arial" w:cs="Arial" w:eastAsia="Arial" w:hAnsi="Arial"/>
                <w:sz w:val="18"/>
                <w:szCs w:val="18"/>
                <w:color w:val="auto"/>
              </w:rPr>
              <w:t>November 3, 2021</w:t>
            </w:r>
          </w:p>
        </w:tc>
        <w:tc>
          <w:tcPr>
            <w:tcW w:w="1900" w:type="dxa"/>
            <w:vAlign w:val="bottom"/>
          </w:tcPr>
          <w:p>
            <w:pPr>
              <w:ind w:left="160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N. D'Orazio</w:t>
            </w:r>
          </w:p>
        </w:tc>
      </w:tr>
      <w:tr>
        <w:trPr>
          <w:trHeight w:val="219"/>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Frank N. D'Orazio</w:t>
            </w:r>
          </w:p>
        </w:tc>
      </w:tr>
      <w:tr>
        <w:trPr>
          <w:trHeight w:val="226"/>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6"/>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3"/>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ind w:left="120"/>
              <w:spacing w:after="0"/>
              <w:rPr>
                <w:sz w:val="20"/>
                <w:szCs w:val="20"/>
                <w:color w:val="auto"/>
              </w:rPr>
            </w:pPr>
            <w:r>
              <w:rPr>
                <w:rFonts w:ascii="Arial" w:cs="Arial" w:eastAsia="Arial" w:hAnsi="Arial"/>
                <w:sz w:val="18"/>
                <w:szCs w:val="18"/>
                <w:color w:val="auto"/>
              </w:rPr>
              <w:t>November 3, 2021</w:t>
            </w:r>
          </w:p>
        </w:tc>
        <w:tc>
          <w:tcPr>
            <w:tcW w:w="1900" w:type="dxa"/>
            <w:vAlign w:val="bottom"/>
          </w:tcPr>
          <w:p>
            <w:pPr>
              <w:ind w:left="1600"/>
              <w:spacing w:after="0"/>
              <w:rPr>
                <w:sz w:val="20"/>
                <w:szCs w:val="20"/>
                <w:color w:val="auto"/>
              </w:rPr>
            </w:pPr>
            <w:r>
              <w:rPr>
                <w:rFonts w:ascii="Arial" w:cs="Arial" w:eastAsia="Arial" w:hAnsi="Arial"/>
                <w:sz w:val="18"/>
                <w:szCs w:val="18"/>
                <w:color w:val="auto"/>
              </w:rPr>
              <w:t>By:</w:t>
            </w:r>
          </w:p>
        </w:tc>
        <w:tc>
          <w:tcPr>
            <w:tcW w:w="380" w:type="dxa"/>
            <w:vAlign w:val="bottom"/>
          </w:tcPr>
          <w:p>
            <w:pPr>
              <w:spacing w:after="0"/>
              <w:rPr>
                <w:sz w:val="24"/>
                <w:szCs w:val="24"/>
                <w:color w:val="auto"/>
              </w:rPr>
            </w:pP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C. Doran</w:t>
            </w:r>
          </w:p>
        </w:tc>
      </w:tr>
      <w:tr>
        <w:trPr>
          <w:trHeight w:val="219"/>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Sarah C. Doran</w:t>
            </w:r>
          </w:p>
        </w:tc>
      </w:tr>
      <w:tr>
        <w:trPr>
          <w:trHeight w:val="226"/>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6"/>
        </w:trPr>
        <w:tc>
          <w:tcPr>
            <w:tcW w:w="5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957"/>
        </w:trPr>
        <w:tc>
          <w:tcPr>
            <w:tcW w:w="5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0" w:type="dxa"/>
            <w:vAlign w:val="bottom"/>
          </w:tcPr>
          <w:p>
            <w:pPr>
              <w:jc w:val="right"/>
              <w:ind w:right="51"/>
              <w:spacing w:after="0"/>
              <w:rPr>
                <w:sz w:val="20"/>
                <w:szCs w:val="20"/>
                <w:color w:val="auto"/>
              </w:rPr>
            </w:pPr>
            <w:r>
              <w:rPr>
                <w:rFonts w:ascii="Arial" w:cs="Arial" w:eastAsia="Arial" w:hAnsi="Arial"/>
                <w:sz w:val="18"/>
                <w:szCs w:val="18"/>
                <w:color w:val="auto"/>
              </w:rPr>
              <w:t>64</w:t>
            </w:r>
          </w:p>
        </w:tc>
        <w:tc>
          <w:tcPr>
            <w:tcW w:w="4200" w:type="dxa"/>
            <w:vAlign w:val="bottom"/>
          </w:tcPr>
          <w:p>
            <w:pPr>
              <w:spacing w:after="0"/>
              <w:rPr>
                <w:sz w:val="24"/>
                <w:szCs w:val="24"/>
                <w:color w:val="auto"/>
              </w:rPr>
            </w:pPr>
          </w:p>
        </w:tc>
      </w:tr>
    </w:tbl>
    <w:p>
      <w:pPr>
        <w:sectPr>
          <w:pgSz w:w="11900" w:h="16838" w:orient="portrait"/>
          <w:cols w:equalWidth="0" w:num="1">
            <w:col w:w="11080"/>
          </w:cols>
          <w:pgMar w:left="320" w:top="127" w:right="4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 Frank N. D'Orazio, certify that:</w:t>
      </w:r>
    </w:p>
    <w:p>
      <w:pPr>
        <w:spacing w:after="0" w:line="112" w:lineRule="exact"/>
        <w:rPr>
          <w:sz w:val="20"/>
          <w:szCs w:val="20"/>
          <w:color w:val="auto"/>
        </w:rPr>
      </w:pPr>
    </w:p>
    <w:p>
      <w:pPr>
        <w:ind w:left="640" w:hanging="315"/>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2" w:lineRule="exact"/>
        <w:rPr>
          <w:rFonts w:ascii="Arial" w:cs="Arial" w:eastAsia="Arial" w:hAnsi="Arial"/>
          <w:sz w:val="18"/>
          <w:szCs w:val="18"/>
          <w:color w:val="auto"/>
        </w:rPr>
      </w:pPr>
    </w:p>
    <w:p>
      <w:pPr>
        <w:jc w:val="both"/>
        <w:ind w:left="640" w:right="280" w:hanging="315"/>
        <w:spacing w:after="0" w:line="256"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60" w:hanging="315"/>
        <w:spacing w:after="0" w:line="296" w:lineRule="auto"/>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7"/>
          <w:szCs w:val="17"/>
          <w:color w:val="auto"/>
        </w:rPr>
      </w:pPr>
    </w:p>
    <w:p>
      <w:pPr>
        <w:jc w:val="both"/>
        <w:ind w:left="640" w:right="280" w:hanging="315"/>
        <w:spacing w:after="0" w:line="256"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280" w:right="80" w:hanging="316"/>
        <w:spacing w:after="0" w:line="256" w:lineRule="auto"/>
        <w:tabs>
          <w:tab w:leader="none" w:pos="127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280" w:right="220" w:hanging="316"/>
        <w:spacing w:after="0" w:line="256" w:lineRule="auto"/>
        <w:tabs>
          <w:tab w:leader="none" w:pos="12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280" w:right="380" w:hanging="316"/>
        <w:spacing w:after="0" w:line="396" w:lineRule="auto"/>
        <w:tabs>
          <w:tab w:leader="none" w:pos="1277" w:val="left"/>
        </w:tabs>
        <w:numPr>
          <w:ilvl w:val="1"/>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80" w:right="80" w:hanging="316"/>
        <w:spacing w:after="0" w:line="256" w:lineRule="auto"/>
        <w:tabs>
          <w:tab w:leader="none" w:pos="12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60" w:hanging="315"/>
        <w:spacing w:after="0" w:line="329" w:lineRule="auto"/>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1280" w:right="620" w:hanging="316"/>
        <w:spacing w:after="0" w:line="329" w:lineRule="auto"/>
        <w:tabs>
          <w:tab w:leader="none" w:pos="1277"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6"/>
          <w:szCs w:val="16"/>
          <w:color w:val="auto"/>
        </w:rPr>
      </w:pPr>
    </w:p>
    <w:p>
      <w:pPr>
        <w:ind w:left="1280" w:right="320" w:hanging="316"/>
        <w:spacing w:after="0" w:line="266" w:lineRule="auto"/>
        <w:tabs>
          <w:tab w:leader="none" w:pos="127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11430</wp:posOffset>
            </wp:positionV>
            <wp:extent cx="355473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N. D'Orazio</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79"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 Sarah C. Doran, certify that:</w:t>
      </w:r>
    </w:p>
    <w:p>
      <w:pPr>
        <w:spacing w:after="0" w:line="112" w:lineRule="exact"/>
        <w:rPr>
          <w:sz w:val="20"/>
          <w:szCs w:val="20"/>
          <w:color w:val="auto"/>
        </w:rPr>
      </w:pPr>
    </w:p>
    <w:p>
      <w:pPr>
        <w:ind w:left="640" w:hanging="315"/>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James River Group Holdings, Ltd.;</w:t>
      </w:r>
    </w:p>
    <w:p>
      <w:pPr>
        <w:spacing w:after="0" w:line="112" w:lineRule="exact"/>
        <w:rPr>
          <w:rFonts w:ascii="Arial" w:cs="Arial" w:eastAsia="Arial" w:hAnsi="Arial"/>
          <w:sz w:val="18"/>
          <w:szCs w:val="18"/>
          <w:color w:val="auto"/>
        </w:rPr>
      </w:pPr>
    </w:p>
    <w:p>
      <w:pPr>
        <w:jc w:val="both"/>
        <w:ind w:left="640" w:right="280" w:hanging="315"/>
        <w:spacing w:after="0" w:line="25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Arial" w:cs="Arial" w:eastAsia="Arial" w:hAnsi="Arial"/>
          <w:sz w:val="18"/>
          <w:szCs w:val="18"/>
          <w:color w:val="auto"/>
        </w:rPr>
      </w:pPr>
    </w:p>
    <w:p>
      <w:pPr>
        <w:ind w:left="640" w:right="260" w:hanging="315"/>
        <w:spacing w:after="0" w:line="296" w:lineRule="auto"/>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7"/>
          <w:szCs w:val="17"/>
          <w:color w:val="auto"/>
        </w:rPr>
      </w:pPr>
    </w:p>
    <w:p>
      <w:pPr>
        <w:jc w:val="both"/>
        <w:ind w:left="640" w:right="280" w:hanging="315"/>
        <w:spacing w:after="0" w:line="256"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1280" w:right="80" w:hanging="316"/>
        <w:spacing w:after="0" w:line="256" w:lineRule="auto"/>
        <w:tabs>
          <w:tab w:leader="none" w:pos="127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2" w:lineRule="exact"/>
        <w:rPr>
          <w:rFonts w:ascii="Arial" w:cs="Arial" w:eastAsia="Arial" w:hAnsi="Arial"/>
          <w:sz w:val="18"/>
          <w:szCs w:val="18"/>
          <w:color w:val="auto"/>
        </w:rPr>
      </w:pPr>
    </w:p>
    <w:p>
      <w:pPr>
        <w:ind w:left="1280" w:right="220" w:hanging="316"/>
        <w:spacing w:after="0" w:line="256" w:lineRule="auto"/>
        <w:tabs>
          <w:tab w:leader="none" w:pos="12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2" w:lineRule="exact"/>
        <w:rPr>
          <w:rFonts w:ascii="Arial" w:cs="Arial" w:eastAsia="Arial" w:hAnsi="Arial"/>
          <w:sz w:val="18"/>
          <w:szCs w:val="18"/>
          <w:color w:val="auto"/>
        </w:rPr>
      </w:pPr>
    </w:p>
    <w:p>
      <w:pPr>
        <w:jc w:val="both"/>
        <w:ind w:left="1280" w:right="380" w:hanging="316"/>
        <w:spacing w:after="0" w:line="396" w:lineRule="auto"/>
        <w:tabs>
          <w:tab w:leader="none" w:pos="1277" w:val="left"/>
        </w:tabs>
        <w:numPr>
          <w:ilvl w:val="1"/>
          <w:numId w:val="3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80" w:right="80" w:hanging="316"/>
        <w:spacing w:after="0" w:line="256" w:lineRule="auto"/>
        <w:tabs>
          <w:tab w:leader="none" w:pos="12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640" w:right="260" w:hanging="315"/>
        <w:spacing w:after="0" w:line="329" w:lineRule="auto"/>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Arial" w:cs="Arial" w:eastAsia="Arial" w:hAnsi="Arial"/>
          <w:sz w:val="16"/>
          <w:szCs w:val="16"/>
          <w:color w:val="auto"/>
        </w:rPr>
      </w:pPr>
    </w:p>
    <w:p>
      <w:pPr>
        <w:ind w:left="1280" w:right="620" w:hanging="316"/>
        <w:spacing w:after="0" w:line="329" w:lineRule="auto"/>
        <w:tabs>
          <w:tab w:leader="none" w:pos="127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 w:lineRule="exact"/>
        <w:rPr>
          <w:rFonts w:ascii="Arial" w:cs="Arial" w:eastAsia="Arial" w:hAnsi="Arial"/>
          <w:sz w:val="16"/>
          <w:szCs w:val="16"/>
          <w:color w:val="auto"/>
        </w:rPr>
      </w:pPr>
    </w:p>
    <w:p>
      <w:pPr>
        <w:ind w:left="1280" w:right="320" w:hanging="316"/>
        <w:spacing w:after="0" w:line="266" w:lineRule="auto"/>
        <w:tabs>
          <w:tab w:leader="none" w:pos="127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11430</wp:posOffset>
            </wp:positionV>
            <wp:extent cx="35458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3545840" cy="825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Sarah C. Doran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Chief Financial Officer</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79"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14" w:lineRule="exact"/>
        <w:rPr>
          <w:sz w:val="20"/>
          <w:szCs w:val="20"/>
          <w:color w:val="auto"/>
        </w:rPr>
      </w:pPr>
    </w:p>
    <w:p>
      <w:pPr>
        <w:ind w:right="300" w:firstLine="638"/>
        <w:spacing w:after="0" w:line="253" w:lineRule="auto"/>
        <w:rPr>
          <w:sz w:val="20"/>
          <w:szCs w:val="20"/>
          <w:color w:val="auto"/>
        </w:rPr>
      </w:pPr>
      <w:r>
        <w:rPr>
          <w:rFonts w:ascii="Arial" w:cs="Arial" w:eastAsia="Arial" w:hAnsi="Arial"/>
          <w:sz w:val="18"/>
          <w:szCs w:val="18"/>
          <w:color w:val="auto"/>
        </w:rPr>
        <w:t>In connection with the quarterly report of James River Group Holdings, Ltd. (the “Company”) on Form 10-Q for the period ended September 30, 2021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85" w:lineRule="exact"/>
        <w:rPr>
          <w:sz w:val="20"/>
          <w:szCs w:val="20"/>
          <w:color w:val="auto"/>
        </w:rPr>
      </w:pPr>
    </w:p>
    <w:p>
      <w:pPr>
        <w:ind w:left="640" w:hanging="634"/>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2" w:lineRule="exact"/>
        <w:rPr>
          <w:rFonts w:ascii="Arial" w:cs="Arial" w:eastAsia="Arial" w:hAnsi="Arial"/>
          <w:sz w:val="18"/>
          <w:szCs w:val="18"/>
          <w:color w:val="auto"/>
        </w:rPr>
      </w:pPr>
    </w:p>
    <w:p>
      <w:pPr>
        <w:ind w:left="640" w:hanging="634"/>
        <w:spacing w:after="0"/>
        <w:tabs>
          <w:tab w:leader="none" w:pos="6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11430</wp:posOffset>
            </wp:positionV>
            <wp:extent cx="35547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Frank N. D'Orazio</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3, 2021</w:t>
      </w: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11430</wp:posOffset>
            </wp:positionV>
            <wp:extent cx="35547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3554730" cy="8255"/>
                    </a:xfrm>
                    <a:prstGeom prst="rect">
                      <a:avLst/>
                    </a:prstGeom>
                    <a:noFill/>
                  </pic:spPr>
                </pic:pic>
              </a:graphicData>
            </a:graphic>
          </wp:anchor>
        </w:drawing>
      </w:r>
    </w:p>
    <w:p>
      <w:pPr>
        <w:spacing w:after="0" w:line="1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Sarah C. Doran</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November 3, 2021</w:t>
      </w:r>
    </w:p>
    <w:sectPr>
      <w:pgSz w:w="11900" w:h="16838" w:orient="portrait"/>
      <w:cols w:equalWidth="0" w:num="1">
        <w:col w:w="11240"/>
      </w:cols>
      <w:pgMar w:left="320" w:top="8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lowerLetter"/>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1."/>
      <w:numFmt w:val="decimal"/>
      <w:start w:val="2"/>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4"/>
    </w:lvl>
  </w:abstractNum>
  <w:abstractNum w:abstractNumId="12">
    <w:nsid w:val="2D1D5AE9"/>
    <w:multiLevelType w:val="hybridMultilevel"/>
    <w:lvl w:ilvl="0">
      <w:lvlJc w:val="left"/>
      <w:lvlText w:val="%1."/>
      <w:numFmt w:val="decimal"/>
      <w:start w:val="6"/>
    </w:lvl>
  </w:abstractNum>
  <w:abstractNum w:abstractNumId="13">
    <w:nsid w:val="6763845E"/>
    <w:multiLevelType w:val="hybridMultilevel"/>
    <w:lvl w:ilvl="0">
      <w:lvlJc w:val="left"/>
      <w:lvlText w:val="%1."/>
      <w:numFmt w:val="decimal"/>
      <w:start w:val="7"/>
    </w:lvl>
  </w:abstractNum>
  <w:abstractNum w:abstractNumId="14">
    <w:nsid w:val="75A2A8D4"/>
    <w:multiLevelType w:val="hybridMultilevel"/>
    <w:lvl w:ilvl="0">
      <w:lvlJc w:val="left"/>
      <w:lvlText w:val="(%1)"/>
      <w:numFmt w:val="decimal"/>
      <w:start w:val="2"/>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80" Type="http://schemas.openxmlformats.org/officeDocument/2006/relationships/hyperlink" Target="http://www.sec.gov/Archives/edgar/data/1620459/000157104914005924/t1401933_ex3-1.htm" TargetMode="External"/><Relationship Id="rId81" Type="http://schemas.openxmlformats.org/officeDocument/2006/relationships/hyperlink" Target="http://www.sec.gov/Archives/edgar/data/1620459/000157104914005924/t1401933_ex3-2.htm" TargetMode="External"/><Relationship Id="rId82" Type="http://schemas.openxmlformats.org/officeDocument/2006/relationships/hyperlink" Target="http://www.sec.gov/Archives/edgar/data/1620459/000157104914005924/t1401933_ex3-3.htm" TargetMode="External"/><Relationship Id="rId83" Type="http://schemas.openxmlformats.org/officeDocument/2006/relationships/hyperlink" Target="http://www.sec.gov/Archives/edgar/data/1620459/000157104914005924/t1401933_ex3-4.htm" TargetMode="External"/><Relationship Id="rId84" Type="http://schemas.openxmlformats.org/officeDocument/2006/relationships/hyperlink" Target="http://www.sec.gov/Archives/edgar/data/1620459/000157104914005924/t1401933_ex3-5.htm" TargetMode="External"/><Relationship Id="rId85" Type="http://schemas.openxmlformats.org/officeDocument/2006/relationships/hyperlink" Target="http://www.sec.gov/Archives/edgar/data/1620459/000157104915001874/t1500493_ex3-6.htm" TargetMode="External"/><Relationship Id="rId86" Type="http://schemas.openxmlformats.org/officeDocument/2006/relationships/hyperlink" Target="http://www.sec.gov/Archives/edgar/data/1620459/000162045921000074/jrvrex101myronseparationag.htm" TargetMode="External"/><Relationship Id="rId87" Type="http://schemas.openxmlformats.org/officeDocument/2006/relationships/hyperlink" Target="http://www.sec.gov/Archives/edgar/data/1620459/000110465921120933/tm2128750d1_ex10-1.htm" TargetMode="External"/><Relationship Id="rId88" Type="http://schemas.openxmlformats.org/officeDocument/2006/relationships/hyperlink" Target="http://www.sec.gov/Archives/edgar/data/1620459/000110465921120933/tm2128750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2021-11-03T15:23:19Z</dcterms:created>
  <dcterms:modified xsi:type="dcterms:W3CDTF">2021-11-03T15:23:19Z</dcterms:modified>
</cp:coreProperties>
</file>