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9"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ended June 30, 2021</w:t>
      </w:r>
    </w:p>
    <w:p>
      <w:pPr>
        <w:spacing w:after="0" w:line="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from _______ to _______</w:t>
      </w: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001-36777</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43"/>
        </w:trPr>
        <w:tc>
          <w:tcPr>
            <w:tcW w:w="1900" w:type="dxa"/>
            <w:vAlign w:val="bottom"/>
          </w:tcPr>
          <w:p>
            <w:pPr>
              <w:jc w:val="center"/>
              <w:ind w:right="3"/>
              <w:spacing w:after="0"/>
              <w:rPr>
                <w:sz w:val="20"/>
                <w:szCs w:val="20"/>
                <w:color w:val="auto"/>
              </w:rPr>
            </w:pPr>
            <w:r>
              <w:rPr>
                <w:rFonts w:ascii="Arial" w:cs="Arial" w:eastAsia="Arial" w:hAnsi="Arial"/>
                <w:sz w:val="18"/>
                <w:szCs w:val="18"/>
                <w:b w:val="1"/>
                <w:bCs w:val="1"/>
                <w:color w:val="auto"/>
                <w:w w:val="89"/>
              </w:rPr>
              <w:t>Bermuda</w:t>
            </w:r>
          </w:p>
        </w:tc>
        <w:tc>
          <w:tcPr>
            <w:tcW w:w="5520" w:type="dxa"/>
            <w:vAlign w:val="bottom"/>
          </w:tcPr>
          <w:p>
            <w:pPr>
              <w:jc w:val="center"/>
              <w:ind w:left="4281"/>
              <w:spacing w:after="0"/>
              <w:rPr>
                <w:sz w:val="20"/>
                <w:szCs w:val="20"/>
                <w:color w:val="auto"/>
              </w:rPr>
            </w:pPr>
            <w:r>
              <w:rPr>
                <w:rFonts w:ascii="Arial" w:cs="Arial" w:eastAsia="Arial" w:hAnsi="Arial"/>
                <w:sz w:val="18"/>
                <w:szCs w:val="18"/>
                <w:b w:val="1"/>
                <w:bCs w:val="1"/>
                <w:color w:val="auto"/>
                <w:w w:val="87"/>
              </w:rPr>
              <w:t>98-0585280</w:t>
            </w:r>
          </w:p>
        </w:tc>
      </w:tr>
      <w:tr>
        <w:trPr>
          <w:trHeight w:val="142"/>
        </w:trPr>
        <w:tc>
          <w:tcPr>
            <w:tcW w:w="1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(State or other jurisdiction of</w:t>
            </w:r>
          </w:p>
        </w:tc>
        <w:tc>
          <w:tcPr>
            <w:tcW w:w="5520" w:type="dxa"/>
            <w:vAlign w:val="bottom"/>
          </w:tcPr>
          <w:p>
            <w:pPr>
              <w:jc w:val="center"/>
              <w:ind w:left="4301"/>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520" w:type="dxa"/>
            <w:vAlign w:val="bottom"/>
          </w:tcPr>
          <w:p>
            <w:pPr>
              <w:jc w:val="center"/>
              <w:ind w:left="4321"/>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88" w:lineRule="exact"/>
        <w:rPr>
          <w:sz w:val="24"/>
          <w:szCs w:val="24"/>
          <w:color w:val="auto"/>
        </w:rPr>
      </w:pPr>
    </w:p>
    <w:p>
      <w:pPr>
        <w:jc w:val="center"/>
        <w:ind w:left="480" w:right="2720"/>
        <w:spacing w:after="0" w:line="26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32"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(441) 278-4580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32"/>
        </w:trPr>
        <w:tc>
          <w:tcPr>
            <w:tcW w:w="22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3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0" w:type="dxa"/>
            <w:vAlign w:val="bottom"/>
          </w:tcPr>
          <w:p>
            <w:pPr>
              <w:spacing w:after="0"/>
              <w:rPr>
                <w:sz w:val="24"/>
                <w:szCs w:val="2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Names of each exchange on which registered</w:t>
            </w:r>
          </w:p>
        </w:tc>
      </w:tr>
      <w:tr>
        <w:trPr>
          <w:trHeight w:val="284"/>
        </w:trPr>
        <w:tc>
          <w:tcPr>
            <w:tcW w:w="4900" w:type="dxa"/>
            <w:vAlign w:val="bottom"/>
            <w:gridSpan w:val="3"/>
          </w:tcPr>
          <w:p>
            <w:pPr>
              <w:jc w:val="center"/>
              <w:ind w:left="832"/>
              <w:spacing w:after="0"/>
              <w:rPr>
                <w:sz w:val="20"/>
                <w:szCs w:val="20"/>
                <w:color w:val="auto"/>
              </w:rPr>
            </w:pPr>
            <w:r>
              <w:rPr>
                <w:rFonts w:ascii="Arial" w:cs="Arial" w:eastAsia="Arial" w:hAnsi="Arial"/>
                <w:sz w:val="18"/>
                <w:szCs w:val="18"/>
                <w:color w:val="auto"/>
                <w:w w:val="86"/>
              </w:rPr>
              <w:t>Common Shares, par value $0.0002 per share</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JRVR</w:t>
            </w: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95"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2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5"/>
          <w:szCs w:val="15"/>
          <w:color w:val="auto"/>
        </w:rPr>
        <w:t>☐</w:t>
      </w:r>
    </w:p>
    <w:p>
      <w:pPr>
        <w:spacing w:after="0" w:line="7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p>
      <w:pPr>
        <w:ind w:left="20"/>
        <w:spacing w:after="0" w:line="184" w:lineRule="exact"/>
        <w:tabs>
          <w:tab w:leader="none" w:pos="1960" w:val="left"/>
          <w:tab w:leader="none" w:pos="2160" w:val="left"/>
          <w:tab w:leader="none" w:pos="366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8"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 w:lineRule="exact"/>
        <w:rPr>
          <w:sz w:val="24"/>
          <w:szCs w:val="24"/>
          <w:color w:val="auto"/>
        </w:rPr>
      </w:pPr>
    </w:p>
    <w:p>
      <w:pPr>
        <w:spacing w:after="0" w:line="207" w:lineRule="exact"/>
        <w:tabs>
          <w:tab w:leader="none" w:pos="760" w:val="left"/>
          <w:tab w:leader="none" w:pos="1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Arial" w:cs="Arial" w:eastAsia="Arial" w:hAnsi="Arial"/>
          <w:sz w:val="18"/>
          <w:szCs w:val="18"/>
          <w:color w:val="auto"/>
        </w:rPr>
        <w:t>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August 2, 2021: 37,275,736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435610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10360" w:type="dxa"/>
            <w:vAlign w:val="bottom"/>
            <w:gridSpan w:val="22"/>
            <w:shd w:val="clear" w:color="auto" w:fill="CCEEFF"/>
          </w:tcPr>
          <w:p>
            <w:pPr>
              <w:spacing w:after="0" w:line="187" w:lineRule="exact"/>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w:t>
              </w:r>
            </w:hyperlink>
            <w:r>
              <w:rPr>
                <w:rFonts w:ascii="Arial" w:cs="Arial" w:eastAsia="Arial" w:hAnsi="Arial"/>
                <w:sz w:val="18"/>
                <w:szCs w:val="18"/>
                <w:color w:val="0000FF"/>
              </w:rPr>
              <w:t xml:space="preserve">Sheets—June </w:t>
            </w:r>
            <w:hyperlink w:anchor="page5">
              <w:r>
                <w:rPr>
                  <w:rFonts w:ascii="Arial" w:cs="Arial" w:eastAsia="Arial" w:hAnsi="Arial"/>
                  <w:sz w:val="18"/>
                  <w:szCs w:val="18"/>
                  <w:color w:val="0000FF"/>
                </w:rPr>
                <w:t>30, 2021 and December 31, 2020</w:t>
              </w:r>
            </w:hyperlink>
          </w:p>
        </w:tc>
        <w:tc>
          <w:tcPr>
            <w:tcW w:w="540" w:type="dxa"/>
            <w:vAlign w:val="bottom"/>
            <w:tcBorders>
              <w:right w:val="single" w:sz="8" w:color="CCEEFF"/>
            </w:tcBorders>
            <w:gridSpan w:val="3"/>
            <w:shd w:val="clear" w:color="auto" w:fill="CCEEFF"/>
          </w:tcPr>
          <w:p>
            <w:pPr>
              <w:jc w:val="center"/>
              <w:ind w:left="254"/>
              <w:spacing w:after="0" w:line="18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Income (Loss) and Comprehensive Income (Loss)—Three and Six Months Ended June 30,</w:t>
              </w:r>
            </w:hyperlink>
          </w:p>
        </w:tc>
        <w:tc>
          <w:tcPr>
            <w:tcW w:w="540" w:type="dxa"/>
            <w:vAlign w:val="bottom"/>
            <w:tcBorders>
              <w:right w:val="single" w:sz="8" w:color="CCEEFF"/>
            </w:tcBorders>
            <w:gridSpan w:val="3"/>
            <w:vMerge w:val="restart"/>
            <w:shd w:val="clear" w:color="auto" w:fill="CCEEFF"/>
          </w:tcPr>
          <w:p>
            <w:pPr>
              <w:jc w:val="center"/>
              <w:ind w:left="254"/>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240" w:type="dxa"/>
            <w:vAlign w:val="bottom"/>
            <w:tcBorders>
              <w:top w:val="single" w:sz="8" w:color="0000FF"/>
            </w:tcBorders>
            <w:gridSpan w:val="17"/>
            <w:shd w:val="clear" w:color="auto" w:fill="CCEEFF"/>
          </w:tcPr>
          <w:p>
            <w:pPr>
              <w:spacing w:after="0" w:line="152" w:lineRule="exact"/>
              <w:rPr>
                <w:rFonts w:ascii="Arial" w:cs="Arial" w:eastAsia="Arial" w:hAnsi="Arial"/>
                <w:sz w:val="17"/>
                <w:szCs w:val="17"/>
                <w:color w:val="0000FF"/>
              </w:rPr>
            </w:pPr>
            <w:hyperlink w:anchor="page6">
              <w:r>
                <w:rPr>
                  <w:rFonts w:ascii="Arial" w:cs="Arial" w:eastAsia="Arial" w:hAnsi="Arial"/>
                  <w:sz w:val="17"/>
                  <w:szCs w:val="17"/>
                  <w:color w:val="0000FF"/>
                </w:rPr>
                <w:t>2021 and 2020</w:t>
              </w:r>
            </w:hyperlink>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right w:val="single" w:sz="8" w:color="CCEEFF"/>
            </w:tcBorders>
            <w:gridSpan w:val="3"/>
            <w:vMerge w:val="continue"/>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Changes in Shareholders’ Equity—Three and Six Months Ended June 30, 2021 and 2020</w:t>
              </w:r>
            </w:hyperlink>
          </w:p>
        </w:tc>
        <w:tc>
          <w:tcPr>
            <w:tcW w:w="540" w:type="dxa"/>
            <w:vAlign w:val="bottom"/>
            <w:tcBorders>
              <w:right w:val="single" w:sz="8" w:color="CCEEFF"/>
            </w:tcBorders>
            <w:gridSpan w:val="3"/>
            <w:shd w:val="clear" w:color="auto" w:fill="CCEEFF"/>
          </w:tcPr>
          <w:p>
            <w:pPr>
              <w:jc w:val="center"/>
              <w:ind w:left="254"/>
              <w:spacing w:after="0" w:line="18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Flows—Six Months Ended June 30, 2021 and 2020</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540" w:type="dxa"/>
            <w:vAlign w:val="bottom"/>
            <w:tcBorders>
              <w:right w:val="single" w:sz="8" w:color="CCEEFF"/>
            </w:tcBorders>
            <w:gridSpan w:val="3"/>
            <w:shd w:val="clear" w:color="auto" w:fill="CCEEFF"/>
          </w:tcPr>
          <w:p>
            <w:pPr>
              <w:jc w:val="center"/>
              <w:ind w:left="254"/>
              <w:spacing w:after="0" w:line="186"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30">
              <w:r>
                <w:rPr>
                  <w:rFonts w:ascii="Arial" w:cs="Arial" w:eastAsia="Arial" w:hAnsi="Arial"/>
                  <w:sz w:val="18"/>
                  <w:szCs w:val="18"/>
                  <w:color w:val="0000FF"/>
                </w:rPr>
                <w:t>Critical Accounting Policies and Estimates</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2">
              <w:r>
                <w:rPr>
                  <w:rFonts w:ascii="Arial" w:cs="Arial" w:eastAsia="Arial" w:hAnsi="Arial"/>
                  <w:sz w:val="18"/>
                  <w:szCs w:val="18"/>
                  <w:color w:val="0000FF"/>
                </w:rPr>
                <w:t>Item 3.</w:t>
              </w:r>
            </w:hyperlink>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53</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Item 4.</w:t>
              </w:r>
            </w:hyperlink>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Controls and Procedures</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60" w:type="dxa"/>
            <w:vAlign w:val="bottom"/>
            <w:gridSpan w:val="22"/>
            <w:shd w:val="clear" w:color="auto" w:fill="CCEEFF"/>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PART II. OTHER INFORMATION</w:t>
              </w:r>
            </w:hyperlink>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Item 1.</w:t>
              </w:r>
            </w:hyperlink>
          </w:p>
        </w:tc>
        <w:tc>
          <w:tcPr>
            <w:tcW w:w="9440" w:type="dxa"/>
            <w:vAlign w:val="bottom"/>
            <w:gridSpan w:val="18"/>
            <w:shd w:val="clear" w:color="auto" w:fill="CCEEFF"/>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gridSpan w:val="2"/>
          </w:tcPr>
          <w:p>
            <w:pPr>
              <w:spacing w:after="0" w:line="186"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Item 1A.</w:t>
              </w:r>
            </w:hyperlink>
          </w:p>
        </w:tc>
        <w:tc>
          <w:tcPr>
            <w:tcW w:w="280" w:type="dxa"/>
            <w:vAlign w:val="bottom"/>
            <w:gridSpan w:val="2"/>
          </w:tcPr>
          <w:p>
            <w:pPr>
              <w:spacing w:after="0"/>
              <w:rPr>
                <w:sz w:val="16"/>
                <w:szCs w:val="16"/>
                <w:color w:val="auto"/>
              </w:rPr>
            </w:pPr>
          </w:p>
        </w:tc>
        <w:tc>
          <w:tcPr>
            <w:tcW w:w="9440" w:type="dxa"/>
            <w:vAlign w:val="bottom"/>
            <w:gridSpan w:val="18"/>
          </w:tcPr>
          <w:p>
            <w:pPr>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540" w:type="dxa"/>
            <w:vAlign w:val="bottom"/>
            <w:gridSpan w:val="3"/>
          </w:tcPr>
          <w:p>
            <w:pPr>
              <w:jc w:val="center"/>
              <w:ind w:left="274"/>
              <w:spacing w:after="0" w:line="18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54</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280" w:type="dxa"/>
            <w:vAlign w:val="bottom"/>
            <w:gridSpan w:val="2"/>
            <w:shd w:val="clear" w:color="auto" w:fill="CCEEFF"/>
          </w:tcPr>
          <w:p>
            <w:pPr>
              <w:spacing w:after="0"/>
              <w:rPr>
                <w:sz w:val="16"/>
                <w:szCs w:val="16"/>
                <w:color w:val="auto"/>
              </w:rPr>
            </w:pPr>
          </w:p>
        </w:tc>
        <w:tc>
          <w:tcPr>
            <w:tcW w:w="9440" w:type="dxa"/>
            <w:vAlign w:val="bottom"/>
            <w:gridSpan w:val="18"/>
            <w:shd w:val="clear" w:color="auto" w:fill="CCEEFF"/>
          </w:tcPr>
          <w:p>
            <w:pPr>
              <w:spacing w:after="0" w:line="195" w:lineRule="exact"/>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540" w:type="dxa"/>
            <w:vAlign w:val="bottom"/>
            <w:tcBorders>
              <w:right w:val="single" w:sz="8" w:color="CCEEFF"/>
            </w:tcBorders>
            <w:gridSpan w:val="3"/>
            <w:shd w:val="clear" w:color="auto" w:fill="CCEEFF"/>
          </w:tcPr>
          <w:p>
            <w:pPr>
              <w:jc w:val="center"/>
              <w:ind w:left="274"/>
              <w:spacing w:after="0" w:line="195"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59</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Item 3.</w:t>
              </w:r>
            </w:hyperlink>
          </w:p>
        </w:tc>
        <w:tc>
          <w:tcPr>
            <w:tcW w:w="9440" w:type="dxa"/>
            <w:vAlign w:val="bottom"/>
            <w:gridSpan w:val="18"/>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Defaults Upon Senior Securities</w:t>
              </w:r>
            </w:hyperlink>
          </w:p>
        </w:tc>
        <w:tc>
          <w:tcPr>
            <w:tcW w:w="540" w:type="dxa"/>
            <w:vAlign w:val="bottom"/>
            <w:gridSpan w:val="3"/>
          </w:tcPr>
          <w:p>
            <w:pPr>
              <w:jc w:val="center"/>
              <w:ind w:left="274"/>
              <w:spacing w:after="0" w:line="18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rFonts w:ascii="Arial" w:cs="Arial" w:eastAsia="Arial" w:hAnsi="Arial"/>
                <w:sz w:val="18"/>
                <w:szCs w:val="18"/>
                <w:color w:val="0000FF"/>
              </w:rPr>
            </w:pPr>
            <w:hyperlink w:anchor="page59">
              <w:r>
                <w:rPr>
                  <w:rFonts w:ascii="Arial" w:cs="Arial" w:eastAsia="Arial" w:hAnsi="Arial"/>
                  <w:sz w:val="18"/>
                  <w:szCs w:val="18"/>
                  <w:color w:val="0000FF"/>
                </w:rPr>
                <w:t>Item 4.</w:t>
              </w:r>
            </w:hyperlink>
          </w:p>
        </w:tc>
        <w:tc>
          <w:tcPr>
            <w:tcW w:w="9440" w:type="dxa"/>
            <w:vAlign w:val="bottom"/>
            <w:gridSpan w:val="18"/>
            <w:shd w:val="clear" w:color="auto" w:fill="CCEEFF"/>
          </w:tcPr>
          <w:p>
            <w:pPr>
              <w:spacing w:after="0" w:line="195" w:lineRule="exact"/>
              <w:rPr>
                <w:rFonts w:ascii="Arial" w:cs="Arial" w:eastAsia="Arial" w:hAnsi="Arial"/>
                <w:sz w:val="18"/>
                <w:szCs w:val="18"/>
                <w:color w:val="0000FF"/>
              </w:rPr>
            </w:pPr>
            <w:hyperlink w:anchor="page59">
              <w:r>
                <w:rPr>
                  <w:rFonts w:ascii="Arial" w:cs="Arial" w:eastAsia="Arial" w:hAnsi="Arial"/>
                  <w:sz w:val="18"/>
                  <w:szCs w:val="18"/>
                  <w:color w:val="0000FF"/>
                </w:rPr>
                <w:t>Mine Safety Disclosure</w:t>
              </w:r>
            </w:hyperlink>
          </w:p>
        </w:tc>
        <w:tc>
          <w:tcPr>
            <w:tcW w:w="540" w:type="dxa"/>
            <w:vAlign w:val="bottom"/>
            <w:tcBorders>
              <w:right w:val="single" w:sz="8" w:color="CCEEFF"/>
            </w:tcBorders>
            <w:gridSpan w:val="3"/>
            <w:shd w:val="clear" w:color="auto" w:fill="CCEEFF"/>
          </w:tcPr>
          <w:p>
            <w:pPr>
              <w:jc w:val="center"/>
              <w:ind w:left="274"/>
              <w:spacing w:after="0" w:line="195"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Item 5.</w:t>
              </w:r>
            </w:hyperlink>
          </w:p>
        </w:tc>
        <w:tc>
          <w:tcPr>
            <w:tcW w:w="9440" w:type="dxa"/>
            <w:vAlign w:val="bottom"/>
            <w:gridSpan w:val="18"/>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Other Information</w:t>
              </w:r>
            </w:hyperlink>
          </w:p>
        </w:tc>
        <w:tc>
          <w:tcPr>
            <w:tcW w:w="540" w:type="dxa"/>
            <w:vAlign w:val="bottom"/>
            <w:gridSpan w:val="3"/>
          </w:tcPr>
          <w:p>
            <w:pPr>
              <w:jc w:val="center"/>
              <w:ind w:left="274"/>
              <w:spacing w:after="0" w:line="18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rFonts w:ascii="Arial" w:cs="Arial" w:eastAsia="Arial" w:hAnsi="Arial"/>
                <w:sz w:val="18"/>
                <w:szCs w:val="18"/>
                <w:color w:val="0000FF"/>
              </w:rPr>
            </w:pPr>
            <w:hyperlink w:anchor="page59">
              <w:r>
                <w:rPr>
                  <w:rFonts w:ascii="Arial" w:cs="Arial" w:eastAsia="Arial" w:hAnsi="Arial"/>
                  <w:sz w:val="18"/>
                  <w:szCs w:val="18"/>
                  <w:color w:val="0000FF"/>
                </w:rPr>
                <w:t>Item 6.</w:t>
              </w:r>
            </w:hyperlink>
          </w:p>
        </w:tc>
        <w:tc>
          <w:tcPr>
            <w:tcW w:w="9440" w:type="dxa"/>
            <w:vAlign w:val="bottom"/>
            <w:gridSpan w:val="18"/>
            <w:shd w:val="clear" w:color="auto" w:fill="CCEEFF"/>
          </w:tcPr>
          <w:p>
            <w:pPr>
              <w:spacing w:after="0" w:line="195" w:lineRule="exact"/>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540" w:type="dxa"/>
            <w:vAlign w:val="bottom"/>
            <w:tcBorders>
              <w:right w:val="single" w:sz="8" w:color="CCEEFF"/>
            </w:tcBorders>
            <w:gridSpan w:val="3"/>
            <w:shd w:val="clear" w:color="auto" w:fill="CCEEFF"/>
          </w:tcPr>
          <w:p>
            <w:pPr>
              <w:jc w:val="center"/>
              <w:ind w:left="274"/>
              <w:spacing w:after="0" w:line="195"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4"/>
              <w:spacing w:after="0" w:line="186"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60</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34" w:lineRule="exact"/>
        <w:rPr>
          <w:sz w:val="20"/>
          <w:szCs w:val="20"/>
          <w:color w:val="auto"/>
        </w:rPr>
      </w:pPr>
    </w:p>
    <w:p>
      <w:pPr>
        <w:ind w:left="8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1" w:lineRule="exact"/>
        <w:rPr>
          <w:rFonts w:ascii="Arial" w:cs="Arial" w:eastAsia="Arial" w:hAnsi="Arial"/>
          <w:sz w:val="18"/>
          <w:szCs w:val="18"/>
          <w:color w:val="auto"/>
        </w:rPr>
      </w:pPr>
    </w:p>
    <w:p>
      <w:pPr>
        <w:ind w:left="800" w:right="40" w:hanging="476"/>
        <w:spacing w:after="0" w:line="365"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downgrade in the financial strength rating of our regulated insurance subsidiaries announced May 7, 2021, or further downgrades, impacting our ability to attract and retain insurance and reinsurance business that our subsidiaries write, our competitive position, and our financial condition;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2" w:lineRule="exact"/>
        <w:rPr>
          <w:rFonts w:ascii="Arial" w:cs="Arial" w:eastAsia="Arial" w:hAnsi="Arial"/>
          <w:sz w:val="17"/>
          <w:szCs w:val="17"/>
          <w:color w:val="auto"/>
        </w:rPr>
      </w:pPr>
    </w:p>
    <w:p>
      <w:pPr>
        <w:ind w:left="800" w:right="28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74" w:lineRule="exact"/>
        <w:rPr>
          <w:rFonts w:ascii="Arial" w:cs="Arial" w:eastAsia="Arial" w:hAnsi="Arial"/>
          <w:sz w:val="18"/>
          <w:szCs w:val="18"/>
          <w:color w:val="auto"/>
        </w:rPr>
      </w:pPr>
    </w:p>
    <w:p>
      <w:pPr>
        <w:ind w:left="800" w:right="2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74" w:lineRule="exact"/>
        <w:rPr>
          <w:rFonts w:ascii="Arial" w:cs="Arial" w:eastAsia="Arial" w:hAnsi="Arial"/>
          <w:sz w:val="18"/>
          <w:szCs w:val="18"/>
          <w:color w:val="auto"/>
        </w:rPr>
      </w:pPr>
    </w:p>
    <w:p>
      <w:pPr>
        <w:ind w:left="800" w:right="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74" w:lineRule="exact"/>
        <w:rPr>
          <w:rFonts w:ascii="Arial" w:cs="Arial" w:eastAsia="Arial" w:hAnsi="Arial"/>
          <w:sz w:val="18"/>
          <w:szCs w:val="18"/>
          <w:color w:val="auto"/>
        </w:rPr>
      </w:pPr>
    </w:p>
    <w:p>
      <w:pPr>
        <w:ind w:left="800" w:right="520" w:hanging="476"/>
        <w:spacing w:after="0" w:line="255"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their reimbursement obligations;</w:t>
      </w:r>
    </w:p>
    <w:p>
      <w:pPr>
        <w:spacing w:after="0" w:line="82"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1" w:lineRule="exact"/>
        <w:rPr>
          <w:rFonts w:ascii="Arial" w:cs="Arial" w:eastAsia="Arial" w:hAnsi="Arial"/>
          <w:sz w:val="18"/>
          <w:szCs w:val="18"/>
          <w:color w:val="auto"/>
        </w:rPr>
      </w:pPr>
    </w:p>
    <w:p>
      <w:pPr>
        <w:ind w:left="800" w:right="3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74" w:lineRule="exact"/>
        <w:rPr>
          <w:rFonts w:ascii="Arial" w:cs="Arial" w:eastAsia="Arial" w:hAnsi="Arial"/>
          <w:sz w:val="18"/>
          <w:szCs w:val="18"/>
          <w:color w:val="auto"/>
        </w:rPr>
      </w:pPr>
    </w:p>
    <w:p>
      <w:pPr>
        <w:ind w:left="800" w:right="300" w:hanging="476"/>
        <w:spacing w:after="0" w:line="365"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1" w:lineRule="exact"/>
        <w:rPr>
          <w:rFonts w:ascii="Arial" w:cs="Arial" w:eastAsia="Arial" w:hAnsi="Arial"/>
          <w:sz w:val="18"/>
          <w:szCs w:val="18"/>
          <w:color w:val="auto"/>
        </w:rPr>
      </w:pPr>
    </w:p>
    <w:p>
      <w:pPr>
        <w:ind w:left="800" w:right="7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74" w:lineRule="exact"/>
        <w:rPr>
          <w:rFonts w:ascii="Arial" w:cs="Arial" w:eastAsia="Arial" w:hAnsi="Arial"/>
          <w:sz w:val="18"/>
          <w:szCs w:val="18"/>
          <w:color w:val="auto"/>
        </w:rPr>
      </w:pPr>
    </w:p>
    <w:p>
      <w:pPr>
        <w:ind w:left="800" w:right="1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for the year ended December 31, 2020 filed with the SEC on February 26, 2021.</w:t>
      </w:r>
    </w:p>
    <w:p>
      <w:pPr>
        <w:spacing w:after="0" w:line="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 June 30,</w:t>
            </w:r>
          </w:p>
        </w:tc>
        <w:tc>
          <w:tcPr>
            <w:tcW w:w="18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77"/>
        </w:trPr>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4"/>
          </w:tcPr>
          <w:p>
            <w:pPr>
              <w:jc w:val="right"/>
              <w:ind w:right="913"/>
              <w:spacing w:after="0"/>
              <w:rPr>
                <w:sz w:val="20"/>
                <w:szCs w:val="20"/>
                <w:color w:val="auto"/>
              </w:rPr>
            </w:pPr>
            <w:r>
              <w:rPr>
                <w:rFonts w:ascii="Arial" w:cs="Arial" w:eastAsia="Arial" w:hAnsi="Arial"/>
                <w:sz w:val="14"/>
                <w:szCs w:val="14"/>
                <w:b w:val="1"/>
                <w:bCs w:val="1"/>
                <w:i w:val="1"/>
                <w:iCs w:val="1"/>
                <w:color w:val="auto"/>
              </w:rPr>
              <w:t>(in thousands)</w:t>
            </w:r>
          </w:p>
        </w:tc>
      </w:tr>
      <w:tr>
        <w:trPr>
          <w:trHeight w:val="22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2021 – $1,783,267; 2020 – $1,690,890)</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2021 – $84,909; 2020 – $81,698)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88,975</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147,604</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130,289</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2,202,283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2,197,058</w:t>
            </w:r>
          </w:p>
        </w:tc>
      </w:tr>
      <w:tr>
        <w:trPr>
          <w:trHeight w:val="252"/>
        </w:trPr>
        <w:tc>
          <w:tcPr>
            <w:tcW w:w="8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360,931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162,260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859,920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369,577</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935,561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805,684</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287,936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243,741</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36,402</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86,548</w:t>
            </w: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5,391,816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5,063,072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 June 30,</w:t>
            </w:r>
          </w:p>
        </w:tc>
        <w:tc>
          <w:tcPr>
            <w:tcW w:w="18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214"/>
              <w:spacing w:after="0"/>
              <w:rPr>
                <w:sz w:val="20"/>
                <w:szCs w:val="20"/>
                <w:color w:val="auto"/>
              </w:rPr>
            </w:pPr>
            <w:r>
              <w:rPr>
                <w:rFonts w:ascii="Arial" w:cs="Arial" w:eastAsia="Arial" w:hAnsi="Arial"/>
                <w:sz w:val="14"/>
                <w:szCs w:val="14"/>
                <w:b w:val="1"/>
                <w:bCs w:val="1"/>
                <w:i w:val="1"/>
                <w:iCs w:val="1"/>
                <w:color w:val="auto"/>
                <w:w w:val="89"/>
              </w:rPr>
              <w:t>(in thousands, except share amounts)</w:t>
            </w: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2,192,080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630,371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110,431</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723,525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4,267,464</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140"/>
              <w:spacing w:after="0" w:line="173" w:lineRule="exact"/>
              <w:rPr>
                <w:sz w:val="20"/>
                <w:szCs w:val="20"/>
                <w:color w:val="auto"/>
              </w:rPr>
            </w:pPr>
            <w:r>
              <w:rPr>
                <w:rFonts w:ascii="Arial" w:cs="Arial" w:eastAsia="Arial" w:hAnsi="Arial"/>
                <w:sz w:val="18"/>
                <w:szCs w:val="18"/>
                <w:color w:val="auto"/>
                <w:w w:val="90"/>
              </w:rPr>
              <w:t>Common Shares – 2021 and 2020: $0.0002 par value; 200,000,000 shares authorized; 37,275,562 and 30,649,261</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84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5"/>
              </w:rPr>
              <w:t>Preferred Shares – 2021 and 2020: $0.00125 par value; 20,000,000 shares authorized; no shares issued and</w:t>
            </w: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664,476</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(deficit) earnings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81,899</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19"/>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5,391,816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5,063,072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(Loss) and Comprehensive Income (Loss) (Unaudited)</w:t>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380,146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301,639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753,401</w:t>
            </w:r>
          </w:p>
        </w:tc>
        <w:tc>
          <w:tcPr>
            <w:tcW w:w="1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585,480</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(285,069)</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8"/>
                <w:szCs w:val="18"/>
                <w:color w:val="auto"/>
              </w:rPr>
              <w:t>Net written premiums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368,203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300,411</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8"/>
                <w:szCs w:val="18"/>
                <w:color w:val="auto"/>
              </w:rPr>
              <w:t>Net earned premiums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294,733</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(36,814)</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374,547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297,033</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195,602</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95,018</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298,491</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line="173" w:lineRule="exact"/>
              <w:rPr>
                <w:sz w:val="20"/>
                <w:szCs w:val="20"/>
                <w:color w:val="auto"/>
              </w:rPr>
            </w:pPr>
            <w:r>
              <w:rPr>
                <w:rFonts w:ascii="Arial" w:cs="Arial" w:eastAsia="Arial" w:hAnsi="Arial"/>
                <w:sz w:val="18"/>
                <w:szCs w:val="18"/>
                <w:color w:val="auto"/>
                <w:w w:val="88"/>
              </w:rPr>
              <w:t>Net unrealized gains (losses), net of taxes of $2,013 and $(3,635) in 2021 and</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42,394</w:t>
            </w:r>
          </w:p>
        </w:tc>
        <w:tc>
          <w:tcPr>
            <w:tcW w:w="0" w:type="dxa"/>
            <w:vAlign w:val="bottom"/>
          </w:tcPr>
          <w:p>
            <w:pPr>
              <w:spacing w:after="0"/>
              <w:rPr>
                <w:sz w:val="1"/>
                <w:szCs w:val="1"/>
                <w:color w:val="auto"/>
              </w:rPr>
            </w:pPr>
          </w:p>
        </w:tc>
      </w:tr>
      <w:tr>
        <w:trPr>
          <w:trHeight w:val="224"/>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$6,927 and $5,535 in 2020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earnings (loss) per share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5"/>
        </w:trPr>
        <w:tc>
          <w:tcPr>
            <w:tcW w:w="5520" w:type="dxa"/>
            <w:vAlign w:val="bottom"/>
          </w:tcPr>
          <w:p>
            <w:pPr>
              <w:ind w:left="1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declared per share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34,418,472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30,529,241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32,576,463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30,502,774</w:t>
            </w:r>
          </w:p>
        </w:tc>
        <w:tc>
          <w:tcPr>
            <w:tcW w:w="0" w:type="dxa"/>
            <w:vAlign w:val="bottom"/>
          </w:tcPr>
          <w:p>
            <w:pPr>
              <w:spacing w:after="0"/>
              <w:rPr>
                <w:sz w:val="1"/>
                <w:szCs w:val="1"/>
                <w:color w:val="auto"/>
              </w:rPr>
            </w:pPr>
          </w:p>
        </w:tc>
      </w:tr>
      <w:tr>
        <w:trPr>
          <w:trHeight w:val="224"/>
        </w:trPr>
        <w:tc>
          <w:tcPr>
            <w:tcW w:w="5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34,586,997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30,782,609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32,576,463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30,502,774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8"/>
          </w:tcPr>
          <w:p>
            <w:pPr>
              <w:ind w:left="4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30,774,930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639,628</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192,107</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Compensation expense under share incentive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200" w:type="dxa"/>
            <w:vAlign w:val="bottom"/>
          </w:tcPr>
          <w:p>
            <w:pPr>
              <w:jc w:val="right"/>
              <w:spacing w:after="0"/>
              <w:rPr>
                <w:sz w:val="20"/>
                <w:szCs w:val="20"/>
                <w:color w:val="auto"/>
              </w:rPr>
            </w:pPr>
            <w:r>
              <w:rPr>
                <w:rFonts w:ascii="Arial" w:cs="Arial" w:eastAsia="Arial" w:hAnsi="Arial"/>
                <w:sz w:val="18"/>
                <w:szCs w:val="18"/>
                <w:color w:val="auto"/>
              </w:rPr>
              <w:t>37,275,562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857,916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858,499</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tcPr>
          <w:p>
            <w:pPr>
              <w:jc w:val="right"/>
              <w:spacing w:after="0"/>
              <w:rPr>
                <w:sz w:val="20"/>
                <w:szCs w:val="20"/>
                <w:color w:val="auto"/>
              </w:rPr>
            </w:pPr>
            <w:r>
              <w:rPr>
                <w:rFonts w:ascii="Arial" w:cs="Arial" w:eastAsia="Arial" w:hAnsi="Arial"/>
                <w:sz w:val="18"/>
                <w:szCs w:val="18"/>
                <w:color w:val="auto"/>
              </w:rPr>
              <w:t>30,649,261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664,476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(20,603)</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Issuance of common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6,497,500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192,107</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112,330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Compensation expense under share incentive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200" w:type="dxa"/>
            <w:vAlign w:val="bottom"/>
          </w:tcPr>
          <w:p>
            <w:pPr>
              <w:jc w:val="right"/>
              <w:spacing w:after="0"/>
              <w:rPr>
                <w:sz w:val="20"/>
                <w:szCs w:val="20"/>
                <w:color w:val="auto"/>
              </w:rPr>
            </w:pPr>
            <w:r>
              <w:rPr>
                <w:rFonts w:ascii="Arial" w:cs="Arial" w:eastAsia="Arial" w:hAnsi="Arial"/>
                <w:sz w:val="18"/>
                <w:szCs w:val="18"/>
                <w:color w:val="auto"/>
              </w:rPr>
              <w:t>37,275,562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857,916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858,499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3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Shares (Par)</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8"/>
          </w:tcPr>
          <w:p>
            <w:pPr>
              <w:ind w:left="44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30,520,428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720,317</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35,614</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46,313</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4"/>
        </w:trPr>
        <w:tc>
          <w:tcPr>
            <w:tcW w:w="33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Compensation expense under share incentive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200" w:type="dxa"/>
            <w:vAlign w:val="bottom"/>
          </w:tcPr>
          <w:p>
            <w:pPr>
              <w:jc w:val="right"/>
              <w:spacing w:after="0"/>
              <w:rPr>
                <w:sz w:val="20"/>
                <w:szCs w:val="20"/>
                <w:color w:val="auto"/>
              </w:rPr>
            </w:pPr>
            <w:r>
              <w:rPr>
                <w:rFonts w:ascii="Arial" w:cs="Arial" w:eastAsia="Arial" w:hAnsi="Arial"/>
                <w:sz w:val="18"/>
                <w:szCs w:val="18"/>
                <w:color w:val="auto"/>
              </w:rPr>
              <w:t>30,553,178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660,427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73,508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795,711</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30,424,391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657,875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89,586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31,114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42,394</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29,141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173"/>
        </w:trPr>
        <w:tc>
          <w:tcPr>
            <w:tcW w:w="3340" w:type="dxa"/>
            <w:vAlign w:val="bottom"/>
          </w:tcPr>
          <w:p>
            <w:pPr>
              <w:ind w:left="20"/>
              <w:spacing w:after="0" w:line="173" w:lineRule="exact"/>
              <w:rPr>
                <w:sz w:val="20"/>
                <w:szCs w:val="20"/>
                <w:color w:val="auto"/>
              </w:rPr>
            </w:pPr>
            <w:r>
              <w:rPr>
                <w:rFonts w:ascii="Arial" w:cs="Arial" w:eastAsia="Arial" w:hAnsi="Arial"/>
                <w:sz w:val="18"/>
                <w:szCs w:val="18"/>
                <w:color w:val="auto"/>
                <w:w w:val="90"/>
              </w:rPr>
              <w:t>Compensation expense under share incentive</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plans</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Cumulative effect of fair value option election</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173"/>
        </w:trPr>
        <w:tc>
          <w:tcPr>
            <w:tcW w:w="3340" w:type="dxa"/>
            <w:vAlign w:val="bottom"/>
          </w:tcPr>
          <w:p>
            <w:pPr>
              <w:ind w:left="20"/>
              <w:spacing w:after="0" w:line="173" w:lineRule="exact"/>
              <w:rPr>
                <w:sz w:val="20"/>
                <w:szCs w:val="20"/>
                <w:color w:val="auto"/>
              </w:rPr>
            </w:pPr>
            <w:r>
              <w:rPr>
                <w:rFonts w:ascii="Arial" w:cs="Arial" w:eastAsia="Arial" w:hAnsi="Arial"/>
                <w:sz w:val="18"/>
                <w:szCs w:val="18"/>
                <w:color w:val="auto"/>
              </w:rPr>
              <w:t>Cumulative effect of adoption of ASU No.</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4"/>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2016-13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30,553,178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795,711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77"/>
        </w:trPr>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2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cash used in operating activities (a)</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(93,003)</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(136,231)</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(368,975)</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 – fixed maturity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9,432</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and calls – 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92,395</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Purchases – equity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(9,993)</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 equity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Bank loan participations: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103,933</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Other 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60,660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Securities receivable or payable,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w:t>
            </w:r>
          </w:p>
        </w:tc>
      </w:tr>
      <w:tr>
        <w:trPr>
          <w:trHeight w:val="225"/>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debt issuances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Senior debt repayments</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Issuance of common shares - public offering (Note 12)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under equity incentive plans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 repurchases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Change in cash, cash equivalents, and restricted cash equivalents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(180,911)</w:t>
            </w: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1,406,076</w:t>
            </w: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1,084,456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1,225,165</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Restricted cash equivalents at beginning of period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859,920</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1,199,164</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 at end of period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1,020,856</w:t>
            </w:r>
          </w:p>
        </w:tc>
      </w:tr>
      <w:tr>
        <w:trPr>
          <w:trHeight w:val="224"/>
        </w:trPr>
        <w:tc>
          <w:tcPr>
            <w:tcW w:w="8320" w:type="dxa"/>
            <w:vAlign w:val="bottom"/>
          </w:tcPr>
          <w:p>
            <w:pPr>
              <w:spacing w:after="0"/>
              <w:rPr>
                <w:sz w:val="20"/>
                <w:szCs w:val="20"/>
                <w:color w:val="auto"/>
              </w:rPr>
            </w:pPr>
            <w:r>
              <w:rPr>
                <w:rFonts w:ascii="Arial" w:cs="Arial" w:eastAsia="Arial" w:hAnsi="Arial"/>
                <w:sz w:val="18"/>
                <w:szCs w:val="18"/>
                <w:color w:val="auto"/>
              </w:rPr>
              <w:t>Change in restricted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(136,395)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(178,308)</w:t>
            </w:r>
          </w:p>
        </w:tc>
      </w:tr>
    </w:tbl>
    <w:p>
      <w:pPr>
        <w:spacing w:after="0" w:line="320" w:lineRule="exact"/>
        <w:rPr>
          <w:sz w:val="20"/>
          <w:szCs w:val="20"/>
          <w:color w:val="auto"/>
        </w:rPr>
      </w:pPr>
    </w:p>
    <w:p>
      <w:pPr>
        <w:jc w:val="both"/>
        <w:ind w:firstLine="6"/>
        <w:spacing w:after="0" w:line="252"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Cash used in operating activities for the six months ended June 30, 2021 and 2020 primarily reflect $136.4 million and $178.3 million, respectively, of restricted cash equivalents returned to a former insured, per the terms of a collateral trust (see Amounts Recoverable from an Indemnifying Party in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Excluding the reduction in the collateral funds, cash provided by operating activities was $43.4 million and $42.1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and 2020, respectively.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9460" w:firstLine="6"/>
        <w:spacing w:after="0" w:line="394" w:lineRule="auto"/>
        <w:tabs>
          <w:tab w:leader="none" w:pos="29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firstLine="318"/>
        <w:spacing w:after="0" w:line="264"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75" w:lineRule="exact"/>
        <w:rPr>
          <w:sz w:val="20"/>
          <w:szCs w:val="20"/>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 w:lineRule="exact"/>
        <w:rPr>
          <w:sz w:val="20"/>
          <w:szCs w:val="20"/>
          <w:color w:val="auto"/>
        </w:rPr>
      </w:pPr>
    </w:p>
    <w:p>
      <w:pPr>
        <w:jc w:val="both"/>
        <w:ind w:left="640" w:hanging="316"/>
        <w:spacing w:after="0" w:line="255"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82" w:lineRule="exact"/>
        <w:rPr>
          <w:sz w:val="20"/>
          <w:szCs w:val="20"/>
          <w:color w:val="auto"/>
        </w:rPr>
      </w:pPr>
    </w:p>
    <w:p>
      <w:pPr>
        <w:ind w:left="640" w:hanging="316"/>
        <w:spacing w:after="0" w:line="365" w:lineRule="auto"/>
        <w:tabs>
          <w:tab w:leader="none" w:pos="636" w:val="left"/>
        </w:tabs>
        <w:numPr>
          <w:ilvl w:val="0"/>
          <w:numId w:val="9"/>
        </w:numPr>
        <w:rPr>
          <w:rFonts w:ascii="Arial" w:cs="Arial" w:eastAsia="Arial" w:hAnsi="Arial"/>
          <w:sz w:val="15"/>
          <w:szCs w:val="15"/>
          <w:color w:val="auto"/>
        </w:rPr>
      </w:pPr>
      <w:r>
        <w:rPr>
          <w:rFonts w:ascii="Arial" w:cs="Arial" w:eastAsia="Arial" w:hAnsi="Arial"/>
          <w:sz w:val="15"/>
          <w:szCs w:val="15"/>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5" w:lineRule="exact"/>
        <w:rPr>
          <w:rFonts w:ascii="Arial" w:cs="Arial" w:eastAsia="Arial" w:hAnsi="Arial"/>
          <w:sz w:val="15"/>
          <w:szCs w:val="15"/>
          <w:color w:val="auto"/>
        </w:rPr>
      </w:pPr>
    </w:p>
    <w:p>
      <w:pPr>
        <w:jc w:val="both"/>
        <w:ind w:left="640" w:hanging="316"/>
        <w:spacing w:after="0" w:line="252"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82" w:lineRule="exact"/>
        <w:rPr>
          <w:rFonts w:ascii="Arial" w:cs="Arial" w:eastAsia="Arial" w:hAnsi="Arial"/>
          <w:sz w:val="18"/>
          <w:szCs w:val="18"/>
          <w:color w:val="auto"/>
        </w:rPr>
      </w:pPr>
    </w:p>
    <w:p>
      <w:pPr>
        <w:ind w:left="640" w:hanging="316"/>
        <w:spacing w:after="0" w:line="264" w:lineRule="auto"/>
        <w:tabs>
          <w:tab w:leader="none" w:pos="663"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an aggregate stop loss reinsurance treaty with JRG 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2020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2020 was derived from the Company’s audited annual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$29.1 million and $30.1 million at June 30, 2021 and December 31, 2020, respectively, representing the Company’s maximum exposure to loss.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$108.3 million for the six months ended June 30, 2021 and recorded a U.S. federal income tax benefit of $25.7 million. The pre-tax loss was largely driven by the $166.7 million of net adverse reserve development on prior accident years, including $161.2 million of net adverse development from the Excess and Surplus Lines segment that was primarily related to a former commercial auto account. For the six months ended June 30, 2021, our U.S. federal income tax benefit was 23.7% of the loss before taxes. The outbreak of the coronavirus pandemic in 2020 led to significant unrealized losses in our investment portfolio that were recognized in earnings. As a result, the Company had a pre-tax loss of $1.5 million for the six months ended June 30, 2020 and recorded a U.S. federal income tax benefit of $257,000. For the six months ended June 30, 2020, our U.S. federal income tax benefit was 17.6% of the loss before taxes. The change in effective tax rate for the two periods reflects changes in reserve estimates between accident years in the commercial auto business, and the related impact on the mix of income reported by country in those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353,158</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285,981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776,475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339,941</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89,499</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1,845,054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amortized cost and fair value of available-for-sale investments in fixed maturity securities at June 30, 2021 are summarized, by contractual maturity,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8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123,390</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469,124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491,034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332,544</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255,854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272,164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285,981</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339,941</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1,783,267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1,845,054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12 Months or More</w:t>
            </w:r>
          </w:p>
        </w:tc>
        <w:tc>
          <w:tcPr>
            <w:tcW w:w="2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77"/>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427,067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June 30, 2021, the Company held fixed maturity securities of 135 issuers that were in an unrealized loss position with a total fair value of $427.1 million and gross unrealized losses of $5.8 million. None of the fixed maturity securities with unrealized losses has ever missed, or been delinquent on, a scheduled principal or interest payment. At June 30, 2021, 99.5%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June 30, 2021 had an aggregate fair value of $10.1 million and an aggregate net unrealized gain of $113,000.</w:t>
      </w:r>
    </w:p>
    <w:p>
      <w:pPr>
        <w:spacing w:after="0" w:line="9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31F20"/>
        </w:rPr>
        <w:t xml:space="preserve">The Company adopted ASU 2016-13, </w:t>
      </w:r>
      <w:r>
        <w:rPr>
          <w:rFonts w:ascii="Arial" w:cs="Arial" w:eastAsia="Arial" w:hAnsi="Arial"/>
          <w:sz w:val="15"/>
          <w:szCs w:val="15"/>
          <w:i w:val="1"/>
          <w:iCs w:val="1"/>
          <w:color w:val="231F20"/>
        </w:rPr>
        <w:t>Financial Instruments - Credit Losses (Topic 326): Measurement of Credit Losses on Financial Instruments</w:t>
      </w:r>
      <w:r>
        <w:rPr>
          <w:rFonts w:ascii="Arial" w:cs="Arial" w:eastAsia="Arial" w:hAnsi="Arial"/>
          <w:sz w:val="15"/>
          <w:szCs w:val="15"/>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5"/>
          <w:szCs w:val="15"/>
          <w:color w:val="000000"/>
        </w:rPr>
        <w:t>et</w:t>
      </w:r>
      <w:r>
        <w:rPr>
          <w:rFonts w:ascii="Arial" w:cs="Arial" w:eastAsia="Arial" w:hAnsi="Arial"/>
          <w:sz w:val="15"/>
          <w:szCs w:val="15"/>
          <w:color w:val="231F20"/>
        </w:rPr>
        <w:t xml:space="preserve"> </w:t>
      </w:r>
      <w:r>
        <w:rPr>
          <w:rFonts w:ascii="Arial" w:cs="Arial" w:eastAsia="Arial" w:hAnsi="Arial"/>
          <w:sz w:val="15"/>
          <w:szCs w:val="15"/>
          <w:color w:val="000000"/>
        </w:rPr>
        <w:t>realized and unrealized gains (losses) on investments</w:t>
      </w:r>
      <w:r>
        <w:rPr>
          <w:rFonts w:ascii="Arial" w:cs="Arial" w:eastAsia="Arial" w:hAnsi="Arial"/>
          <w:sz w:val="15"/>
          <w:szCs w:val="15"/>
          <w:color w:val="231F20"/>
        </w:rPr>
        <w:t>. Unrealized losses that are not credit-related continue to be recognized in other comprehensive income.</w:t>
      </w:r>
    </w:p>
    <w:p>
      <w:pPr>
        <w:spacing w:after="0" w:line="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2021, December 31, 2020, or June 30, 2020. </w:t>
      </w:r>
      <w:r>
        <w:rPr>
          <w:rFonts w:ascii="Arial" w:cs="Arial" w:eastAsia="Arial" w:hAnsi="Arial"/>
          <w:sz w:val="17"/>
          <w:szCs w:val="17"/>
          <w:color w:val="231F20"/>
        </w:rPr>
        <w:t>Management does</w:t>
      </w:r>
      <w:r>
        <w:rPr>
          <w:rFonts w:ascii="Arial" w:cs="Arial" w:eastAsia="Arial" w:hAnsi="Arial"/>
          <w:sz w:val="17"/>
          <w:szCs w:val="17"/>
          <w:color w:val="auto"/>
        </w:rPr>
        <w:t xml:space="preserve"> </w:t>
      </w:r>
      <w:r>
        <w:rPr>
          <w:rFonts w:ascii="Arial" w:cs="Arial" w:eastAsia="Arial" w:hAnsi="Arial"/>
          <w:sz w:val="17"/>
          <w:szCs w:val="17"/>
          <w:color w:val="231F20"/>
        </w:rPr>
        <w:t>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7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231F20"/>
        </w:rPr>
        <w:t xml:space="preserve">Applying the fair value option to the bank loan portfolio increases volatility in the Company's financial statements, but management believes it is less subjective and less burdensome to implement and maintain than ASU 2016-13, which would have otherwise been required. At June 30, 2021, the Company's bank loan portfolio had an aggregate fair value of $165.2 million and unpaid principal of $170.2 million. Investment income on bank loan participations included in net investment income was $2.5 million and $5.4 million for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2021, respectively ($3.1 million and $7.3 million for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2020, respectively). Net realized and unrealized gains (losses) on investments includes gains of $2.3 million and $6.3 million for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2021, respectively, related to changes in unrealized gains and losses on bank loan participations (gains of $26.6 million and losses of $17.4 million in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2020, respectively). For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2021, management concluded that none of the unrealized losses were due to credit-related impairments. Management concluded that $2.8 million and $7.8 million of unrealized losses in the </w:t>
      </w:r>
      <w:r>
        <w:rPr>
          <w:rFonts w:ascii="Arial" w:cs="Arial" w:eastAsia="Arial" w:hAnsi="Arial"/>
          <w:sz w:val="15"/>
          <w:szCs w:val="15"/>
          <w:color w:val="000000"/>
        </w:rPr>
        <w:t>three and six</w:t>
      </w:r>
      <w:r>
        <w:rPr>
          <w:rFonts w:ascii="Arial" w:cs="Arial" w:eastAsia="Arial" w:hAnsi="Arial"/>
          <w:sz w:val="15"/>
          <w:szCs w:val="15"/>
          <w:color w:val="231F20"/>
        </w:rPr>
        <w:t xml:space="preserve"> months ended June 30, 2020, respectively,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5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414"/>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21" w:lineRule="exact"/>
        <w:rPr>
          <w:sz w:val="20"/>
          <w:szCs w:val="20"/>
          <w:color w:val="auto"/>
        </w:rPr>
      </w:pPr>
    </w:p>
    <w:tbl>
      <w:tblPr>
        <w:tblLayout w:type="fixed"/>
        <w:tblInd w:w="94"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8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79"/>
        </w:trPr>
        <w:tc>
          <w:tcPr>
            <w:tcW w:w="5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5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r>
      <w:tr>
        <w:trPr>
          <w:trHeight w:val="225"/>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(17,377)</w:t>
            </w:r>
          </w:p>
        </w:tc>
      </w:tr>
      <w:tr>
        <w:trPr>
          <w:trHeight w:val="219"/>
        </w:trPr>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(28,023)</w:t>
            </w: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18"/>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(9,439)</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9"/>
        </w:trPr>
        <w:tc>
          <w:tcPr>
            <w:tcW w:w="5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(36,814)</w:t>
            </w: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14"/>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1" w:lineRule="exact"/>
        <w:rPr>
          <w:sz w:val="20"/>
          <w:szCs w:val="20"/>
          <w:color w:val="auto"/>
        </w:rPr>
      </w:pPr>
    </w:p>
    <w:p>
      <w:pPr>
        <w:jc w:val="both"/>
        <w:ind w:left="94" w:firstLine="318"/>
        <w:spacing w:after="0" w:line="264"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104" w:lineRule="exact"/>
        <w:rPr>
          <w:sz w:val="20"/>
          <w:szCs w:val="20"/>
          <w:color w:val="auto"/>
        </w:rPr>
      </w:pPr>
    </w:p>
    <w:tbl>
      <w:tblPr>
        <w:tblLayout w:type="fixed"/>
        <w:tblInd w:w="94"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Investment Income</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680" w:type="dxa"/>
            <w:vAlign w:val="bottom"/>
            <w:gridSpan w:val="3"/>
          </w:tcPr>
          <w:p>
            <w:pPr>
              <w:jc w:val="right"/>
              <w:ind w:right="61"/>
              <w:spacing w:after="0" w:line="131" w:lineRule="exact"/>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gridSpan w:val="4"/>
          </w:tcPr>
          <w:p>
            <w:pPr>
              <w:jc w:val="right"/>
              <w:ind w:right="515"/>
              <w:spacing w:after="0" w:line="131"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right"/>
              <w:ind w:right="461"/>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3"/>
              </w:rPr>
              <w:t>846</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center"/>
              <w:ind w:left="315"/>
              <w:spacing w:after="0"/>
              <w:rPr>
                <w:sz w:val="20"/>
                <w:szCs w:val="20"/>
                <w:color w:val="auto"/>
              </w:rPr>
            </w:pPr>
            <w:r>
              <w:rPr>
                <w:rFonts w:ascii="Arial" w:cs="Arial" w:eastAsia="Arial" w:hAnsi="Arial"/>
                <w:sz w:val="18"/>
                <w:szCs w:val="18"/>
                <w:color w:val="auto"/>
                <w:w w:val="93"/>
              </w:rPr>
              <w:t>267</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0"/>
              </w:rPr>
              <w:t>(324)</w:t>
            </w:r>
          </w:p>
        </w:tc>
        <w:tc>
          <w:tcPr>
            <w:tcW w:w="0" w:type="dxa"/>
            <w:vAlign w:val="bottom"/>
          </w:tcPr>
          <w:p>
            <w:pPr>
              <w:spacing w:after="0"/>
              <w:rPr>
                <w:sz w:val="1"/>
                <w:szCs w:val="1"/>
                <w:color w:val="auto"/>
              </w:rPr>
            </w:pPr>
          </w:p>
        </w:tc>
      </w:tr>
      <w:tr>
        <w:trPr>
          <w:trHeight w:val="225"/>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3"/>
              </w:rPr>
              <w:t>172</w:t>
            </w: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3"/>
              </w:rPr>
              <w:t>961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left="254" w:hanging="254"/>
        <w:spacing w:after="0" w:line="265" w:lineRule="auto"/>
        <w:tabs>
          <w:tab w:leader="none" w:pos="2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Company's Excess and Surplus Lines and Corporate and Other segment owns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three months ended </w:t>
      </w:r>
      <w:r>
        <w:rPr>
          <w:rFonts w:ascii="Arial" w:cs="Arial" w:eastAsia="Arial" w:hAnsi="Arial"/>
          <w:sz w:val="17"/>
          <w:szCs w:val="17"/>
          <w:color w:val="231F20"/>
        </w:rPr>
        <w:t>June 30, 2021, the</w:t>
      </w:r>
      <w:r>
        <w:rPr>
          <w:rFonts w:ascii="Arial" w:cs="Arial" w:eastAsia="Arial" w:hAnsi="Arial"/>
          <w:sz w:val="17"/>
          <w:szCs w:val="17"/>
          <w:color w:val="auto"/>
        </w:rPr>
        <w:t xml:space="preserve"> </w:t>
      </w:r>
      <w:r>
        <w:rPr>
          <w:rFonts w:ascii="Arial" w:cs="Arial" w:eastAsia="Arial" w:hAnsi="Arial"/>
          <w:sz w:val="17"/>
          <w:szCs w:val="17"/>
          <w:color w:val="231F20"/>
        </w:rPr>
        <w:t>Company transferred $26.3 million of its investments in the LLCs from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6" w:name="page17"/>
    <w:bookmarkEnd w:id="16"/>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left="254"/>
        <w:spacing w:after="0" w:line="250" w:lineRule="auto"/>
        <w:rPr>
          <w:sz w:val="20"/>
          <w:szCs w:val="20"/>
          <w:color w:val="auto"/>
        </w:rPr>
      </w:pPr>
      <w:r>
        <w:rPr>
          <w:rFonts w:ascii="Arial" w:cs="Arial" w:eastAsia="Arial" w:hAnsi="Arial"/>
          <w:sz w:val="18"/>
          <w:szCs w:val="18"/>
          <w:color w:val="231F20"/>
        </w:rPr>
        <w:t xml:space="preserve">Corporate and Other segment to the Excess and Surplus Lines segment. At June 30, 2021, the Company's Corporate and Other segment holds investments in the LLCs with a total carrying value of $2.8 million. The Company recognized investment losses of $786,000 and income of $846,000 for the </w:t>
      </w:r>
      <w:r>
        <w:rPr>
          <w:rFonts w:ascii="Arial" w:cs="Arial" w:eastAsia="Arial" w:hAnsi="Arial"/>
          <w:sz w:val="18"/>
          <w:szCs w:val="18"/>
          <w:color w:val="000000"/>
        </w:rPr>
        <w:t>six months</w:t>
      </w:r>
      <w:r>
        <w:rPr>
          <w:rFonts w:ascii="Arial" w:cs="Arial" w:eastAsia="Arial" w:hAnsi="Arial"/>
          <w:sz w:val="18"/>
          <w:szCs w:val="18"/>
          <w:color w:val="231F20"/>
        </w:rPr>
        <w:t xml:space="preserve"> </w:t>
      </w:r>
      <w:r>
        <w:rPr>
          <w:rFonts w:ascii="Arial" w:cs="Arial" w:eastAsia="Arial" w:hAnsi="Arial"/>
          <w:sz w:val="18"/>
          <w:szCs w:val="18"/>
          <w:color w:val="000000"/>
        </w:rPr>
        <w:t xml:space="preserve">ended June 30, 2021 and </w:t>
      </w:r>
      <w:r>
        <w:rPr>
          <w:rFonts w:ascii="Arial" w:cs="Arial" w:eastAsia="Arial" w:hAnsi="Arial"/>
          <w:sz w:val="18"/>
          <w:szCs w:val="18"/>
          <w:color w:val="231F20"/>
        </w:rPr>
        <w:t>2020,</w:t>
      </w:r>
      <w:r>
        <w:rPr>
          <w:rFonts w:ascii="Arial" w:cs="Arial" w:eastAsia="Arial" w:hAnsi="Arial"/>
          <w:sz w:val="18"/>
          <w:szCs w:val="18"/>
          <w:color w:val="000000"/>
        </w:rPr>
        <w:t xml:space="preserve"> respectively. The Company received cash distributions from these investments totaling $266,000 and $747,000 in the six months ended June 30, 2021 and 2020, respectively. The Company's Excess and Surplus Lines segment holds investments in the LLCs with a total carrying value of $26.3 million at June 30, 2021.</w:t>
      </w:r>
    </w:p>
    <w:p>
      <w:pPr>
        <w:spacing w:after="0" w:line="88" w:lineRule="exact"/>
        <w:rPr>
          <w:sz w:val="20"/>
          <w:szCs w:val="20"/>
          <w:color w:val="auto"/>
        </w:rPr>
      </w:pPr>
    </w:p>
    <w:p>
      <w:pPr>
        <w:jc w:val="both"/>
        <w:ind w:left="254" w:hanging="254"/>
        <w:spacing w:after="0" w:line="318" w:lineRule="auto"/>
        <w:tabs>
          <w:tab w:leader="none" w:pos="248" w:val="left"/>
        </w:tabs>
        <w:numPr>
          <w:ilvl w:val="0"/>
          <w:numId w:val="12"/>
        </w:numPr>
        <w:rPr>
          <w:rFonts w:ascii="Arial" w:cs="Arial" w:eastAsia="Arial" w:hAnsi="Arial"/>
          <w:sz w:val="15"/>
          <w:szCs w:val="15"/>
          <w:color w:val="auto"/>
        </w:rPr>
      </w:pPr>
      <w:r>
        <w:rPr>
          <w:rFonts w:ascii="Arial" w:cs="Arial" w:eastAsia="Arial" w:hAnsi="Arial"/>
          <w:sz w:val="15"/>
          <w:szCs w:val="15"/>
          <w:color w:val="231F20"/>
        </w:rPr>
        <w:t xml:space="preserve">The Company's </w:t>
      </w:r>
      <w:r>
        <w:rPr>
          <w:rFonts w:ascii="Arial" w:cs="Arial" w:eastAsia="Arial" w:hAnsi="Arial"/>
          <w:sz w:val="15"/>
          <w:szCs w:val="15"/>
          <w:color w:val="000000"/>
        </w:rPr>
        <w:t>Excess and Surplus Lines and</w:t>
      </w:r>
      <w:r>
        <w:rPr>
          <w:rFonts w:ascii="Arial" w:cs="Arial" w:eastAsia="Arial" w:hAnsi="Arial"/>
          <w:sz w:val="15"/>
          <w:szCs w:val="15"/>
          <w:color w:val="231F20"/>
        </w:rPr>
        <w:t xml:space="preserve"> Corporate and Other segments have invested in notes receivable for renewable energy projects. At June 30, 2021, the Company held two notes issued by an </w:t>
      </w:r>
      <w:r>
        <w:rPr>
          <w:rFonts w:ascii="Arial" w:cs="Arial" w:eastAsia="Arial" w:hAnsi="Arial"/>
          <w:sz w:val="15"/>
          <w:szCs w:val="15"/>
          <w:color w:val="000000"/>
        </w:rPr>
        <w:t>entity for which two of our former directors serve as officers</w:t>
      </w:r>
      <w:r>
        <w:rPr>
          <w:rFonts w:ascii="Arial" w:cs="Arial" w:eastAsia="Arial" w:hAnsi="Arial"/>
          <w:sz w:val="15"/>
          <w:szCs w:val="15"/>
          <w:color w:val="231F20"/>
        </w:rPr>
        <w:t xml:space="preserve">. Interest on the notes, which mature in 2025, is fixed at 12%. Income from the notes was $504,000 and $267,000 for the </w:t>
      </w:r>
      <w:r>
        <w:rPr>
          <w:rFonts w:ascii="Arial" w:cs="Arial" w:eastAsia="Arial" w:hAnsi="Arial"/>
          <w:sz w:val="15"/>
          <w:szCs w:val="15"/>
          <w:color w:val="000000"/>
        </w:rPr>
        <w:t>six months ended</w:t>
      </w:r>
      <w:r>
        <w:rPr>
          <w:rFonts w:ascii="Arial" w:cs="Arial" w:eastAsia="Arial" w:hAnsi="Arial"/>
          <w:sz w:val="15"/>
          <w:szCs w:val="15"/>
          <w:color w:val="231F20"/>
        </w:rPr>
        <w:t xml:space="preserve"> June 30, 2021 and 2020, respectively ($224,000 and $— for the Excess and Surplus Lines segment and $280,000 and $267,000 for the Corporate and Other segment in the respective periods).</w:t>
      </w:r>
    </w:p>
    <w:p>
      <w:pPr>
        <w:spacing w:after="0" w:line="39" w:lineRule="exact"/>
        <w:rPr>
          <w:rFonts w:ascii="Arial" w:cs="Arial" w:eastAsia="Arial" w:hAnsi="Arial"/>
          <w:sz w:val="15"/>
          <w:szCs w:val="15"/>
          <w:color w:val="auto"/>
        </w:rPr>
      </w:pPr>
    </w:p>
    <w:p>
      <w:pPr>
        <w:jc w:val="both"/>
        <w:ind w:left="254" w:hanging="254"/>
        <w:spacing w:after="0" w:line="247" w:lineRule="auto"/>
        <w:tabs>
          <w:tab w:leader="none" w:pos="2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owns investments in limited partnerships that invest in concentrated portfolios including publicly-traded small cap equities, loans of middle market private equity sponsored companies, and tranches of distressed home loans. </w:t>
      </w:r>
      <w:r>
        <w:rPr>
          <w:rFonts w:ascii="Arial" w:cs="Arial" w:eastAsia="Arial" w:hAnsi="Arial"/>
          <w:sz w:val="17"/>
          <w:szCs w:val="17"/>
          <w:color w:val="231F20"/>
        </w:rPr>
        <w:t>Income f</w:t>
      </w:r>
      <w:r>
        <w:rPr>
          <w:rFonts w:ascii="Arial" w:cs="Arial" w:eastAsia="Arial" w:hAnsi="Arial"/>
          <w:sz w:val="17"/>
          <w:szCs w:val="17"/>
          <w:color w:val="auto"/>
        </w:rPr>
        <w:t xml:space="preserve">rom the partnerships is recognized under the equity method of accounting. During the three months ended </w:t>
      </w:r>
      <w:r>
        <w:rPr>
          <w:rFonts w:ascii="Arial" w:cs="Arial" w:eastAsia="Arial" w:hAnsi="Arial"/>
          <w:sz w:val="17"/>
          <w:szCs w:val="17"/>
          <w:color w:val="231F20"/>
        </w:rPr>
        <w:t>June 30, 2021, the Company transferred $5.1 million of its investments in the limited partnerships from the</w:t>
      </w:r>
      <w:r>
        <w:rPr>
          <w:rFonts w:ascii="Arial" w:cs="Arial" w:eastAsia="Arial" w:hAnsi="Arial"/>
          <w:sz w:val="17"/>
          <w:szCs w:val="17"/>
          <w:color w:val="auto"/>
        </w:rPr>
        <w:t xml:space="preserve"> </w:t>
      </w:r>
      <w:r>
        <w:rPr>
          <w:rFonts w:ascii="Arial" w:cs="Arial" w:eastAsia="Arial" w:hAnsi="Arial"/>
          <w:sz w:val="17"/>
          <w:szCs w:val="17"/>
          <w:color w:val="231F20"/>
        </w:rPr>
        <w:t xml:space="preserve">Corporate and Other segment to the Excess and Surplus Lines segment. </w:t>
      </w:r>
      <w:r>
        <w:rPr>
          <w:rFonts w:ascii="Arial" w:cs="Arial" w:eastAsia="Arial" w:hAnsi="Arial"/>
          <w:sz w:val="17"/>
          <w:szCs w:val="17"/>
          <w:color w:val="000000"/>
        </w:rPr>
        <w:t>The Company’s Corporate and Other segment holds investments in limited</w:t>
      </w:r>
      <w:r>
        <w:rPr>
          <w:rFonts w:ascii="Arial" w:cs="Arial" w:eastAsia="Arial" w:hAnsi="Arial"/>
          <w:sz w:val="17"/>
          <w:szCs w:val="17"/>
          <w:color w:val="231F20"/>
        </w:rPr>
        <w:t xml:space="preserve"> </w:t>
      </w:r>
      <w:r>
        <w:rPr>
          <w:rFonts w:ascii="Arial" w:cs="Arial" w:eastAsia="Arial" w:hAnsi="Arial"/>
          <w:sz w:val="17"/>
          <w:szCs w:val="17"/>
          <w:color w:val="000000"/>
        </w:rPr>
        <w:t xml:space="preserve">partnerships with a total carrying value of $3.6 million at June 30, 2021. The Company recognized investment income of $862,000 and investment losses of $201,000 on these investments in the Corporate and Other segment for the six months ended June 30, 2021 and </w:t>
      </w:r>
      <w:r>
        <w:rPr>
          <w:rFonts w:ascii="Arial" w:cs="Arial" w:eastAsia="Arial" w:hAnsi="Arial"/>
          <w:sz w:val="17"/>
          <w:szCs w:val="17"/>
          <w:color w:val="231F20"/>
        </w:rPr>
        <w:t>2020,</w:t>
      </w:r>
      <w:r>
        <w:rPr>
          <w:rFonts w:ascii="Arial" w:cs="Arial" w:eastAsia="Arial" w:hAnsi="Arial"/>
          <w:sz w:val="17"/>
          <w:szCs w:val="17"/>
          <w:color w:val="000000"/>
        </w:rPr>
        <w:t xml:space="preserve"> respectively. The Company’s Excess and Surplus Lines segment holds investments in limited partnerships with a total carrying value of $10.8 million at June 30, 2021. Investment income of $416,000 and investment losses of $123,000 were recognized on the investments in the Excess and Surplus Lines segment for the six months ended June 30, 2021 and </w:t>
      </w:r>
      <w:r>
        <w:rPr>
          <w:rFonts w:ascii="Arial" w:cs="Arial" w:eastAsia="Arial" w:hAnsi="Arial"/>
          <w:sz w:val="17"/>
          <w:szCs w:val="17"/>
          <w:color w:val="231F20"/>
        </w:rPr>
        <w:t>2020</w:t>
      </w:r>
      <w:r>
        <w:rPr>
          <w:rFonts w:ascii="Arial" w:cs="Arial" w:eastAsia="Arial" w:hAnsi="Arial"/>
          <w:sz w:val="17"/>
          <w:szCs w:val="17"/>
          <w:color w:val="000000"/>
        </w:rPr>
        <w:t>, respectively. At June 30, 2021, the Company’s Excess and Surplus Lines segment has outstanding commitments to invest another $7.2 million in these limited partnerships.</w:t>
      </w:r>
    </w:p>
    <w:p>
      <w:pPr>
        <w:spacing w:after="0" w:line="81" w:lineRule="exact"/>
        <w:rPr>
          <w:rFonts w:ascii="Arial" w:cs="Arial" w:eastAsia="Arial" w:hAnsi="Arial"/>
          <w:sz w:val="17"/>
          <w:szCs w:val="17"/>
          <w:color w:val="auto"/>
        </w:rPr>
      </w:pPr>
    </w:p>
    <w:p>
      <w:pPr>
        <w:jc w:val="both"/>
        <w:ind w:left="254" w:hanging="254"/>
        <w:spacing w:after="0" w:line="249" w:lineRule="auto"/>
        <w:tabs>
          <w:tab w:leader="none" w:pos="2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Company's Excess and Surplus Lines segment holds $4.5 million of subordinated notes issued by a bank holding company for which the Company’s Non-Executive Chairman was previously the Lead Independent Director and an investor and for which one of the Company’s directors was an investor and is currently a holder of the subordinated notes (the "Bank Holding Company"). During the three months ended </w:t>
      </w:r>
      <w:r>
        <w:rPr>
          <w:rFonts w:ascii="Arial" w:cs="Arial" w:eastAsia="Arial" w:hAnsi="Arial"/>
          <w:sz w:val="18"/>
          <w:szCs w:val="18"/>
          <w:color w:val="231F20"/>
        </w:rPr>
        <w:t>June 30, 2021, the Company transferred</w:t>
      </w:r>
      <w:r>
        <w:rPr>
          <w:rFonts w:ascii="Arial" w:cs="Arial" w:eastAsia="Arial" w:hAnsi="Arial"/>
          <w:sz w:val="18"/>
          <w:szCs w:val="18"/>
          <w:color w:val="auto"/>
        </w:rPr>
        <w:t xml:space="preserve"> </w:t>
      </w:r>
      <w:r>
        <w:rPr>
          <w:rFonts w:ascii="Arial" w:cs="Arial" w:eastAsia="Arial" w:hAnsi="Arial"/>
          <w:sz w:val="18"/>
          <w:szCs w:val="18"/>
          <w:color w:val="231F20"/>
        </w:rPr>
        <w:t xml:space="preserve">ownership of the subordinated notes from the Corporate and Other segment to the Excess and Surplus Lines segment. </w:t>
      </w:r>
      <w:r>
        <w:rPr>
          <w:rFonts w:ascii="Arial" w:cs="Arial" w:eastAsia="Arial" w:hAnsi="Arial"/>
          <w:sz w:val="18"/>
          <w:szCs w:val="18"/>
          <w:color w:val="000000"/>
        </w:rPr>
        <w:t>Interest on the notes, which mature on</w:t>
      </w:r>
      <w:r>
        <w:rPr>
          <w:rFonts w:ascii="Arial" w:cs="Arial" w:eastAsia="Arial" w:hAnsi="Arial"/>
          <w:sz w:val="18"/>
          <w:szCs w:val="18"/>
          <w:color w:val="231F20"/>
        </w:rPr>
        <w:t xml:space="preserve"> </w:t>
      </w:r>
      <w:r>
        <w:rPr>
          <w:rFonts w:ascii="Arial" w:cs="Arial" w:eastAsia="Arial" w:hAnsi="Arial"/>
          <w:sz w:val="18"/>
          <w:szCs w:val="18"/>
          <w:color w:val="000000"/>
        </w:rPr>
        <w:t>August 12, 2023, is fixed at 7.6% per annum. Interest income on the notes was $172,000 for both six month periods ended June 30, 2021 and 2020, respectively.</w:t>
      </w:r>
    </w:p>
    <w:p>
      <w:pPr>
        <w:spacing w:after="0" w:line="90" w:lineRule="exact"/>
        <w:rPr>
          <w:sz w:val="20"/>
          <w:szCs w:val="20"/>
          <w:color w:val="auto"/>
        </w:rPr>
      </w:pPr>
    </w:p>
    <w:p>
      <w:pPr>
        <w:jc w:val="both"/>
        <w:ind w:left="94" w:firstLine="318"/>
        <w:spacing w:after="0" w:line="255" w:lineRule="auto"/>
        <w:rPr>
          <w:sz w:val="20"/>
          <w:szCs w:val="20"/>
          <w:color w:val="auto"/>
        </w:rPr>
      </w:pPr>
      <w:r>
        <w:rPr>
          <w:rFonts w:ascii="Arial" w:cs="Arial" w:eastAsia="Arial" w:hAnsi="Arial"/>
          <w:sz w:val="18"/>
          <w:szCs w:val="18"/>
          <w:color w:val="231F20"/>
        </w:rPr>
        <w:t>At December 31, 2020, the Company held an investment in a CLO where one of the underlying loans was issued by the Bank Holding Company. The investment, with a carrying value of $520,000 at December 31, 2020, was classified as an available-for-sale fixed maturity. During the three months ended June 30, 2021, the Company received the final principal repayment for the investment.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Goodwill and Intangible Assets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2021 and December 31, 2020.</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Identifiable intangible assets subject to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Earnings (Loss) Per Share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(loss) per share computations contained in the condensed consolidated financial statements: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79"/>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2020</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i w:val="1"/>
                <w:iCs w:val="1"/>
                <w:color w:val="auto"/>
                <w:w w:val="88"/>
              </w:rPr>
              <w:t>(in thousands, except share and per share amounts)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to shareholders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65"/>
        </w:trPr>
        <w:tc>
          <w:tcPr>
            <w:tcW w:w="5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34,418,472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30,529,241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32,576,463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30,502,774</w:t>
            </w:r>
          </w:p>
        </w:tc>
      </w:tr>
      <w:tr>
        <w:trPr>
          <w:trHeight w:val="225"/>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34,586,997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30,782,609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32,576,463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30,502,774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1"/>
        </w:trPr>
        <w:tc>
          <w:tcPr>
            <w:tcW w:w="5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share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and six</w:t>
      </w:r>
      <w:r>
        <w:rPr>
          <w:rFonts w:ascii="Arial" w:cs="Arial" w:eastAsia="Arial" w:hAnsi="Arial"/>
          <w:sz w:val="18"/>
          <w:szCs w:val="18"/>
          <w:color w:val="231F20"/>
        </w:rPr>
        <w:t xml:space="preserve"> months ended June 30, 2021, c</w:t>
      </w:r>
      <w:r>
        <w:rPr>
          <w:rFonts w:ascii="Arial" w:cs="Arial" w:eastAsia="Arial" w:hAnsi="Arial"/>
          <w:sz w:val="18"/>
          <w:szCs w:val="18"/>
          <w:color w:val="000000"/>
        </w:rPr>
        <w:t>ommon share equivalents of 131,193 and 237,618, respectively (— and 281,405 in the respective</w:t>
      </w:r>
      <w:r>
        <w:rPr>
          <w:rFonts w:ascii="Arial" w:cs="Arial" w:eastAsia="Arial" w:hAnsi="Arial"/>
          <w:sz w:val="18"/>
          <w:szCs w:val="18"/>
          <w:color w:val="231F20"/>
        </w:rPr>
        <w:t xml:space="preserve"> </w:t>
      </w:r>
      <w:r>
        <w:rPr>
          <w:rFonts w:ascii="Arial" w:cs="Arial" w:eastAsia="Arial" w:hAnsi="Arial"/>
          <w:sz w:val="18"/>
          <w:szCs w:val="18"/>
          <w:color w:val="000000"/>
        </w:rPr>
        <w:t>prior year periods), were excluded from the calculation of diluted earnings (loss) per share as their effects were anti-dilutive.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for all periods are presented gross of a $335,000 allowance for credit losses.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Reserve for losses and loss adjustment expenses net of reinsurance</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1,534,779</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1,351,689</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1,386,061</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1,377,461</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 at beginning of period</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w w:val="97"/>
              </w:rPr>
              <w:t>Add: Incurred losses and loss adjustment expenses net of reinsurance: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193,602</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195,602</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w w:val="95"/>
              </w:rPr>
              <w:t>Deduct: Loss and loss adjustment expense payments net of reinsurance: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247,999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226,920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258,455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233,529</w:t>
            </w:r>
          </w:p>
        </w:tc>
        <w:tc>
          <w:tcPr>
            <w:tcW w:w="0" w:type="dxa"/>
            <w:vAlign w:val="bottom"/>
          </w:tcPr>
          <w:p>
            <w:pPr>
              <w:spacing w:after="0"/>
              <w:rPr>
                <w:sz w:val="1"/>
                <w:szCs w:val="1"/>
                <w:color w:val="auto"/>
              </w:rPr>
            </w:pPr>
          </w:p>
        </w:tc>
      </w:tr>
      <w:tr>
        <w:trPr>
          <w:trHeight w:val="153"/>
        </w:trPr>
        <w:tc>
          <w:tcPr>
            <w:tcW w:w="558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net of reinsurance</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1,511,106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1,339,534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1,511,106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1,339,534</w:t>
            </w:r>
          </w:p>
        </w:tc>
        <w:tc>
          <w:tcPr>
            <w:tcW w:w="0" w:type="dxa"/>
            <w:vAlign w:val="bottom"/>
          </w:tcPr>
          <w:p>
            <w:pPr>
              <w:spacing w:after="0"/>
              <w:rPr>
                <w:sz w:val="1"/>
                <w:szCs w:val="1"/>
                <w:color w:val="auto"/>
              </w:rPr>
            </w:pPr>
          </w:p>
        </w:tc>
      </w:tr>
      <w:tr>
        <w:trPr>
          <w:trHeight w:val="224"/>
        </w:trPr>
        <w:tc>
          <w:tcPr>
            <w:tcW w:w="5580" w:type="dxa"/>
            <w:vAlign w:val="bottom"/>
          </w:tcPr>
          <w:p>
            <w:pPr>
              <w:ind w:left="20"/>
              <w:spacing w:after="0"/>
              <w:rPr>
                <w:sz w:val="20"/>
                <w:szCs w:val="20"/>
                <w:color w:val="auto"/>
              </w:rPr>
            </w:pPr>
            <w:r>
              <w:rPr>
                <w:rFonts w:ascii="Arial" w:cs="Arial" w:eastAsia="Arial" w:hAnsi="Arial"/>
                <w:sz w:val="18"/>
                <w:szCs w:val="18"/>
                <w:color w:val="auto"/>
              </w:rPr>
              <w:t>recoverables at end of period</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Add: Reinsurance recoverables on unpaid losses and loss adjustment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935,896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727,437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935,896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727,437</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at 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58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gross of reinsurance</w:t>
            </w:r>
          </w:p>
        </w:tc>
        <w:tc>
          <w:tcPr>
            <w:tcW w:w="30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2,447,002</w:t>
            </w:r>
          </w:p>
        </w:tc>
        <w:tc>
          <w:tcPr>
            <w:tcW w:w="120" w:type="dxa"/>
            <w:vAlign w:val="bottom"/>
          </w:tcPr>
          <w:p>
            <w:pPr>
              <w:spacing w:after="0"/>
              <w:rPr>
                <w:sz w:val="13"/>
                <w:szCs w:val="13"/>
                <w:color w:val="auto"/>
              </w:rPr>
            </w:pPr>
          </w:p>
        </w:tc>
        <w:tc>
          <w:tcPr>
            <w:tcW w:w="360" w:type="dxa"/>
            <w:vAlign w:val="bottom"/>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2,066,971</w:t>
            </w:r>
          </w:p>
        </w:tc>
        <w:tc>
          <w:tcPr>
            <w:tcW w:w="100" w:type="dxa"/>
            <w:vAlign w:val="bottom"/>
          </w:tcPr>
          <w:p>
            <w:pPr>
              <w:spacing w:after="0"/>
              <w:rPr>
                <w:sz w:val="13"/>
                <w:szCs w:val="13"/>
                <w:color w:val="auto"/>
              </w:rPr>
            </w:pPr>
          </w:p>
        </w:tc>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2,447,002</w:t>
            </w:r>
          </w:p>
        </w:tc>
        <w:tc>
          <w:tcPr>
            <w:tcW w:w="100" w:type="dxa"/>
            <w:vAlign w:val="bottom"/>
          </w:tcPr>
          <w:p>
            <w:pPr>
              <w:spacing w:after="0"/>
              <w:rPr>
                <w:sz w:val="13"/>
                <w:szCs w:val="13"/>
                <w:color w:val="auto"/>
              </w:rPr>
            </w:pPr>
          </w:p>
        </w:tc>
        <w:tc>
          <w:tcPr>
            <w:tcW w:w="520" w:type="dxa"/>
            <w:vAlign w:val="bottom"/>
            <w:vMerge w:val="restart"/>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2,066,971</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198" w:lineRule="exact"/>
              <w:rPr>
                <w:sz w:val="20"/>
                <w:szCs w:val="20"/>
                <w:color w:val="auto"/>
              </w:rPr>
            </w:pPr>
            <w:r>
              <w:rPr>
                <w:rFonts w:ascii="Arial" w:cs="Arial" w:eastAsia="Arial" w:hAnsi="Arial"/>
                <w:sz w:val="18"/>
                <w:szCs w:val="18"/>
                <w:color w:val="auto"/>
                <w:w w:val="89"/>
              </w:rPr>
              <w:t>recoverables on unpaid losses and loss adjustment expenses at end of period</w:t>
            </w:r>
          </w:p>
        </w:tc>
        <w:tc>
          <w:tcPr>
            <w:tcW w:w="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experienced $3.5 million of net favorable reserve development in the three months ended June 30, 2021 on the reserve for losses and loss adjustment expenses held at December 31, 2020. This reserve development included $7.5 million of net favorable development in the Excess and Surplus Lines segment, $1.0 million of net favorable development in the Specialty Admitted Insurance segment, and $5.0 million of net adverse development in the Casualty Reinsurance segment.</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experienced $1.1 million of net adverse reserve development in the three months ended June 30, 2020 on the reserve for losses and loss adjustment expenses held at December 31, 2019. This reserve development included $2.8 million of net favorable development in the Excess and Surplus Lines segment, $1.0 million of net favorable development in the Specialty Admitted Insurance segment due to favorable development in the workers' compensation business for prior accident years, and $5.0 million of net adverse development in the Casualty Reinsurance segment.</w:t>
      </w:r>
    </w:p>
    <w:p>
      <w:pPr>
        <w:spacing w:after="0" w:line="4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experienced $166.7 million of net adverse reserve development in the six months ended June 30, 2021 on the reserve for losses and loss adjustment expenses held at December 31, 2020. This reserve development included $161.2 million of net adverse development in the Excess and Surplus Lines segment including $170.0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 Loss emergence on the terminated commercial auto account in the three months ended June 30, 2021 was in line with our expectations, and accordingly, no additional reserve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development was taken in the second quarter of 2021. The Company also experienced $2.0 million of net favorable development in the Specialty Admitted Insurance segment, and $7.5 million of net adverse development in the Casualty Reinsurance segment.</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experienced $2.0 million of net adverse reserve development in the six months ended June 30, 2020 on the reserve for losses and loss adjustment expenses held at December 31, 2019. This reserve development included $2.9 million of net favorable development in the Excess and Surplus Lines segment, $2.0 million of net favorable development in the Specialty Admitted Insurance segment due to favorable development in the workers' compensation business for prior accident years, and $6.9 million of net adverse development in the Casualty Reinsurance segment.</w:t>
      </w:r>
    </w:p>
    <w:p>
      <w:pPr>
        <w:spacing w:after="0" w:line="65"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8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79"/>
        </w:trPr>
        <w:tc>
          <w:tcPr>
            <w:tcW w:w="5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Unrealized gains (losses) arising during the period, before U.S. income taxes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48,449</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Unrealized gains (losses) arising during the period, net of U.S.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42,890</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Reclassification adjustment for investment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19"/>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42,394</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 xml:space="preserve">In addition to the $133,000 and $1.2 million of net realized investment gains on available-for-sale fixed maturities for the three and six </w:t>
      </w:r>
      <w:r>
        <w:rPr>
          <w:rFonts w:ascii="Arial" w:cs="Arial" w:eastAsia="Arial" w:hAnsi="Arial"/>
          <w:sz w:val="17"/>
          <w:szCs w:val="17"/>
          <w:color w:val="231F20"/>
        </w:rPr>
        <w:t>months ended</w:t>
      </w:r>
      <w:r>
        <w:rPr>
          <w:rFonts w:ascii="Arial" w:cs="Arial" w:eastAsia="Arial" w:hAnsi="Arial"/>
          <w:sz w:val="17"/>
          <w:szCs w:val="17"/>
          <w:color w:val="auto"/>
        </w:rPr>
        <w:t xml:space="preserve"> June 30, 2021</w:t>
      </w:r>
      <w:r>
        <w:rPr>
          <w:rFonts w:ascii="Arial" w:cs="Arial" w:eastAsia="Arial" w:hAnsi="Arial"/>
          <w:sz w:val="17"/>
          <w:szCs w:val="17"/>
          <w:color w:val="231F20"/>
        </w:rPr>
        <w:t>, respectively (</w:t>
      </w:r>
      <w:r>
        <w:rPr>
          <w:rFonts w:ascii="Arial" w:cs="Arial" w:eastAsia="Arial" w:hAnsi="Arial"/>
          <w:sz w:val="17"/>
          <w:szCs w:val="17"/>
          <w:color w:val="auto"/>
        </w:rPr>
        <w:t xml:space="preserve">$305,000 and $520,000 of net realized investment gains for the three and six </w:t>
      </w:r>
      <w:r>
        <w:rPr>
          <w:rFonts w:ascii="Arial" w:cs="Arial" w:eastAsia="Arial" w:hAnsi="Arial"/>
          <w:sz w:val="17"/>
          <w:szCs w:val="17"/>
          <w:color w:val="231F20"/>
        </w:rPr>
        <w:t>months ended June 30, 2020, respectively)</w:t>
      </w:r>
      <w:r>
        <w:rPr>
          <w:rFonts w:ascii="Arial" w:cs="Arial" w:eastAsia="Arial" w:hAnsi="Arial"/>
          <w:sz w:val="17"/>
          <w:szCs w:val="17"/>
          <w:color w:val="auto"/>
        </w:rPr>
        <w:t>, the Company also recognized net realized and unrealized investment gains (losses) of $1.9 million and $5.8 million in the respective periods on its investments in bank loan participations ($17.1 million and $(28.0) million in the respective prior year periods) and $1.4 million and $2.8 million in the respective periods on its investments in equity securities ($4.0 million and $(9.4) million in the respective prior year periods).</w:t>
      </w:r>
    </w:p>
    <w:p>
      <w:pPr>
        <w:spacing w:after="0" w:line="69" w:lineRule="exact"/>
        <w:rPr>
          <w:sz w:val="20"/>
          <w:szCs w:val="20"/>
          <w:color w:val="auto"/>
        </w:rPr>
      </w:pPr>
    </w:p>
    <w:p>
      <w:pPr>
        <w:ind w:left="440" w:hanging="434"/>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is involved in various legal proceedings, including commercial matters and litigation regarding insurance claims arising in the ordinary course of business as well as an alleged class action lawsuit. The Company believes that the outcome of such matters, individually and in the aggregate, is not reasonably likely to have a material adverse effect on its consolidated financial position, results of operations or cash flows.</w:t>
      </w:r>
    </w:p>
    <w:p>
      <w:pPr>
        <w:spacing w:after="0" w:line="6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2020.</w:t>
      </w:r>
    </w:p>
    <w:p>
      <w:pPr>
        <w:spacing w:after="0" w:line="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JRG Re has entered into three letter of credit facilities with banks as security to third-party reinsureds on reinsurance assumed by JRG Re. JRG Re has established custodial accounts to secure these letters of credit. Under a $75.0 million facility, $7.0 million of letters of credit were issued through June 30, 2021 which were secured by deposits of $9.6 million. Under a $102.5 million facility, $89.5 million of letters of credit were issued through June 30, 2021 which were secured by deposits of $115.0 million. Under a $100.0 million facility, $15.1 million of letters of credit were issued through June 30, 2021 which were secured by deposits of $28.3 million. JRG Re has also established trust accounts to secure its obligations to selected reinsureds. The total amount deposited in the trust accounts for the benefit of third-party reinsureds was $316.6 million at June 30, 2021.</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Company by a captive insurance company affiliate of Rasier. As of June 30, 2021, the cash equivalent collateral held in the collateral trust arrangement was approximately $820.8 million, of which approximately $97.3 million is held in a collateral trust account established in favor of the Company, and $723.5 million of which remains from the amount withdrawn from the collateral trust account in October of 2019, as permitted under our indemnification agreements with Rasier and the associated trust agreement, and is currently held on our balance sheet. The funds withdrawn from the trust account, currently invested in short term securities and included in restricted cash equivalents on the Company's condensed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Information</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income (loss) less loss and loss adjustment expenses and other operating expenses of the operating segments. Segment results are reported prior to the effects of intercompany reinsurance agreements among the Company’s insurance subsidiaries.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fee income included in other income and underwriting profit (loss) is summarized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20" w:type="dxa"/>
            <w:vAlign w:val="bottom"/>
            <w:gridSpan w:val="4"/>
          </w:tcPr>
          <w:p>
            <w:pPr>
              <w:jc w:val="right"/>
              <w:ind w:right="21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Six Months Ended</w:t>
            </w:r>
          </w:p>
        </w:tc>
        <w:tc>
          <w:tcPr>
            <w:tcW w:w="820" w:type="dxa"/>
            <w:vAlign w:val="bottom"/>
          </w:tcPr>
          <w:p>
            <w:pPr>
              <w:spacing w:after="0"/>
              <w:rPr>
                <w:sz w:val="14"/>
                <w:szCs w:val="14"/>
                <w:color w:val="auto"/>
              </w:rPr>
            </w:pPr>
          </w:p>
        </w:tc>
      </w:tr>
      <w:tr>
        <w:trPr>
          <w:trHeight w:val="185"/>
        </w:trPr>
        <w:tc>
          <w:tcPr>
            <w:tcW w:w="5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5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Admitted Insurance</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1,881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85"/>
              </w:rPr>
              <w:t>Excess and</w:t>
            </w:r>
          </w:p>
        </w:tc>
        <w:tc>
          <w:tcPr>
            <w:tcW w:w="300" w:type="dxa"/>
            <w:vAlign w:val="bottom"/>
          </w:tcPr>
          <w:p>
            <w:pPr>
              <w:spacing w:after="0"/>
              <w:rPr>
                <w:sz w:val="14"/>
                <w:szCs w:val="14"/>
                <w:color w:val="auto"/>
              </w:rPr>
            </w:pPr>
          </w:p>
        </w:tc>
        <w:tc>
          <w:tcPr>
            <w:tcW w:w="110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Casualty</w:t>
            </w:r>
          </w:p>
        </w:tc>
        <w:tc>
          <w:tcPr>
            <w:tcW w:w="280" w:type="dxa"/>
            <w:vAlign w:val="bottom"/>
          </w:tcPr>
          <w:p>
            <w:pPr>
              <w:spacing w:after="0"/>
              <w:rPr>
                <w:sz w:val="14"/>
                <w:szCs w:val="14"/>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Corporate</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88"/>
              </w:rPr>
              <w:t>Surplus</w:t>
            </w:r>
          </w:p>
        </w:tc>
        <w:tc>
          <w:tcPr>
            <w:tcW w:w="300" w:type="dxa"/>
            <w:vAlign w:val="bottom"/>
          </w:tcPr>
          <w:p>
            <w:pPr>
              <w:spacing w:after="0"/>
              <w:rPr>
                <w:sz w:val="11"/>
                <w:szCs w:val="11"/>
                <w:color w:val="auto"/>
              </w:rPr>
            </w:pPr>
          </w:p>
        </w:tc>
        <w:tc>
          <w:tcPr>
            <w:tcW w:w="110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92"/>
              </w:rPr>
              <w:t>Admitted</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Lines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214,014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129,189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36,943</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380,146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117,945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36,165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26,917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25,734</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3,473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9,707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2,249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124,018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45,987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2,211,469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2,120,625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5,391,816</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186,994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88,440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26,205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301,639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100,849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33,574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16,095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3,336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10,534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2,965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113,343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56,794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2,304,169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1,808,921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57,358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5,009,201</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395,372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256,225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101,804</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753,401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231,653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66,693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333,298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(124,029)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(4,946)</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(125,571)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20,263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4,465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242,814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91,504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374,547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2,211,469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2,120,625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25,100</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5,391,816</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323,191</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71,047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585,480</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200,588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66,470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294,733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24,207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(2,430)</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11,277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22,138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5,841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197,172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70,074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297,033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2,304,169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1,808,921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57,358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income (loss) before income taxes: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50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0"/>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insurance segments: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16,095</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(124,029)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insurance segments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5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80" w:type="dxa"/>
            <w:vAlign w:val="bottom"/>
          </w:tcPr>
          <w:p>
            <w:pPr>
              <w:ind w:left="320"/>
              <w:spacing w:after="0"/>
              <w:rPr>
                <w:sz w:val="20"/>
                <w:szCs w:val="20"/>
                <w:color w:val="auto"/>
              </w:rPr>
            </w:pPr>
            <w:r>
              <w:rPr>
                <w:rFonts w:ascii="Arial" w:cs="Arial" w:eastAsia="Arial" w:hAnsi="Arial"/>
                <w:sz w:val="18"/>
                <w:szCs w:val="18"/>
                <w:color w:val="auto"/>
              </w:rPr>
              <w:t>Other operating expenses consist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3"/>
                <w:szCs w:val="23"/>
                <w:color w:val="auto"/>
              </w:rPr>
            </w:pPr>
          </w:p>
        </w:tc>
        <w:tc>
          <w:tcPr>
            <w:tcW w:w="150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0"/>
              </w:rPr>
              <w:t>Six Months Ended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33,521</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Other expenses of $904,000 and $1.5 million for the three and six </w:t>
      </w:r>
      <w:r>
        <w:rPr>
          <w:rFonts w:ascii="Arial" w:cs="Arial" w:eastAsia="Arial" w:hAnsi="Arial"/>
          <w:sz w:val="17"/>
          <w:szCs w:val="17"/>
          <w:color w:val="231F20"/>
        </w:rPr>
        <w:t>months ended June 30, 2021</w:t>
      </w:r>
      <w:r>
        <w:rPr>
          <w:rFonts w:ascii="Arial" w:cs="Arial" w:eastAsia="Arial" w:hAnsi="Arial"/>
          <w:sz w:val="17"/>
          <w:szCs w:val="17"/>
          <w:color w:val="auto"/>
        </w:rPr>
        <w:t xml:space="preserve"> include employee severance costs, legal and other professional fees related to the Company's May 2021 common share offering, and certain legal and professional consulting fees related to various strategic initiatives. Other expenses of $1.7 million for the three and six </w:t>
      </w:r>
      <w:r>
        <w:rPr>
          <w:rFonts w:ascii="Arial" w:cs="Arial" w:eastAsia="Arial" w:hAnsi="Arial"/>
          <w:sz w:val="17"/>
          <w:szCs w:val="17"/>
          <w:color w:val="231F20"/>
        </w:rPr>
        <w:t>months ended June 30, 2020</w:t>
      </w:r>
      <w:r>
        <w:rPr>
          <w:rFonts w:ascii="Arial" w:cs="Arial" w:eastAsia="Arial" w:hAnsi="Arial"/>
          <w:sz w:val="17"/>
          <w:szCs w:val="17"/>
          <w:color w:val="auto"/>
        </w:rPr>
        <w:t xml:space="preserve"> consist of employee severance costs.</w:t>
      </w:r>
    </w:p>
    <w:p>
      <w:pPr>
        <w:spacing w:after="0" w:line="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Fair Value Measurements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Three levels of inputs are used to measure fair value of financial instruments: (1) Level 1: quoted price (unadjusted) in active markets for identical assets,</w:t>
      </w:r>
    </w:p>
    <w:p>
      <w:pPr>
        <w:spacing w:after="0" w:line="51" w:lineRule="exact"/>
        <w:rPr>
          <w:sz w:val="20"/>
          <w:szCs w:val="20"/>
          <w:color w:val="auto"/>
        </w:rPr>
      </w:pPr>
    </w:p>
    <w:p>
      <w:pPr>
        <w:jc w:val="both"/>
        <w:ind w:firstLine="6"/>
        <w:spacing w:after="0" w:line="248"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75" w:lineRule="exact"/>
        <w:rPr>
          <w:sz w:val="20"/>
          <w:szCs w:val="20"/>
          <w:color w:val="auto"/>
        </w:rPr>
      </w:pPr>
    </w:p>
    <w:p>
      <w:pPr>
        <w:jc w:val="both"/>
        <w:ind w:firstLine="358"/>
        <w:spacing w:after="0" w:line="312" w:lineRule="auto"/>
        <w:rPr>
          <w:sz w:val="20"/>
          <w:szCs w:val="20"/>
          <w:color w:val="auto"/>
        </w:rPr>
      </w:pPr>
      <w:r>
        <w:rPr>
          <w:rFonts w:ascii="Arial" w:cs="Arial" w:eastAsia="Arial" w:hAnsi="Arial"/>
          <w:sz w:val="15"/>
          <w:szCs w:val="15"/>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5"/>
          <w:szCs w:val="15"/>
          <w:i w:val="1"/>
          <w:iCs w:val="1"/>
          <w:color w:val="auto"/>
        </w:rPr>
        <w:t>e.g.</w:t>
      </w:r>
      <w:r>
        <w:rPr>
          <w:rFonts w:ascii="Arial" w:cs="Arial" w:eastAsia="Arial" w:hAnsi="Arial"/>
          <w:sz w:val="15"/>
          <w:szCs w:val="15"/>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2019.</w:t>
      </w:r>
    </w:p>
    <w:p>
      <w:pPr>
        <w:spacing w:after="0" w:line="82"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June 30, 2021 are summarized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0"/>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353,158</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285,981</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776,475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339,941</w:t>
            </w:r>
          </w:p>
        </w:tc>
        <w:tc>
          <w:tcPr>
            <w:tcW w:w="0" w:type="dxa"/>
            <w:vAlign w:val="bottom"/>
          </w:tcPr>
          <w:p>
            <w:pPr>
              <w:spacing w:after="0"/>
              <w:rPr>
                <w:sz w:val="1"/>
                <w:szCs w:val="1"/>
                <w:color w:val="auto"/>
              </w:rPr>
            </w:pPr>
          </w:p>
        </w:tc>
      </w:tr>
      <w:tr>
        <w:trPr>
          <w:trHeight w:val="173"/>
        </w:trPr>
        <w:tc>
          <w:tcPr>
            <w:tcW w:w="556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89,064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89,499</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1,845,054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61,511</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33,835</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66,405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95,346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164,986</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7"/>
                <w:szCs w:val="17"/>
                <w:color w:val="auto"/>
              </w:rPr>
            </w:pP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165,217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2020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40" w:type="dxa"/>
            <w:vAlign w:val="bottom"/>
          </w:tcPr>
          <w:p>
            <w:pPr>
              <w:spacing w:after="0"/>
              <w:rPr>
                <w:sz w:val="11"/>
                <w:szCs w:val="11"/>
                <w:color w:val="auto"/>
              </w:rPr>
            </w:pPr>
          </w:p>
        </w:tc>
        <w:tc>
          <w:tcPr>
            <w:tcW w:w="12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3"/>
        </w:trPr>
        <w:tc>
          <w:tcPr>
            <w:tcW w:w="554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4"/>
        </w:trPr>
        <w:tc>
          <w:tcPr>
            <w:tcW w:w="55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98" w:lineRule="exact"/>
              <w:rPr>
                <w:sz w:val="20"/>
                <w:szCs w:val="20"/>
                <w:color w:val="auto"/>
              </w:rPr>
            </w:pPr>
            <w:r>
              <w:rPr>
                <w:rFonts w:ascii="Arial" w:cs="Arial" w:eastAsia="Arial" w:hAnsi="Arial"/>
                <w:sz w:val="18"/>
                <w:szCs w:val="18"/>
                <w:color w:val="auto"/>
              </w:rPr>
              <w:t>147,296</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308</w:t>
            </w:r>
          </w:p>
        </w:tc>
        <w:tc>
          <w:tcPr>
            <w:tcW w:w="100" w:type="dxa"/>
            <w:vAlign w:val="bottom"/>
          </w:tcPr>
          <w:p>
            <w:pPr>
              <w:spacing w:after="0"/>
              <w:rPr>
                <w:sz w:val="17"/>
                <w:szCs w:val="17"/>
                <w:color w:val="auto"/>
              </w:rPr>
            </w:pP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r>
      <w:tr>
        <w:trPr>
          <w:trHeight w:val="185"/>
        </w:trPr>
        <w:tc>
          <w:tcPr>
            <w:tcW w:w="47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6"/>
              </w:rPr>
              <w:t>June 30,</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9"/>
        </w:trPr>
        <w:tc>
          <w:tcPr>
            <w:tcW w:w="4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r>
      <w:tr>
        <w:trPr>
          <w:trHeight w:val="177"/>
        </w:trPr>
        <w:tc>
          <w:tcPr>
            <w:tcW w:w="4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4"/>
          </w:tcPr>
          <w:p>
            <w:pPr>
              <w:jc w:val="right"/>
              <w:ind w:right="152"/>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4"/>
          </w:tcPr>
          <w:p>
            <w:pPr>
              <w:jc w:val="right"/>
              <w:ind w:right="92"/>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5"/>
                <w:szCs w:val="15"/>
                <w:color w:val="auto"/>
              </w:rPr>
            </w:pP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Transfers out of Level 3</w:t>
            </w:r>
          </w:p>
        </w:tc>
        <w:tc>
          <w:tcPr>
            <w:tcW w:w="62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in to Level 3</w:t>
            </w:r>
          </w:p>
        </w:tc>
        <w:tc>
          <w:tcPr>
            <w:tcW w:w="6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9"/>
              </w:rPr>
              <w:t>3</w:t>
            </w: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2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Pr>
          <w:p>
            <w:pPr>
              <w:jc w:val="center"/>
              <w:ind w:left="374"/>
              <w:spacing w:after="0"/>
              <w:rPr>
                <w:sz w:val="20"/>
                <w:szCs w:val="20"/>
                <w:color w:val="auto"/>
              </w:rPr>
            </w:pPr>
            <w:r>
              <w:rPr>
                <w:rFonts w:ascii="Arial" w:cs="Arial" w:eastAsia="Arial" w:hAnsi="Arial"/>
                <w:sz w:val="18"/>
                <w:szCs w:val="18"/>
                <w:color w:val="auto"/>
                <w:w w:val="99"/>
              </w:rPr>
              <w:t>7</w:t>
            </w: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6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Maturities, calls and paydowns</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center"/>
              <w:ind w:left="374"/>
              <w:spacing w:after="0"/>
              <w:rPr>
                <w:sz w:val="20"/>
                <w:szCs w:val="20"/>
                <w:color w:val="auto"/>
              </w:rPr>
            </w:pPr>
            <w:r>
              <w:rPr>
                <w:rFonts w:ascii="Arial" w:cs="Arial" w:eastAsia="Arial" w:hAnsi="Arial"/>
                <w:sz w:val="18"/>
                <w:szCs w:val="18"/>
                <w:color w:val="auto"/>
                <w:w w:val="99"/>
              </w:rPr>
              <w:t>(</w:t>
            </w: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discount</w:t>
            </w:r>
          </w:p>
        </w:tc>
        <w:tc>
          <w:tcPr>
            <w:tcW w:w="6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Total gains or losses (realized/unrealized):</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6"/>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earnings</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r>
      <w:tr>
        <w:trPr>
          <w:trHeight w:val="225"/>
        </w:trPr>
        <w:tc>
          <w:tcPr>
            <w:tcW w:w="4740" w:type="dxa"/>
            <w:vAlign w:val="bottom"/>
          </w:tcPr>
          <w:p>
            <w:pPr>
              <w:ind w:left="460"/>
              <w:spacing w:after="0"/>
              <w:rPr>
                <w:sz w:val="20"/>
                <w:szCs w:val="20"/>
                <w:color w:val="auto"/>
              </w:rPr>
            </w:pPr>
            <w:r>
              <w:rPr>
                <w:rFonts w:ascii="Arial" w:cs="Arial" w:eastAsia="Arial" w:hAnsi="Arial"/>
                <w:sz w:val="18"/>
                <w:szCs w:val="18"/>
                <w:color w:val="auto"/>
              </w:rPr>
              <w:t>Included in other comprehensive income</w:t>
            </w:r>
          </w:p>
        </w:tc>
        <w:tc>
          <w:tcPr>
            <w:tcW w:w="62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4"/>
        </w:trPr>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58"/>
        <w:spacing w:after="0" w:line="330" w:lineRule="auto"/>
        <w:rPr>
          <w:sz w:val="20"/>
          <w:szCs w:val="20"/>
          <w:color w:val="auto"/>
        </w:rPr>
      </w:pPr>
      <w:r>
        <w:rPr>
          <w:rFonts w:ascii="Arial" w:cs="Arial" w:eastAsia="Arial" w:hAnsi="Arial"/>
          <w:sz w:val="15"/>
          <w:szCs w:val="15"/>
          <w:color w:val="auto"/>
        </w:rPr>
        <w:t>The Company held one bank loan participation and one equity security at June 30,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$231,000 at June 30, 2021 and $980,000 at December 31, 2020.</w:t>
      </w:r>
    </w:p>
    <w:p>
      <w:pPr>
        <w:spacing w:after="0" w:line="31" w:lineRule="exact"/>
        <w:rPr>
          <w:sz w:val="20"/>
          <w:szCs w:val="20"/>
          <w:color w:val="auto"/>
        </w:rPr>
      </w:pPr>
    </w:p>
    <w:p>
      <w:pPr>
        <w:jc w:val="both"/>
        <w:ind w:right="100" w:firstLine="358"/>
        <w:spacing w:after="0" w:line="264" w:lineRule="auto"/>
        <w:rPr>
          <w:sz w:val="20"/>
          <w:szCs w:val="20"/>
          <w:color w:val="auto"/>
        </w:rPr>
      </w:pPr>
      <w:r>
        <w:rPr>
          <w:rFonts w:ascii="Arial" w:cs="Arial" w:eastAsia="Arial" w:hAnsi="Arial"/>
          <w:sz w:val="18"/>
          <w:szCs w:val="18"/>
          <w:color w:val="auto"/>
        </w:rPr>
        <w:t>The Company held one equity security at December 31, 2019 and one bank loan participations and two equity securities at June 30, 2020 for which the fair value was determined using significant unobservable inputs (Level 3). A market approach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using prices in trades of comparable securities was utilized to determine a fair value for the securities of $312,000 at June 30, 2020 and $43,000 at December 31, 2019.</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transfers between Level 1 and Level 2 during the six months ended June 30, 2021 or 2020. The Company recognizes transfers between levels at the beginning of the reporting period.</w:t>
      </w:r>
    </w:p>
    <w:p>
      <w:pPr>
        <w:spacing w:after="0" w:line="75" w:lineRule="exact"/>
        <w:rPr>
          <w:sz w:val="20"/>
          <w:szCs w:val="20"/>
          <w:color w:val="auto"/>
        </w:rPr>
      </w:pPr>
    </w:p>
    <w:p>
      <w:pPr>
        <w:jc w:val="both"/>
        <w:ind w:firstLine="358"/>
        <w:spacing w:after="0" w:line="267"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3"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2021 and December 31, 2020, there were no investments for which external sources were unavailable to determine fair value.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16"/>
              <w:spacing w:after="0" w:line="131"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1"/>
                <w:szCs w:val="11"/>
                <w:color w:val="auto"/>
              </w:rPr>
            </w:pPr>
          </w:p>
        </w:tc>
        <w:tc>
          <w:tcPr>
            <w:tcW w:w="980" w:type="dxa"/>
            <w:vAlign w:val="bottom"/>
          </w:tcPr>
          <w:p>
            <w:pPr>
              <w:jc w:val="right"/>
              <w:ind w:right="336"/>
              <w:spacing w:after="0" w:line="131"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1,845,054</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1,845,054</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1,783,642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88,975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165,217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147,604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162,260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162,260</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723,525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859,920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130,289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262,300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250,953</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June 30, 2021 and December 31, 2020 were determined by calculating the present value of expected future cash flows under the terms of the note agreements or debt agreements, as applicable, discounted at an estimated market rate of interest at June 30, 2021 and December 31, 2020, respectively.</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values of senior debt and junior subordinated debt at June 30, 2021 and December 31, 2020 were determined using inputs to the valuation methodology that are unobservable (Level 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Senior Debt</w:t>
      </w:r>
    </w:p>
    <w:p>
      <w:pPr>
        <w:spacing w:after="0" w:line="1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June 30, 2021, the Company had a drawn balance of $185.8 million outstanding on the $212.5 million unsecured revolving facility in its $315.0 million senior revolving credit facility (as amended or amended and restated, the "2013 Facility”). The 2013 Facility contains certain financial and other covenants (including minimum net worth, maximum ratio of total adjusted debt outstanding to total capitalization, and financial strength ratings) with which the Company was in compliance at June 30, 2021. In the three months ended March 31, 2020, the Company drew $60.0 million on the unsecured revolver as a precautionary measure to increase the Company's cash position and preserve financial flexibility in light of uncertainty in the global markets resulting from the coronavirus (COVID-19) outbreak. The Company repaid $30.0 million in the three months ended June 30, 2020.</w:t>
      </w:r>
    </w:p>
    <w:p>
      <w:pPr>
        <w:spacing w:after="0" w:line="7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June 30, 2021, unsecured loans of $61.5 million and secured letters of credit totaling $15.1 million were outstanding under a credit agreement (the "2017 Facility") that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June 30, 2021. In the three months ended March 31, 2020, the Company drew $59.0 million of unsecured capacity as a precautionary measure to increase the Company's cash position and preserve financial flexibility in light of uncertainty in the global markets resulting from the coronavirus (COVID-19) outbreak. The Company repaid $30.0 million in the three months ended June 30, 2020.</w:t>
      </w:r>
    </w:p>
    <w:p>
      <w:pPr>
        <w:spacing w:after="0" w:line="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Capital Stock and Equity Awards</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also issued 128,801 common shares in the six months ended June 30, 2021 related to outstanding equity incentive plan awards. Of the new shares issued, 16,471 were related to employee stock option exercises and 112,330 were related to vesting of restricted share units (“RSUs”).</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Offering and the issuances related to equity incentive plan awards, the total common shares outstanding increased from 30,649,261 at December 31, 2020 to 37,275,562 at June 30,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declared the following dividends during the first six months of 2021 and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Payable to Shareholders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8"/>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4"/>
              <w:spacing w:after="0"/>
              <w:rPr>
                <w:sz w:val="20"/>
                <w:szCs w:val="20"/>
                <w:color w:val="auto"/>
              </w:rPr>
            </w:pPr>
            <w:r>
              <w:rPr>
                <w:rFonts w:ascii="Arial" w:cs="Arial" w:eastAsia="Arial" w:hAnsi="Arial"/>
                <w:sz w:val="16"/>
                <w:szCs w:val="16"/>
                <w:b w:val="1"/>
                <w:bCs w:val="1"/>
                <w:color w:val="auto"/>
                <w:w w:val="92"/>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4"/>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47"/>
        </w:trPr>
        <w:tc>
          <w:tcPr>
            <w:tcW w:w="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1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84"/>
              </w:rPr>
              <w:t>2021</w:t>
            </w: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24,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15, 2021</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April 27,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5"/>
              </w:rPr>
              <w:t>June 14, 2021</w:t>
            </w:r>
          </w:p>
        </w:tc>
        <w:tc>
          <w:tcPr>
            <w:tcW w:w="21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87"/>
              </w:rPr>
              <w:t>June 30, 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b w:val="1"/>
                <w:bCs w:val="1"/>
                <w:color w:val="auto"/>
                <w:w w:val="84"/>
              </w:rPr>
              <w:t>2020</w:t>
            </w:r>
          </w:p>
        </w:tc>
        <w:tc>
          <w:tcPr>
            <w:tcW w:w="2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19,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16, 2020</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April 28,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5"/>
              </w:rPr>
              <w:t>June 15, 2020</w:t>
            </w:r>
          </w:p>
        </w:tc>
        <w:tc>
          <w:tcPr>
            <w:tcW w:w="21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87"/>
              </w:rPr>
              <w:t>June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358"/>
        <w:spacing w:after="0" w:line="365" w:lineRule="auto"/>
        <w:rPr>
          <w:sz w:val="20"/>
          <w:szCs w:val="20"/>
          <w:color w:val="auto"/>
        </w:rPr>
      </w:pPr>
      <w:r>
        <w:rPr>
          <w:rFonts w:ascii="Arial" w:cs="Arial" w:eastAsia="Arial" w:hAnsi="Arial"/>
          <w:sz w:val="15"/>
          <w:szCs w:val="15"/>
          <w:color w:val="auto"/>
        </w:rPr>
        <w:t>Included in the total dividends for the six months ended June 30, 2021 and 2020 are $221,000 and $219,000, respectively, of dividend equivalents on unvested RSUs. The balance of dividends payable on unvested RSUs was $462,000 at June 30, 2021 and $663,000 at December 31, 2020.</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June 30, 2021, 1,250,474 shares are available for grant.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June 30, 2021, 94,781 shares are available for grant.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463,324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(29,884)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614,710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June 30, 2021 was 1.7 years.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1"/>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3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(164,957)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(147,260)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348,765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355,278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8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2"/>
          </w:tcPr>
          <w:p>
            <w:pPr>
              <w:jc w:val="center"/>
              <w:ind w:left="282"/>
              <w:spacing w:after="0"/>
              <w:rPr>
                <w:sz w:val="20"/>
                <w:szCs w:val="20"/>
                <w:color w:val="auto"/>
              </w:rPr>
            </w:pPr>
            <w:r>
              <w:rPr>
                <w:rFonts w:ascii="Arial" w:cs="Arial" w:eastAsia="Arial" w:hAnsi="Arial"/>
                <w:sz w:val="14"/>
                <w:szCs w:val="14"/>
                <w:b w:val="1"/>
                <w:bCs w:val="1"/>
                <w:color w:val="auto"/>
                <w:w w:val="90"/>
              </w:rPr>
              <w:t>Six Months Ended</w:t>
            </w:r>
          </w:p>
        </w:tc>
        <w:tc>
          <w:tcPr>
            <w:tcW w:w="820" w:type="dxa"/>
            <w:vAlign w:val="bottom"/>
          </w:tcPr>
          <w:p>
            <w:pPr>
              <w:spacing w:after="0"/>
              <w:rPr>
                <w:sz w:val="14"/>
                <w:szCs w:val="14"/>
                <w:color w:val="auto"/>
              </w:rPr>
            </w:pPr>
          </w:p>
        </w:tc>
      </w:tr>
      <w:tr>
        <w:trPr>
          <w:trHeight w:val="185"/>
        </w:trPr>
        <w:tc>
          <w:tcPr>
            <w:tcW w:w="5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282"/>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r>
      <w:tr>
        <w:trPr>
          <w:trHeight w:val="179"/>
        </w:trPr>
        <w:tc>
          <w:tcPr>
            <w:tcW w:w="55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5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9"/>
              </w:rPr>
              <w:t>(in thousands)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8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8"/>
              </w:rPr>
              <w:t>1,862</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8"/>
              </w:rPr>
              <w:t>1,910</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3,767</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r>
      <w:tr>
        <w:trPr>
          <w:trHeight w:val="224"/>
        </w:trPr>
        <w:tc>
          <w:tcPr>
            <w:tcW w:w="558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840" w:type="dxa"/>
            <w:vAlign w:val="bottom"/>
          </w:tcPr>
          <w:p>
            <w:pPr>
              <w:spacing w:after="0"/>
              <w:rPr>
                <w:sz w:val="19"/>
                <w:szCs w:val="19"/>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302</w:t>
            </w:r>
          </w:p>
        </w:tc>
        <w:tc>
          <w:tcPr>
            <w:tcW w:w="920" w:type="dxa"/>
            <w:vAlign w:val="bottom"/>
          </w:tcPr>
          <w:p>
            <w:pPr>
              <w:spacing w:after="0"/>
              <w:rPr>
                <w:sz w:val="19"/>
                <w:szCs w:val="19"/>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8"/>
                <w:szCs w:val="18"/>
                <w:color w:val="auto"/>
              </w:rPr>
              <w:t>596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r>
    </w:tbl>
    <w:p>
      <w:pPr>
        <w:spacing w:after="0" w:line="17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the Company had $13.2 million of unrecognized share based compensation expense expected to be charged to earnings over a weighted-average period of 2.1 years.</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27, 2021, the Board of Directors declared a cash dividend of $0.30 per common share. The dividend is payable on September 30, 2021 to shareholders of record on September 13, 2021.</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July 9, 2021 a purported class action lawsuit was filed in US District Court, Eastern District of Virginia, on behalf of Employees’ Retirement Fund of the City of Fort Worth (“Plaintiff”) against James River Group Holdings, Ltd. and certain of its present and former officers (together “Defendants”), alleging claims under Section 10(b) of the Securities Exchange Act of 1934. Plaintiff alleges that it purchased James River common stock between August 1, 2019 and May 5, 2021, inclusive (the putative “Class Period”), that Defendants failed to make appropriate disclosures concerning reserves for policies that covered Rasier LLC, a subsidiary of Uber Technologies, Inc. and that, as a result, Plaintiff suffered unspecified damages. We believe that the Plaintiff’s claims are without merit and intend to vigorously defend this lawsuit.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2020. The results of operations for the three and six months ended June 30, 2021 are not necessarily indicative of the results that may be expected for the full year ending December 31, 2021,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2020.</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82" w:lineRule="exact"/>
        <w:rPr>
          <w:rFonts w:ascii="Arial" w:cs="Arial" w:eastAsia="Arial" w:hAnsi="Arial"/>
          <w:sz w:val="18"/>
          <w:szCs w:val="18"/>
          <w:color w:val="auto"/>
        </w:rPr>
      </w:pPr>
    </w:p>
    <w:p>
      <w:pPr>
        <w:jc w:val="both"/>
        <w:ind w:left="640" w:hanging="316"/>
        <w:spacing w:after="0" w:line="288"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This segment has admitted licenses and the authority to write excess and surplus lines insurance in 50 states and the District of Columbia;</w:t>
      </w:r>
    </w:p>
    <w:p>
      <w:pPr>
        <w:spacing w:after="0" w:line="48" w:lineRule="exact"/>
        <w:rPr>
          <w:rFonts w:ascii="Arial" w:cs="Arial" w:eastAsia="Arial" w:hAnsi="Arial"/>
          <w:sz w:val="15"/>
          <w:szCs w:val="15"/>
          <w:color w:val="auto"/>
        </w:rPr>
      </w:pPr>
    </w:p>
    <w:p>
      <w:pPr>
        <w:jc w:val="both"/>
        <w:ind w:left="640" w:hanging="316"/>
        <w:spacing w:after="0" w:line="271"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an aggregate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71"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2020. There have been no significant changes to any of these policies during the current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a discussion of the impact of the coronavirus (COVID-19) pandemic and related economic conditions on the Company’s results for the year ended December 31, 2020, please see “Part II—Item 7—Management’s Discussion and Analysis of Financial Condition and Results of Operation” in our Annual Report. The Company continues to monitor the impact that the outbreak of the coronavirus (COVID-19) pandemic may be having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5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2"/>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380,146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301,639</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26.0 %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753,401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585,480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28.7 %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50.9 %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55.0 %</w:t>
            </w:r>
          </w:p>
        </w:tc>
        <w:tc>
          <w:tcPr>
            <w:tcW w:w="1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48.9 %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51.3 %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193,604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165,757</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16.8 %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368,203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300,411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35"/>
              <w:spacing w:after="0"/>
              <w:rPr>
                <w:sz w:val="20"/>
                <w:szCs w:val="20"/>
                <w:color w:val="auto"/>
              </w:rPr>
            </w:pPr>
            <w:r>
              <w:rPr>
                <w:rFonts w:ascii="Arial" w:cs="Arial" w:eastAsia="Arial" w:hAnsi="Arial"/>
                <w:sz w:val="18"/>
                <w:szCs w:val="18"/>
                <w:i w:val="1"/>
                <w:iCs w:val="1"/>
                <w:color w:val="auto"/>
              </w:rPr>
              <w:t>16.1 %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13.1 %</w:t>
            </w:r>
          </w:p>
        </w:tc>
        <w:tc>
          <w:tcPr>
            <w:tcW w:w="0" w:type="dxa"/>
            <w:vAlign w:val="bottom"/>
          </w:tcPr>
          <w:p>
            <w:pPr>
              <w:spacing w:after="0" w:line="20" w:lineRule="exact"/>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172,705</w:t>
            </w:r>
          </w:p>
        </w:tc>
        <w:tc>
          <w:tcPr>
            <w:tcW w:w="120" w:type="dxa"/>
            <w:vAlign w:val="bottom"/>
          </w:tcPr>
          <w:p>
            <w:pPr>
              <w:spacing w:after="0"/>
              <w:rPr>
                <w:sz w:val="17"/>
                <w:szCs w:val="17"/>
                <w:color w:val="auto"/>
              </w:rPr>
            </w:pPr>
          </w:p>
        </w:tc>
        <w:tc>
          <w:tcPr>
            <w:tcW w:w="360" w:type="dxa"/>
            <w:vAlign w:val="bottom"/>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line="198" w:lineRule="exact"/>
              <w:rPr>
                <w:sz w:val="20"/>
                <w:szCs w:val="20"/>
                <w:color w:val="auto"/>
              </w:rPr>
            </w:pPr>
            <w:r>
              <w:rPr>
                <w:rFonts w:ascii="Arial" w:cs="Arial" w:eastAsia="Arial" w:hAnsi="Arial"/>
                <w:sz w:val="18"/>
                <w:szCs w:val="18"/>
                <w:color w:val="auto"/>
              </w:rPr>
              <w:t>148,815</w:t>
            </w:r>
          </w:p>
        </w:tc>
        <w:tc>
          <w:tcPr>
            <w:tcW w:w="126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333,298</w:t>
            </w:r>
          </w:p>
        </w:tc>
        <w:tc>
          <w:tcPr>
            <w:tcW w:w="100" w:type="dxa"/>
            <w:vAlign w:val="bottom"/>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3"/>
              <w:spacing w:after="0" w:line="198" w:lineRule="exact"/>
              <w:rPr>
                <w:sz w:val="20"/>
                <w:szCs w:val="20"/>
                <w:color w:val="auto"/>
              </w:rPr>
            </w:pPr>
            <w:r>
              <w:rPr>
                <w:rFonts w:ascii="Arial" w:cs="Arial" w:eastAsia="Arial" w:hAnsi="Arial"/>
                <w:sz w:val="18"/>
                <w:szCs w:val="18"/>
                <w:color w:val="auto"/>
              </w:rPr>
              <w:t>294,733</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(98,746)</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11.4 %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(383,500)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(195,602)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96.1 %</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(44,886)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(42,653)</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i w:val="1"/>
                <w:iCs w:val="1"/>
                <w:color w:val="auto"/>
              </w:rPr>
              <w:t>5.2 %</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(92,663)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(2),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7,416</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140.3 %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(141,542)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15,350</w:t>
            </w:r>
          </w:p>
        </w:tc>
        <w:tc>
          <w:tcPr>
            <w:tcW w:w="1260" w:type="dxa"/>
            <w:vAlign w:val="bottom"/>
          </w:tcPr>
          <w:p>
            <w:pPr>
              <w:jc w:val="right"/>
              <w:ind w:right="35"/>
              <w:spacing w:after="0"/>
              <w:rPr>
                <w:sz w:val="20"/>
                <w:szCs w:val="20"/>
                <w:color w:val="auto"/>
              </w:rPr>
            </w:pPr>
            <w:r>
              <w:rPr>
                <w:rFonts w:ascii="Arial" w:cs="Arial" w:eastAsia="Arial" w:hAnsi="Arial"/>
                <w:sz w:val="18"/>
                <w:szCs w:val="18"/>
                <w:i w:val="1"/>
                <w:iCs w:val="1"/>
                <w:color w:val="auto"/>
              </w:rPr>
              <w:t>(6.5)%</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29,437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36,186</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(18.7)%</w:t>
            </w: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Net realized and unrealized gains (losses)</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21,593</w:t>
            </w:r>
          </w:p>
        </w:tc>
        <w:tc>
          <w:tcPr>
            <w:tcW w:w="12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(83.9)%</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(36,814)</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investments</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Other income and expense</w:t>
            </w:r>
          </w:p>
        </w:tc>
        <w:tc>
          <w:tcPr>
            <w:tcW w:w="30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(1,485)</w:t>
            </w:r>
          </w:p>
        </w:tc>
        <w:tc>
          <w:tcPr>
            <w:tcW w:w="1260" w:type="dxa"/>
            <w:vAlign w:val="bottom"/>
          </w:tcPr>
          <w:p>
            <w:pPr>
              <w:jc w:val="right"/>
              <w:ind w:right="35"/>
              <w:spacing w:after="0"/>
              <w:rPr>
                <w:sz w:val="20"/>
                <w:szCs w:val="20"/>
                <w:color w:val="auto"/>
              </w:rPr>
            </w:pPr>
            <w:r>
              <w:rPr>
                <w:rFonts w:ascii="Arial" w:cs="Arial" w:eastAsia="Arial" w:hAnsi="Arial"/>
                <w:sz w:val="18"/>
                <w:szCs w:val="18"/>
                <w:i w:val="1"/>
                <w:iCs w:val="1"/>
                <w:color w:val="auto"/>
              </w:rPr>
              <w:t>(44.3)%</w:t>
            </w:r>
          </w:p>
        </w:tc>
        <w:tc>
          <w:tcPr>
            <w:tcW w:w="3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(1,159)</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16.4 %</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(2,965)</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(24.1)%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(149)</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i w:val="1"/>
                <w:iCs w:val="1"/>
                <w:color w:val="auto"/>
              </w:rPr>
              <w:t>(38.9)%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(38.9)%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39,760</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(18.3)%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(108,346)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11,640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4,146</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i w:val="1"/>
                <w:iCs w:val="1"/>
                <w:color w:val="auto"/>
              </w:rPr>
              <w:t>180.8 %</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(25,729)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20,843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35,614</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i w:val="1"/>
                <w:iCs w:val="1"/>
                <w:color w:val="auto"/>
              </w:rPr>
              <w:t>(41.5)%</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(82,617)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w w:val="99"/>
              </w:rPr>
              <w:t xml:space="preserve">Adjusted net operating income (loss) </w:t>
            </w:r>
            <w:r>
              <w:rPr>
                <w:rFonts w:ascii="Arial" w:cs="Arial" w:eastAsia="Arial" w:hAnsi="Arial"/>
                <w:sz w:val="14"/>
                <w:szCs w:val="14"/>
                <w:color w:val="auto"/>
                <w:w w:val="99"/>
              </w:rPr>
              <w:t>(4)</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18,829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198" w:lineRule="exact"/>
              <w:rPr>
                <w:sz w:val="20"/>
                <w:szCs w:val="20"/>
                <w:color w:val="auto"/>
              </w:rPr>
            </w:pPr>
            <w:r>
              <w:rPr>
                <w:rFonts w:ascii="Arial" w:cs="Arial" w:eastAsia="Arial" w:hAnsi="Arial"/>
                <w:sz w:val="18"/>
                <w:szCs w:val="18"/>
                <w:color w:val="auto"/>
              </w:rPr>
              <w:t>17,379</w:t>
            </w:r>
          </w:p>
        </w:tc>
        <w:tc>
          <w:tcPr>
            <w:tcW w:w="1260" w:type="dxa"/>
            <w:vAlign w:val="bottom"/>
          </w:tcPr>
          <w:p>
            <w:pPr>
              <w:jc w:val="right"/>
              <w:ind w:right="35"/>
              <w:spacing w:after="0" w:line="198" w:lineRule="exact"/>
              <w:rPr>
                <w:sz w:val="20"/>
                <w:szCs w:val="20"/>
                <w:color w:val="auto"/>
              </w:rPr>
            </w:pPr>
            <w:r>
              <w:rPr>
                <w:rFonts w:ascii="Arial" w:cs="Arial" w:eastAsia="Arial" w:hAnsi="Arial"/>
                <w:sz w:val="18"/>
                <w:szCs w:val="18"/>
                <w:i w:val="1"/>
                <w:iCs w:val="1"/>
                <w:color w:val="auto"/>
              </w:rPr>
              <w:t>8.3 %</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94"/>
              <w:spacing w:after="0" w:line="198" w:lineRule="exact"/>
              <w:rPr>
                <w:sz w:val="20"/>
                <w:szCs w:val="20"/>
                <w:color w:val="auto"/>
              </w:rPr>
            </w:pPr>
            <w:r>
              <w:rPr>
                <w:rFonts w:ascii="Arial" w:cs="Arial" w:eastAsia="Arial" w:hAnsi="Arial"/>
                <w:sz w:val="18"/>
                <w:szCs w:val="18"/>
                <w:color w:val="auto"/>
              </w:rPr>
              <w:t>(89,966)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3"/>
              <w:spacing w:after="0" w:line="198" w:lineRule="exact"/>
              <w:rPr>
                <w:sz w:val="20"/>
                <w:szCs w:val="20"/>
                <w:color w:val="auto"/>
              </w:rPr>
            </w:pPr>
            <w:r>
              <w:rPr>
                <w:rFonts w:ascii="Arial" w:cs="Arial" w:eastAsia="Arial" w:hAnsi="Arial"/>
                <w:sz w:val="18"/>
                <w:szCs w:val="18"/>
                <w:color w:val="auto"/>
              </w:rPr>
              <w:t>32,797</w:t>
            </w:r>
          </w:p>
        </w:tc>
        <w:tc>
          <w:tcPr>
            <w:tcW w:w="120" w:type="dxa"/>
            <w:vAlign w:val="bottom"/>
          </w:tcPr>
          <w:p>
            <w:pPr>
              <w:spacing w:after="0"/>
              <w:rPr>
                <w:sz w:val="17"/>
                <w:szCs w:val="17"/>
                <w:color w:val="auto"/>
              </w:rPr>
            </w:pPr>
          </w:p>
        </w:tc>
        <w:tc>
          <w:tcPr>
            <w:tcW w:w="1040" w:type="dxa"/>
            <w:vAlign w:val="bottom"/>
          </w:tcPr>
          <w:p>
            <w:pPr>
              <w:jc w:val="right"/>
              <w:ind w:right="134"/>
              <w:spacing w:after="0" w:line="198"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66.4 %</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6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95.0 %</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Accident year loss ratio </w:t>
            </w:r>
            <w:r>
              <w:rPr>
                <w:rFonts w:ascii="Arial" w:cs="Arial" w:eastAsia="Arial" w:hAnsi="Arial"/>
                <w:sz w:val="14"/>
                <w:szCs w:val="14"/>
                <w:color w:val="auto"/>
              </w:rPr>
              <w:t>(5)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58" w:lineRule="exact"/>
        <w:rPr>
          <w:rFonts w:ascii="Arial" w:cs="Arial" w:eastAsia="Arial" w:hAnsi="Arial"/>
          <w:sz w:val="18"/>
          <w:szCs w:val="18"/>
          <w:i w:val="1"/>
          <w:iCs w:val="1"/>
          <w:color w:val="auto"/>
        </w:rPr>
      </w:pPr>
    </w:p>
    <w:p>
      <w:pPr>
        <w:ind w:left="640" w:right="18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 for a reconciliation to income (loss) before taxes and for additional information.</w:t>
      </w:r>
    </w:p>
    <w:p>
      <w:pPr>
        <w:spacing w:after="0" w:line="21" w:lineRule="exact"/>
        <w:rPr>
          <w:rFonts w:ascii="Arial" w:cs="Arial" w:eastAsia="Arial" w:hAnsi="Arial"/>
          <w:sz w:val="18"/>
          <w:szCs w:val="18"/>
          <w:i w:val="1"/>
          <w:iCs w:val="1"/>
          <w:color w:val="auto"/>
        </w:rPr>
      </w:pPr>
    </w:p>
    <w:p>
      <w:pPr>
        <w:ind w:left="640" w:right="12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2021 is gross fee income of $5.4 million and $10.6 million, respectively ($5.7 million and $11.2 million in the respective prior year periods).</w:t>
      </w:r>
    </w:p>
    <w:p>
      <w:pPr>
        <w:spacing w:after="0" w:line="21" w:lineRule="exact"/>
        <w:rPr>
          <w:rFonts w:ascii="Arial" w:cs="Arial" w:eastAsia="Arial" w:hAnsi="Arial"/>
          <w:sz w:val="18"/>
          <w:szCs w:val="18"/>
          <w:i w:val="1"/>
          <w:iCs w:val="1"/>
          <w:color w:val="auto"/>
        </w:rPr>
      </w:pPr>
    </w:p>
    <w:p>
      <w:pPr>
        <w:ind w:left="640" w:right="6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(loss) is a non-GAAP measure. See “Reconciliation of Non-GAAP Measures” for a reconciliation to net income (loss) and for additional information.</w:t>
      </w:r>
    </w:p>
    <w:p>
      <w:pPr>
        <w:spacing w:after="0" w:line="21" w:lineRule="exact"/>
        <w:rPr>
          <w:rFonts w:ascii="Arial" w:cs="Arial" w:eastAsia="Arial" w:hAnsi="Arial"/>
          <w:sz w:val="18"/>
          <w:szCs w:val="18"/>
          <w:i w:val="1"/>
          <w:iCs w:val="1"/>
          <w:color w:val="auto"/>
        </w:rPr>
      </w:pPr>
    </w:p>
    <w:p>
      <w:pPr>
        <w:ind w:left="640" w:right="160" w:hanging="316"/>
        <w:spacing w:after="0" w:line="264"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is defined as the ratio of losses and loss adjustment expenses for the current accident year (excluding development on prior accident year reserves) to net earned premiums.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11" w:lineRule="exact"/>
        <w:rPr>
          <w:sz w:val="20"/>
          <w:szCs w:val="20"/>
          <w:color w:val="auto"/>
        </w:rPr>
      </w:pPr>
    </w:p>
    <w:p>
      <w:pPr>
        <w:ind w:firstLine="358"/>
        <w:spacing w:after="0" w:line="264" w:lineRule="auto"/>
        <w:rPr>
          <w:sz w:val="20"/>
          <w:szCs w:val="20"/>
          <w:color w:val="auto"/>
        </w:rPr>
      </w:pPr>
      <w:r>
        <w:rPr>
          <w:rFonts w:ascii="Arial" w:cs="Arial" w:eastAsia="Arial" w:hAnsi="Arial"/>
          <w:sz w:val="18"/>
          <w:szCs w:val="18"/>
          <w:color w:val="auto"/>
        </w:rPr>
        <w:t>The Company had an underwriting profit of $17.8 million for the three months ended June 30, 2021. This compares to an underwriting profit of $7.4 million for the same period in the prior year.</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results for the three months ended June 30, 2021 and 2020 include certain non-operating items that are significant to the Company. These items (on a pre-tax basis) include:</w:t>
      </w:r>
    </w:p>
    <w:p>
      <w:pPr>
        <w:spacing w:after="0" w:line="75" w:lineRule="exact"/>
        <w:rPr>
          <w:sz w:val="20"/>
          <w:szCs w:val="20"/>
          <w:color w:val="auto"/>
        </w:rPr>
      </w:pPr>
    </w:p>
    <w:p>
      <w:pPr>
        <w:jc w:val="both"/>
        <w:ind w:left="640" w:hanging="316"/>
        <w:spacing w:after="0" w:line="312" w:lineRule="auto"/>
        <w:tabs>
          <w:tab w:leader="none" w:pos="635" w:val="left"/>
        </w:tabs>
        <w:numPr>
          <w:ilvl w:val="0"/>
          <w:numId w:val="18"/>
        </w:numPr>
        <w:rPr>
          <w:rFonts w:ascii="Arial" w:cs="Arial" w:eastAsia="Arial" w:hAnsi="Arial"/>
          <w:sz w:val="15"/>
          <w:szCs w:val="15"/>
          <w:color w:val="231F20"/>
        </w:rPr>
      </w:pPr>
      <w:r>
        <w:rPr>
          <w:rFonts w:ascii="Arial" w:cs="Arial" w:eastAsia="Arial" w:hAnsi="Arial"/>
          <w:sz w:val="15"/>
          <w:szCs w:val="15"/>
          <w:color w:val="auto"/>
        </w:rPr>
        <w:t xml:space="preserve">Net realized and unrealized investment gains of $3.5 million and $21.6 million for the three months ended June 30, 2021 and 2020, respectively. The prior year gains reflect a partial recovery of the significant unrealized losses incurred in the first quarter of 2020 due to the onset of COVID-19. </w:t>
      </w:r>
      <w:r>
        <w:rPr>
          <w:rFonts w:ascii="Arial" w:cs="Arial" w:eastAsia="Arial" w:hAnsi="Arial"/>
          <w:sz w:val="15"/>
          <w:szCs w:val="15"/>
          <w:color w:val="231F20"/>
        </w:rPr>
        <w:t>The</w:t>
      </w:r>
      <w:r>
        <w:rPr>
          <w:rFonts w:ascii="Arial" w:cs="Arial" w:eastAsia="Arial" w:hAnsi="Arial"/>
          <w:sz w:val="15"/>
          <w:szCs w:val="15"/>
          <w:color w:val="auto"/>
        </w:rPr>
        <w:t xml:space="preserve"> </w:t>
      </w:r>
      <w:r>
        <w:rPr>
          <w:rFonts w:ascii="Arial" w:cs="Arial" w:eastAsia="Arial" w:hAnsi="Arial"/>
          <w:sz w:val="15"/>
          <w:szCs w:val="15"/>
          <w:color w:val="231F20"/>
        </w:rPr>
        <w:t xml:space="preserve">net realized and unrealized investment gains </w:t>
      </w:r>
      <w:r>
        <w:rPr>
          <w:rFonts w:ascii="Arial" w:cs="Arial" w:eastAsia="Arial" w:hAnsi="Arial"/>
          <w:sz w:val="15"/>
          <w:szCs w:val="15"/>
          <w:color w:val="000000"/>
        </w:rPr>
        <w:t>f</w:t>
      </w:r>
      <w:r>
        <w:rPr>
          <w:rFonts w:ascii="Arial" w:cs="Arial" w:eastAsia="Arial" w:hAnsi="Arial"/>
          <w:sz w:val="15"/>
          <w:szCs w:val="15"/>
          <w:color w:val="231F20"/>
        </w:rPr>
        <w:t xml:space="preserve">or the </w:t>
      </w:r>
      <w:r>
        <w:rPr>
          <w:rFonts w:ascii="Arial" w:cs="Arial" w:eastAsia="Arial" w:hAnsi="Arial"/>
          <w:sz w:val="15"/>
          <w:szCs w:val="15"/>
          <w:color w:val="000000"/>
        </w:rPr>
        <w:t>three months ended June 30, 2021</w:t>
      </w:r>
      <w:r>
        <w:rPr>
          <w:rFonts w:ascii="Arial" w:cs="Arial" w:eastAsia="Arial" w:hAnsi="Arial"/>
          <w:sz w:val="15"/>
          <w:szCs w:val="15"/>
          <w:color w:val="231F20"/>
        </w:rPr>
        <w:t xml:space="preserve"> include $1.4 million and $2.3 million related to changes in unrealized gains and losses on equity securities and bank loan participations, respectively ($4.0 million and $26.6 million for the </w:t>
      </w:r>
      <w:r>
        <w:rPr>
          <w:rFonts w:ascii="Arial" w:cs="Arial" w:eastAsia="Arial" w:hAnsi="Arial"/>
          <w:sz w:val="15"/>
          <w:szCs w:val="15"/>
          <w:color w:val="000000"/>
        </w:rPr>
        <w:t>three months ended</w:t>
      </w:r>
      <w:r>
        <w:rPr>
          <w:rFonts w:ascii="Arial" w:cs="Arial" w:eastAsia="Arial" w:hAnsi="Arial"/>
          <w:sz w:val="15"/>
          <w:szCs w:val="15"/>
          <w:color w:val="231F20"/>
        </w:rPr>
        <w:t xml:space="preserve"> </w:t>
      </w:r>
      <w:r>
        <w:rPr>
          <w:rFonts w:ascii="Arial" w:cs="Arial" w:eastAsia="Arial" w:hAnsi="Arial"/>
          <w:sz w:val="15"/>
          <w:szCs w:val="15"/>
          <w:color w:val="000000"/>
        </w:rPr>
        <w:t>June 30, 2020</w:t>
      </w:r>
      <w:r>
        <w:rPr>
          <w:rFonts w:ascii="Arial" w:cs="Arial" w:eastAsia="Arial" w:hAnsi="Arial"/>
          <w:sz w:val="15"/>
          <w:szCs w:val="15"/>
          <w:color w:val="231F20"/>
        </w:rPr>
        <w:t>, respectively).</w:t>
      </w:r>
      <w:r>
        <w:rPr>
          <w:rFonts w:ascii="Arial" w:cs="Arial" w:eastAsia="Arial" w:hAnsi="Arial"/>
          <w:sz w:val="15"/>
          <w:szCs w:val="15"/>
          <w:color w:val="000000"/>
        </w:rPr>
        <w:t xml:space="preserve"> See “— Investing Results" for more information on these realized and unrealized investment gains.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We define adjusted net operating income (loss) as net income (loss)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income (loss) as an internal performance measure in the management of our operations because we believe it gives our management and other users of our financial information useful insight into our results of operations and our underlying business performance. Adjusted net operating income (loss) should not be viewed as a substitute for net income (loss) calculated in accordance with GAAP, and our definition of adjusted net operating income (loss) may not be comparable to that of other companies.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1"/>
                <w:szCs w:val="11"/>
                <w:color w:val="auto"/>
              </w:rPr>
            </w:pPr>
          </w:p>
        </w:tc>
        <w:tc>
          <w:tcPr>
            <w:tcW w:w="100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1"/>
                <w:szCs w:val="11"/>
                <w:color w:val="auto"/>
              </w:rPr>
            </w:pPr>
          </w:p>
        </w:tc>
        <w:tc>
          <w:tcPr>
            <w:tcW w:w="10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combined ratio is a measure of underwriting performance and represents the relationship of incurred losses, loss adjustment expenses and other operating expenses to net earned premiums. Our combined ratio for the three months ended June 30, 2021 was 89.7%. A combined ratio of less than 100% indicates an underwriting profit, while a combined ratio greater than 100% reflects an underwriting loss. The combined ratio for the three months ended June 30, 2021 includes $3.5 million, or 2.0 percentage points, of net favorable reserve development on prior accident years, including $7.5 million of net favorable reserve development from the Excess and Surplus Lines segment, $1.0 million of net favorable reserve development from the Specialty Admitted Insurance segment, and $5.0 million of net adverse reserve development from the Casualty Reinsurance segment.</w:t>
      </w:r>
    </w:p>
    <w:p>
      <w:pPr>
        <w:spacing w:after="0" w:line="4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combined ratio for the three months ended June 30, 2020 was 95.0%. The combined ratio for the three months ended June 30, 2020 includes $1.1 million, or 0.8 percentage points, of net adverse reserve development on prior accident years, including $2.8 million of net favorable reserve development from the Excess and Surplus Lines segment, $1.0 million of net favorable reserve development from the Specialty Admitted Insurance segment, and $5.0 million of net adverse reserve development from the Casualty Reinsurance segment.</w:t>
      </w:r>
    </w:p>
    <w:p>
      <w:pPr>
        <w:spacing w:after="0" w:line="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Internal Revenue Code of 1986, as amended, effective January 1, 2018. JRG Re also provides aggregate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expense ratio decreased from 28.6% for the three months ended June 30, 2020 to 26.0% for the three months ended June 30, 2021. The decrease reflects an 18.4%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68.3% of consolidated net earned premiums for the three months ended June 30, 2021 compared to 67.8% for three months ended June 30, 2020. Gross fee income for the Company decreased from $5.7 million for the three months ended June 30, 2020 to $5.4 million for the three months ended June 30, 2021. The decrease was driven by a $296,000 decline in the Excess and Surplus Lines segment due to the termination of a commercial auto account.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11"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5"/>
          <w:szCs w:val="15"/>
          <w:color w:val="auto"/>
        </w:rPr>
        <w:t>The Company had an underwriting loss of $141.5 million for the six months ended June 30, 2021. This compares to an underwriting profit of $6.5 million for the same period in the prior year. Net adverse reserve development on prior accident years was the principal driver of the current year underwriting loss. Underwriting results for the six months ended June 30, 2021 include $166.7 million of net adverse reserve development on prior accident years, including $161.2 million of net adverse development from the Excess and Surplus Lines segment almost entirely related to a previously canceled commercial auto account that has been in runoff since 2019 (see underwriting results of the Excess and Surplus Lines segment below for further discussion). Underwriting results for the six months ended June 30, 2020 included $2.0 million of net adverse reserve development on prior accident years.</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for the six months ended June 30, 2021 and 2020 include certain non-operating items that are significant to the Company. These items (on a pre-tax basis) include:</w:t>
      </w:r>
    </w:p>
    <w:p>
      <w:pPr>
        <w:spacing w:after="0" w:line="75" w:lineRule="exact"/>
        <w:rPr>
          <w:sz w:val="20"/>
          <w:szCs w:val="20"/>
          <w:color w:val="auto"/>
        </w:rPr>
      </w:pPr>
    </w:p>
    <w:p>
      <w:pPr>
        <w:jc w:val="both"/>
        <w:ind w:left="640" w:hanging="316"/>
        <w:spacing w:after="0" w:line="290"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Net realized and unrealized investment gains (losses) of $9.8 million and $(36.8) million for the six months ended June 30, 2021 and 2020, respectively. </w:t>
      </w:r>
      <w:r>
        <w:rPr>
          <w:rFonts w:ascii="Arial" w:cs="Arial" w:eastAsia="Arial" w:hAnsi="Arial"/>
          <w:sz w:val="15"/>
          <w:szCs w:val="15"/>
          <w:color w:val="231F20"/>
        </w:rPr>
        <w:t>For the</w:t>
      </w:r>
      <w:r>
        <w:rPr>
          <w:rFonts w:ascii="Arial" w:cs="Arial" w:eastAsia="Arial" w:hAnsi="Arial"/>
          <w:sz w:val="15"/>
          <w:szCs w:val="15"/>
          <w:color w:val="auto"/>
        </w:rPr>
        <w:t xml:space="preserve"> six months ended June 30, 2021</w:t>
      </w:r>
      <w:r>
        <w:rPr>
          <w:rFonts w:ascii="Arial" w:cs="Arial" w:eastAsia="Arial" w:hAnsi="Arial"/>
          <w:sz w:val="15"/>
          <w:szCs w:val="15"/>
          <w:color w:val="231F20"/>
        </w:rPr>
        <w:t>, net realized and unrealized gains on investments include $3.2 million and $6.3 million related</w:t>
      </w:r>
      <w:r>
        <w:rPr>
          <w:rFonts w:ascii="Arial" w:cs="Arial" w:eastAsia="Arial" w:hAnsi="Arial"/>
          <w:sz w:val="15"/>
          <w:szCs w:val="15"/>
          <w:color w:val="auto"/>
        </w:rPr>
        <w:t xml:space="preserve"> </w:t>
      </w:r>
      <w:r>
        <w:rPr>
          <w:rFonts w:ascii="Arial" w:cs="Arial" w:eastAsia="Arial" w:hAnsi="Arial"/>
          <w:sz w:val="15"/>
          <w:szCs w:val="15"/>
          <w:color w:val="231F20"/>
        </w:rPr>
        <w:t xml:space="preserve">to changes in unrealized gains and losses on equity securities and bank loan participations, respectively ($(9.3) million and $(17.4) million of net realized and unrealized losses for the </w:t>
      </w:r>
      <w:r>
        <w:rPr>
          <w:rFonts w:ascii="Arial" w:cs="Arial" w:eastAsia="Arial" w:hAnsi="Arial"/>
          <w:sz w:val="15"/>
          <w:szCs w:val="15"/>
          <w:color w:val="000000"/>
        </w:rPr>
        <w:t>six months ended June 30, 2020</w:t>
      </w:r>
      <w:r>
        <w:rPr>
          <w:rFonts w:ascii="Arial" w:cs="Arial" w:eastAsia="Arial" w:hAnsi="Arial"/>
          <w:sz w:val="15"/>
          <w:szCs w:val="15"/>
          <w:color w:val="231F20"/>
        </w:rPr>
        <w:t xml:space="preserve">, respectively). </w:t>
      </w:r>
      <w:r>
        <w:rPr>
          <w:rFonts w:ascii="Arial" w:cs="Arial" w:eastAsia="Arial" w:hAnsi="Arial"/>
          <w:sz w:val="15"/>
          <w:szCs w:val="15"/>
          <w:color w:val="000000"/>
        </w:rPr>
        <w:t>The outbreak of COVID-19 in the first quarter of 2020 and</w:t>
      </w:r>
      <w:r>
        <w:rPr>
          <w:rFonts w:ascii="Arial" w:cs="Arial" w:eastAsia="Arial" w:hAnsi="Arial"/>
          <w:sz w:val="15"/>
          <w:szCs w:val="15"/>
          <w:color w:val="231F20"/>
        </w:rPr>
        <w:t xml:space="preserve"> </w:t>
      </w:r>
      <w:r>
        <w:rPr>
          <w:rFonts w:ascii="Arial" w:cs="Arial" w:eastAsia="Arial" w:hAnsi="Arial"/>
          <w:sz w:val="15"/>
          <w:szCs w:val="15"/>
          <w:color w:val="000000"/>
        </w:rPr>
        <w:t>uncertainty around the extent of its economic impact caused severe declines in financial markets, leading to significant net unrealized losses recognized in earnings. See “— Investing Results" for more information on these realized and unrealized investment gains (losses).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(loss) income before taxes and net (loss) income reconcile to our adjusted net operating (loss) income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3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Before</w:t>
            </w:r>
          </w:p>
        </w:tc>
        <w:tc>
          <w:tcPr>
            <w:tcW w:w="100" w:type="dxa"/>
            <w:vAlign w:val="bottom"/>
          </w:tcPr>
          <w:p>
            <w:pPr>
              <w:spacing w:after="0"/>
              <w:rPr>
                <w:sz w:val="11"/>
                <w:szCs w:val="11"/>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8"/>
              </w:rPr>
              <w:t>Net (Loss) Income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as reported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32,470</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combined ratio for the six months ended June 30, 2021 was 142.5%. The combined ratio for the six months ended June 30, 2021 includes $166.7 million, or 50.0 percentage points, of net adverse reserve development on prior accident years, including $161.2 million of net adverse reserve development from the Excess and Surplus Lines segment (see underwriting results of the Excess and Surplus Lines segment for further discussion), $2.0 million of net favorable reserve development from the Specialty Admitted Insurance segment, and $7.5 million of net adverse reserve development from the Casualty Reinsurance segment.</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combined ratio for the six months ended June 30, 2020 was 97.8%. The combined ratio for the six months ended June 30, 2020 includes $2.0 million, or 0.7 percentage points, of net adverse reserve development on prior accident years, including $2.9 million of net favorable reserve development from the Excess and Surplus Lines segment, $2.0 million of net favorable reserve development from the Specialty Admitted Insurance segment, and $6.9 million of net adverse reserve development from the Casualty Reinsurance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expense ratio decreased from 31.4% for the six months ended June 30, 2020 to 27.4% for the six months ended June 30, 2021. The decrease reflects a 17.4%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69.5% of consolidated net earned premiums for the six months ended June 30, 2021 compared to 68.1% for the six months ended June 30, 2020. Gross fee income for the Company declined from $11.2 million for the six months ended June 30, 2020 to $10.6 million for the six months ended June 30, 2021. The termination of a commercial auto account resulted in a $1.6 million decline of gross fee income in the Excess and Surplus Lines segment for the six months ended June 30, 2021. This was partially offset by $1.0 million higher fee income in the Specialty Admitted Insurance segment due to new fronting programs and growth in existing fronting programs.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23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center"/>
              <w:ind w:left="35"/>
              <w:spacing w:after="0"/>
              <w:rPr>
                <w:sz w:val="20"/>
                <w:szCs w:val="20"/>
                <w:color w:val="auto"/>
              </w:rPr>
            </w:pPr>
            <w:r>
              <w:rPr>
                <w:rFonts w:ascii="Arial" w:cs="Arial" w:eastAsia="Arial" w:hAnsi="Arial"/>
                <w:sz w:val="14"/>
                <w:szCs w:val="14"/>
                <w:b w:val="1"/>
                <w:bCs w:val="1"/>
                <w:i w:val="1"/>
                <w:iCs w:val="1"/>
                <w:color w:val="auto"/>
                <w:w w:val="88"/>
              </w:rPr>
              <w:t>($ in thousands)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214,014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186,994</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14.4 %</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395,372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323,191</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22.3 %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46.1 %</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34.0 %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41.0 %</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43.3 %</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28.7 %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6.6 %</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11.2 %</w:t>
            </w: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68.8 %</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26,095</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66.7 %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41.0 %</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46.7 %</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300,411</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22.6 %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117,945</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100,849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231,653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200,588</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15.5 %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29.2 %</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26.3 %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7.7 %</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0.3 %</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16.1 %</w:t>
            </w:r>
          </w:p>
        </w:tc>
        <w:tc>
          <w:tcPr>
            <w:tcW w:w="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294,733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13.1 %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Gross written premiums for the Excess and Surplus Lines segment (which represents 52.5% of our consolidated gross written premiums in the six months ended June 30, 2021) increased 14.4% and 22.3% from the corresponding three and six month periods in the prior year, respectively. Policy submissions excluding commercial auto policies were higher by 0.8% and 16.9% more policies were bound in the six months ended June 30, 2021 than in the six months ended June 30, 2020. Renewal rates for the Excess and Surplus Lines segment were up 16.9% compared to the six months ended June 30, 2020. The change in gross written premiums compared to the same period in 2020 was notable in several divisions as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27.3 %</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57.0 %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41,169</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66,891</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14,064</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25.6 %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20,083</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Allied Health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18.0 %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6,481</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33.1 %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12,110</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Core E&amp;S divisions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5.9 %</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Total Core E&amp;S divisions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179,906</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15.1 %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382,597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309,368</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23.7 %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00" w:type="dxa"/>
            <w:vAlign w:val="bottom"/>
          </w:tcPr>
          <w:p>
            <w:pPr>
              <w:ind w:left="20"/>
              <w:spacing w:after="0" w:line="154" w:lineRule="exact"/>
              <w:rPr>
                <w:sz w:val="20"/>
                <w:szCs w:val="20"/>
                <w:color w:val="auto"/>
              </w:rPr>
            </w:pPr>
            <w:r>
              <w:rPr>
                <w:rFonts w:ascii="Arial" w:cs="Arial" w:eastAsia="Arial" w:hAnsi="Arial"/>
                <w:sz w:val="17"/>
                <w:szCs w:val="17"/>
                <w:color w:val="auto"/>
              </w:rPr>
              <w:t>Excess and Surplus Lines gross written</w:t>
            </w:r>
          </w:p>
        </w:tc>
        <w:tc>
          <w:tcPr>
            <w:tcW w:w="300" w:type="dxa"/>
            <w:vAlign w:val="bottom"/>
            <w:vMerge w:val="restart"/>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214,014</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186,994</w:t>
            </w:r>
          </w:p>
        </w:tc>
        <w:tc>
          <w:tcPr>
            <w:tcW w:w="11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14.4 %</w:t>
            </w:r>
          </w:p>
        </w:tc>
        <w:tc>
          <w:tcPr>
            <w:tcW w:w="5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395,372</w:t>
            </w:r>
          </w:p>
        </w:tc>
        <w:tc>
          <w:tcPr>
            <w:tcW w:w="12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323,191</w:t>
            </w:r>
          </w:p>
        </w:tc>
        <w:tc>
          <w:tcPr>
            <w:tcW w:w="11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22.3 %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line="198" w:lineRule="exact"/>
              <w:rPr>
                <w:sz w:val="20"/>
                <w:szCs w:val="20"/>
                <w:color w:val="auto"/>
              </w:rPr>
            </w:pPr>
            <w:r>
              <w:rPr>
                <w:rFonts w:ascii="Arial" w:cs="Arial" w:eastAsia="Arial" w:hAnsi="Arial"/>
                <w:sz w:val="18"/>
                <w:szCs w:val="18"/>
                <w:color w:val="auto"/>
              </w:rPr>
              <w:t>premium</w:t>
            </w: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35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34.0% of our consolidated gross written premiums for the six months ended June 30, 2021)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Individual risk workers’ compensation</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(11.8)%</w:t>
            </w:r>
          </w:p>
        </w:tc>
        <w:tc>
          <w:tcPr>
            <w:tcW w:w="5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30,436</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Fronting and program premium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72,283</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59.0 %</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225,789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157,605</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43.3 %</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46.1 %</w:t>
            </w:r>
          </w:p>
        </w:tc>
        <w:tc>
          <w:tcPr>
            <w:tcW w:w="5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256,225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34.0 %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premium growth in fronting and programs was driven by nine new fronting relationships that generated $21.6 million and $45.1 million of gross written premium in the three and six months ended June 30, 2021, respectively, and growth in existing programs which generated increases of $21.1 million and $21.9 million, respectively. Our largest fronting relationship produced $30.3 million and $64.3 million of gross written premium for the three and six months ended June 30, 2021, respectively, compared to $30.1 million and $62.8 million for the three and six months ended June 30, 2020 and representing 25.1% of the segment's gross written premium in the six months ended June 30, 2021 down from 32.8% in the six months ended June 30, 2020.</w:t>
      </w:r>
    </w:p>
    <w:p>
      <w:pPr>
        <w:spacing w:after="0" w:line="4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Gross written premiums for the Casualty Reinsurance segment (which represents 13.5% of our consolidated gross written premiums in the first six months of 2021) increased 41.0% and 43.3% from the corresponding three and six month periods in the prior year, respectively. The increase in gross written premiums was largely due to higher renewal premiums on a few treaties and a change in renewal date for one treaty.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1"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204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0"/>
              </w:rPr>
              <w:t>Six Months Ended</w:t>
            </w:r>
          </w:p>
        </w:tc>
        <w:tc>
          <w:tcPr>
            <w:tcW w:w="860" w:type="dxa"/>
            <w:vAlign w:val="bottom"/>
          </w:tcPr>
          <w:p>
            <w:pPr>
              <w:spacing w:after="0"/>
              <w:rPr>
                <w:sz w:val="13"/>
                <w:szCs w:val="13"/>
                <w:color w:val="auto"/>
              </w:rPr>
            </w:pPr>
          </w:p>
        </w:tc>
      </w:tr>
      <w:tr>
        <w:trPr>
          <w:trHeight w:val="185"/>
        </w:trPr>
        <w:tc>
          <w:tcPr>
            <w:tcW w:w="528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67.8 %</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40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77.8 %</w:t>
            </w: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50.9 %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51.3 %</w:t>
            </w:r>
          </w:p>
        </w:tc>
      </w:tr>
    </w:tbl>
    <w:p>
      <w:pPr>
        <w:spacing w:after="0" w:line="17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premium retention for the Excess and Surplus Lines segment decreased for the three and six months ended June 30, 2021 as compared to the prior year periods due to growth in written premium in the Excess Casualty underwriting division, which has a higher percentage of ceded premium than our other divisions.</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net premium retention for the Specialty Admitted Insurance segment increased for the three and six months ended June 30, 2021 as compared to the respective periods in the prior year primarily due to higher retentions in the fronting business. The net retention on the segment’s fronting business was 15.3% and 15.5% for the three and six months ended June 30, 2021, respectively (10.8% and 10.2% for the three and six months ended June 30, 2020, respectively). The net retention on the individual risk workers’ compensation business was 27.7% for both the three and six months ended June 30, 2021 (30.5% and 29.9% for the three and six months ended June 30, 2020, respectively).</w:t>
      </w:r>
    </w:p>
    <w:p>
      <w:pPr>
        <w:spacing w:after="0" w:line="7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net premium retention for the Casualty Reinsurance segment for the six months ended June 30, 2021 and 2020, respectively, reflects the impact of one retrocessional treaty/fronting arrangement under which 100% of the premiums are ceded. Ceded written premiums under the treaty were $20.7 million in the first quarter of 2021 compared to $15.8 million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Three Months Ended</w:t>
            </w:r>
          </w:p>
        </w:tc>
        <w:tc>
          <w:tcPr>
            <w:tcW w:w="204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85"/>
        </w:trPr>
        <w:tc>
          <w:tcPr>
            <w:tcW w:w="530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53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2020</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87.9 %</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380" w:type="dxa"/>
            <w:vAlign w:val="bottom"/>
          </w:tcPr>
          <w:p>
            <w:pPr>
              <w:jc w:val="right"/>
              <w:spacing w:after="0"/>
              <w:rPr>
                <w:sz w:val="20"/>
                <w:szCs w:val="20"/>
                <w:color w:val="auto"/>
              </w:rPr>
            </w:pPr>
            <w:r>
              <w:rPr>
                <w:rFonts w:ascii="Arial" w:cs="Arial" w:eastAsia="Arial" w:hAnsi="Arial"/>
                <w:sz w:val="18"/>
                <w:szCs w:val="18"/>
                <w:color w:val="auto"/>
              </w:rPr>
              <w:t>88.5 %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90.3 %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98.4 %</w:t>
            </w: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103.7 %</w:t>
            </w:r>
          </w:p>
        </w:tc>
      </w:tr>
      <w:tr>
        <w:trPr>
          <w:trHeight w:val="224"/>
        </w:trPr>
        <w:tc>
          <w:tcPr>
            <w:tcW w:w="530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89.7 %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26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214,014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186,994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14.4 %</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395,372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5"/>
              </w:rPr>
              <w:t>323,191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22.3 %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135,163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126,814</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6.6 %</w:t>
            </w: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243,596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w w:val="95"/>
              </w:rPr>
              <w:t>219,020</w:t>
            </w:r>
          </w:p>
        </w:tc>
        <w:tc>
          <w:tcPr>
            <w:tcW w:w="116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11.2 %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117,945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100,849</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17.0 %</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231,653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5"/>
              </w:rPr>
              <w:t>200,588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(69,594)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(63,410)</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9.8 %</w:t>
            </w:r>
          </w:p>
        </w:tc>
        <w:tc>
          <w:tcPr>
            <w:tcW w:w="460" w:type="dxa"/>
            <w:vAlign w:val="bottom"/>
          </w:tcPr>
          <w:p>
            <w:pPr>
              <w:spacing w:after="0"/>
              <w:rPr>
                <w:sz w:val="19"/>
                <w:szCs w:val="19"/>
                <w:color w:val="auto"/>
              </w:rPr>
            </w:pPr>
          </w:p>
        </w:tc>
        <w:tc>
          <w:tcPr>
            <w:tcW w:w="920" w:type="dxa"/>
            <w:vAlign w:val="bottom"/>
          </w:tcPr>
          <w:p>
            <w:pPr>
              <w:jc w:val="right"/>
              <w:ind w:right="98"/>
              <w:spacing w:after="0"/>
              <w:rPr>
                <w:sz w:val="20"/>
                <w:szCs w:val="20"/>
                <w:color w:val="auto"/>
              </w:rPr>
            </w:pPr>
            <w:r>
              <w:rPr>
                <w:rFonts w:ascii="Arial" w:cs="Arial" w:eastAsia="Arial" w:hAnsi="Arial"/>
                <w:sz w:val="18"/>
                <w:szCs w:val="18"/>
                <w:color w:val="auto"/>
                <w:w w:val="93"/>
              </w:rPr>
              <w:t>(311,336)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88"/>
              </w:rPr>
              <w:t>(128,939)</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141.5 %</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(21,434)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(21,344)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0.4 %</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(44,346)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(47,442)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 (2)</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26,917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16,095</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67.2 %</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93"/>
              </w:rPr>
              <w:t>(124,029)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24,207</w:t>
            </w:r>
          </w:p>
        </w:tc>
        <w:tc>
          <w:tcPr>
            <w:tcW w:w="1160" w:type="dxa"/>
            <w:vAlign w:val="bottom"/>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060" w:type="dxa"/>
            <w:vAlign w:val="bottom"/>
          </w:tcPr>
          <w:p>
            <w:pPr>
              <w:jc w:val="right"/>
              <w:ind w:right="392"/>
              <w:spacing w:after="0"/>
              <w:rPr>
                <w:sz w:val="20"/>
                <w:szCs w:val="20"/>
                <w:color w:val="auto"/>
              </w:rPr>
            </w:pPr>
            <w:r>
              <w:rPr>
                <w:rFonts w:ascii="Arial" w:cs="Arial" w:eastAsia="Arial" w:hAnsi="Arial"/>
                <w:sz w:val="18"/>
                <w:szCs w:val="18"/>
                <w:color w:val="auto"/>
              </w:rPr>
              <w:t>59.0 %</w:t>
            </w:r>
          </w:p>
        </w:tc>
        <w:tc>
          <w:tcPr>
            <w:tcW w:w="2000" w:type="dxa"/>
            <w:vAlign w:val="bottom"/>
          </w:tcPr>
          <w:p>
            <w:pPr>
              <w:jc w:val="right"/>
              <w:ind w:right="912"/>
              <w:spacing w:after="0"/>
              <w:rPr>
                <w:sz w:val="20"/>
                <w:szCs w:val="20"/>
                <w:color w:val="auto"/>
              </w:rPr>
            </w:pPr>
            <w:r>
              <w:rPr>
                <w:rFonts w:ascii="Arial" w:cs="Arial" w:eastAsia="Arial" w:hAnsi="Arial"/>
                <w:sz w:val="18"/>
                <w:szCs w:val="18"/>
                <w:color w:val="auto"/>
              </w:rPr>
              <w:t>62.9 %</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134.4 %</w:t>
            </w:r>
          </w:p>
        </w:tc>
        <w:tc>
          <w:tcPr>
            <w:tcW w:w="2160" w:type="dxa"/>
            <w:vAlign w:val="bottom"/>
          </w:tcPr>
          <w:p>
            <w:pPr>
              <w:jc w:val="right"/>
              <w:ind w:right="1092"/>
              <w:spacing w:after="0"/>
              <w:rPr>
                <w:sz w:val="20"/>
                <w:szCs w:val="20"/>
                <w:color w:val="auto"/>
              </w:rPr>
            </w:pPr>
            <w:r>
              <w:rPr>
                <w:rFonts w:ascii="Arial" w:cs="Arial" w:eastAsia="Arial" w:hAnsi="Arial"/>
                <w:sz w:val="18"/>
                <w:szCs w:val="18"/>
                <w:color w:val="auto"/>
              </w:rPr>
              <w:t>64.3 %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18.2 %</w:t>
            </w:r>
          </w:p>
        </w:tc>
        <w:tc>
          <w:tcPr>
            <w:tcW w:w="20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21.1 %</w:t>
            </w:r>
          </w:p>
        </w:tc>
        <w:tc>
          <w:tcPr>
            <w:tcW w:w="21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19.1 %</w:t>
            </w:r>
          </w:p>
        </w:tc>
        <w:tc>
          <w:tcPr>
            <w:tcW w:w="216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23.6 %</w:t>
            </w:r>
          </w:p>
        </w:tc>
      </w:tr>
      <w:tr>
        <w:trPr>
          <w:trHeight w:val="225"/>
        </w:trPr>
        <w:tc>
          <w:tcPr>
            <w:tcW w:w="29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060" w:type="dxa"/>
            <w:vAlign w:val="bottom"/>
          </w:tcPr>
          <w:p>
            <w:pPr>
              <w:jc w:val="right"/>
              <w:ind w:right="392"/>
              <w:spacing w:after="0"/>
              <w:rPr>
                <w:sz w:val="20"/>
                <w:szCs w:val="20"/>
                <w:color w:val="auto"/>
              </w:rPr>
            </w:pPr>
            <w:r>
              <w:rPr>
                <w:rFonts w:ascii="Arial" w:cs="Arial" w:eastAsia="Arial" w:hAnsi="Arial"/>
                <w:sz w:val="18"/>
                <w:szCs w:val="18"/>
                <w:color w:val="auto"/>
              </w:rPr>
              <w:t>77.2 %</w:t>
            </w:r>
          </w:p>
        </w:tc>
        <w:tc>
          <w:tcPr>
            <w:tcW w:w="2000" w:type="dxa"/>
            <w:vAlign w:val="bottom"/>
          </w:tcPr>
          <w:p>
            <w:pPr>
              <w:jc w:val="right"/>
              <w:ind w:right="912"/>
              <w:spacing w:after="0"/>
              <w:rPr>
                <w:sz w:val="20"/>
                <w:szCs w:val="20"/>
                <w:color w:val="auto"/>
              </w:rPr>
            </w:pPr>
            <w:r>
              <w:rPr>
                <w:rFonts w:ascii="Arial" w:cs="Arial" w:eastAsia="Arial" w:hAnsi="Arial"/>
                <w:sz w:val="18"/>
                <w:szCs w:val="18"/>
                <w:color w:val="auto"/>
              </w:rPr>
              <w:t>84.0 %</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153.5 %</w:t>
            </w:r>
          </w:p>
        </w:tc>
        <w:tc>
          <w:tcPr>
            <w:tcW w:w="2160" w:type="dxa"/>
            <w:vAlign w:val="bottom"/>
          </w:tcPr>
          <w:p>
            <w:pPr>
              <w:jc w:val="right"/>
              <w:ind w:right="1092"/>
              <w:spacing w:after="0"/>
              <w:rPr>
                <w:sz w:val="20"/>
                <w:szCs w:val="20"/>
                <w:color w:val="auto"/>
              </w:rPr>
            </w:pPr>
            <w:r>
              <w:rPr>
                <w:rFonts w:ascii="Arial" w:cs="Arial" w:eastAsia="Arial" w:hAnsi="Arial"/>
                <w:sz w:val="18"/>
                <w:szCs w:val="18"/>
                <w:color w:val="auto"/>
              </w:rPr>
              <w:t>87.9 %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65.3 %</w:t>
            </w:r>
          </w:p>
        </w:tc>
        <w:tc>
          <w:tcPr>
            <w:tcW w:w="20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65.7 %</w:t>
            </w:r>
          </w:p>
        </w:tc>
        <w:tc>
          <w:tcPr>
            <w:tcW w:w="21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64.8 %</w:t>
            </w:r>
          </w:p>
        </w:tc>
        <w:tc>
          <w:tcPr>
            <w:tcW w:w="216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65.7 %</w:t>
            </w:r>
          </w:p>
        </w:tc>
      </w:tr>
    </w:tbl>
    <w:p>
      <w:pPr>
        <w:spacing w:after="0" w:line="173" w:lineRule="exact"/>
        <w:rPr>
          <w:sz w:val="20"/>
          <w:szCs w:val="20"/>
          <w:color w:val="auto"/>
        </w:rPr>
      </w:pPr>
    </w:p>
    <w:p>
      <w:pPr>
        <w:ind w:left="640" w:right="240" w:hanging="316"/>
        <w:spacing w:after="0" w:line="252" w:lineRule="auto"/>
        <w:tabs>
          <w:tab w:leader="none" w:pos="63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 for a reconciliation to income (loss) before tax and for additional information.</w:t>
      </w:r>
    </w:p>
    <w:p>
      <w:pPr>
        <w:ind w:left="640" w:right="60" w:hanging="316"/>
        <w:spacing w:after="0" w:line="245" w:lineRule="auto"/>
        <w:tabs>
          <w:tab w:leader="none" w:pos="63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for the three and six months ended June 30, 2020 include gross fee income of $296,000 and $1.6 million, respectively, related to Rasier, a former commercial auto account (none for the three and six months ended June 30, 2021).</w:t>
      </w:r>
    </w:p>
    <w:p>
      <w:pPr>
        <w:spacing w:after="0" w:line="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 loss ratio of 59.0% for the three months ended June 30, 2021 includes $7.5 million of net favorable reserve development (6.3 percentage points) in our loss estimates for prior accident years on Core E&amp;S lines of business. The loss ratio of 134.4% for the six months ended June 30, 2021 includes $161.2 million of net adverse reserve development (69.6 percentage points) in our loss estimates for prior accident years, including $8.8 million of net favorable development on Core E&amp;S lines of business and $170.0 million of net adverse development on commercial auto business that was almost entirely related to a previously canceled account that has been runoff since 2019. The reported losses on this terminated commercial auto account meaningfully exceeded our expectations in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the this account. The loss ratios of 62.9% and 64.3% for the three and six months ended June 30, 2020 include $2.8 million and $2.9 million (2.8 and 1.4 percentage points), respectively, of net favorable reserve development in our loss estimates for prior accident years.</w:t>
      </w:r>
    </w:p>
    <w:p>
      <w:pPr>
        <w:spacing w:after="0" w:line="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expense ratio for this segment decreased from 21.1% and 23.6% for the three and six months ended June 30, 2020, respectively, to 18.2% and 19.1% for the three and six months ended June 30, 2021, respectively, due to increases of 18.4%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17.4%, respectively, in Core E&amp;S net earned premiums including in lines that have meaningful ceding commissions. Gross fee income related to a former commercial auto account contributed to reductions in the expense ratio of 0.3 and 0.8 percentage points for the three and six months ended June 30, 2020, respectively (none for the three and six months ended June 30, 2021).</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 result of the items discussed above, the underwriting results of the Excess and Surplus Lines segment increased from an underwriting profit of $16.1 million for the three months ended June 30, 2020 to an underwriting profit of $26.9 million for the three months ended June 30, 2021. The Excess and Surplus Lines segment had an underwriting loss of $124.0 million for the six months ended June 30, 2021 compared to an underwriting profit of $24.2 million for the six months ended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260" w:type="dxa"/>
            <w:vAlign w:val="bottom"/>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129,189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88,440</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46.1 %</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98"/>
              </w:rPr>
              <w:t>256,225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2"/>
              </w:rPr>
              <w:t>191,242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34.0 %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21,498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12,739</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68.8 %</w:t>
            </w:r>
          </w:p>
        </w:tc>
        <w:tc>
          <w:tcPr>
            <w:tcW w:w="480" w:type="dxa"/>
            <w:vAlign w:val="bottom"/>
            <w:tcBorders>
              <w:bottom w:val="single" w:sz="8" w:color="auto"/>
            </w:tcBorders>
          </w:tcPr>
          <w:p>
            <w:pPr>
              <w:jc w:val="right"/>
              <w:ind w:right="2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43,503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26,095</w:t>
            </w:r>
          </w:p>
        </w:tc>
        <w:tc>
          <w:tcPr>
            <w:tcW w:w="116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66.7 %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18,595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14,392</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29.2 %</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34,952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27,675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26.3 %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(10,559)</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26.6 %</w:t>
            </w:r>
          </w:p>
        </w:tc>
        <w:tc>
          <w:tcPr>
            <w:tcW w:w="480" w:type="dxa"/>
            <w:vAlign w:val="bottom"/>
          </w:tcPr>
          <w:p>
            <w:pPr>
              <w:spacing w:after="0"/>
              <w:rPr>
                <w:sz w:val="19"/>
                <w:szCs w:val="19"/>
                <w:color w:val="auto"/>
              </w:rPr>
            </w:pP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(24,108)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w w:val="98"/>
              </w:rPr>
              <w:t>(20,464)</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17.8 %</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(2,403)</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28.6 %</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(6,769)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9.9 %</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1,430</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49.5 %</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442</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670.1 %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71.9 %</w:t>
            </w:r>
          </w:p>
        </w:tc>
        <w:tc>
          <w:tcPr>
            <w:tcW w:w="2040" w:type="dxa"/>
            <w:vAlign w:val="bottom"/>
          </w:tcPr>
          <w:p>
            <w:pPr>
              <w:jc w:val="right"/>
              <w:ind w:right="952"/>
              <w:spacing w:after="0"/>
              <w:rPr>
                <w:sz w:val="20"/>
                <w:szCs w:val="20"/>
                <w:color w:val="auto"/>
              </w:rPr>
            </w:pPr>
            <w:r>
              <w:rPr>
                <w:rFonts w:ascii="Arial" w:cs="Arial" w:eastAsia="Arial" w:hAnsi="Arial"/>
                <w:sz w:val="18"/>
                <w:szCs w:val="18"/>
                <w:color w:val="auto"/>
              </w:rPr>
              <w:t>73.4 %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69.0 %</w:t>
            </w:r>
          </w:p>
        </w:tc>
        <w:tc>
          <w:tcPr>
            <w:tcW w:w="2180" w:type="dxa"/>
            <w:vAlign w:val="bottom"/>
          </w:tcPr>
          <w:p>
            <w:pPr>
              <w:jc w:val="right"/>
              <w:ind w:right="1092"/>
              <w:spacing w:after="0"/>
              <w:rPr>
                <w:sz w:val="20"/>
                <w:szCs w:val="20"/>
                <w:color w:val="auto"/>
              </w:rPr>
            </w:pPr>
            <w:r>
              <w:rPr>
                <w:rFonts w:ascii="Arial" w:cs="Arial" w:eastAsia="Arial" w:hAnsi="Arial"/>
                <w:sz w:val="18"/>
                <w:szCs w:val="18"/>
                <w:color w:val="auto"/>
              </w:rPr>
              <w:t>73.9 %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16.6 %</w:t>
            </w:r>
          </w:p>
        </w:tc>
        <w:tc>
          <w:tcPr>
            <w:tcW w:w="20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16.7 %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21.3 %</w:t>
            </w:r>
          </w:p>
        </w:tc>
        <w:tc>
          <w:tcPr>
            <w:tcW w:w="218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24.5 %</w:t>
            </w:r>
          </w:p>
        </w:tc>
      </w:tr>
      <w:tr>
        <w:trPr>
          <w:trHeight w:val="225"/>
        </w:trPr>
        <w:tc>
          <w:tcPr>
            <w:tcW w:w="29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88.5 %</w:t>
            </w:r>
          </w:p>
        </w:tc>
        <w:tc>
          <w:tcPr>
            <w:tcW w:w="2040" w:type="dxa"/>
            <w:vAlign w:val="bottom"/>
          </w:tcPr>
          <w:p>
            <w:pPr>
              <w:jc w:val="right"/>
              <w:ind w:right="952"/>
              <w:spacing w:after="0"/>
              <w:rPr>
                <w:sz w:val="20"/>
                <w:szCs w:val="20"/>
                <w:color w:val="auto"/>
              </w:rPr>
            </w:pPr>
            <w:r>
              <w:rPr>
                <w:rFonts w:ascii="Arial" w:cs="Arial" w:eastAsia="Arial" w:hAnsi="Arial"/>
                <w:sz w:val="18"/>
                <w:szCs w:val="18"/>
                <w:color w:val="auto"/>
              </w:rPr>
              <w:t>90.1 %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90.3 %</w:t>
            </w:r>
          </w:p>
        </w:tc>
        <w:tc>
          <w:tcPr>
            <w:tcW w:w="2180" w:type="dxa"/>
            <w:vAlign w:val="bottom"/>
          </w:tcPr>
          <w:p>
            <w:pPr>
              <w:jc w:val="right"/>
              <w:ind w:right="1092"/>
              <w:spacing w:after="0"/>
              <w:rPr>
                <w:sz w:val="20"/>
                <w:szCs w:val="20"/>
                <w:color w:val="auto"/>
              </w:rPr>
            </w:pPr>
            <w:r>
              <w:rPr>
                <w:rFonts w:ascii="Arial" w:cs="Arial" w:eastAsia="Arial" w:hAnsi="Arial"/>
                <w:sz w:val="18"/>
                <w:szCs w:val="18"/>
                <w:color w:val="auto"/>
              </w:rPr>
              <w:t>98.4 %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77.3 %</w:t>
            </w:r>
          </w:p>
        </w:tc>
        <w:tc>
          <w:tcPr>
            <w:tcW w:w="20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80.3 %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74.7 %</w:t>
            </w:r>
          </w:p>
        </w:tc>
        <w:tc>
          <w:tcPr>
            <w:tcW w:w="218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81.2 %</w:t>
            </w:r>
          </w:p>
        </w:tc>
      </w:tr>
    </w:tbl>
    <w:p>
      <w:pPr>
        <w:spacing w:after="0" w:line="186" w:lineRule="exact"/>
        <w:rPr>
          <w:sz w:val="20"/>
          <w:szCs w:val="20"/>
          <w:color w:val="auto"/>
        </w:rPr>
      </w:pPr>
    </w:p>
    <w:p>
      <w:pPr>
        <w:ind w:left="640" w:right="620" w:hanging="316"/>
        <w:spacing w:after="0" w:line="252" w:lineRule="auto"/>
        <w:tabs>
          <w:tab w:leader="none" w:pos="63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ind w:left="640" w:right="120" w:hanging="316"/>
        <w:spacing w:after="0" w:line="251" w:lineRule="auto"/>
        <w:tabs>
          <w:tab w:leader="none" w:pos="63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$5.4 million and $10.6 million for the three and six months ended June 30, 2021, respectively ($5.4 million and $9.6 million for the same periods in the prior year).</w:t>
      </w:r>
    </w:p>
    <w:p>
      <w:pPr>
        <w:spacing w:after="0" w:line="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loss ratios of 71.9% and 69.0% for the three and six months ended June 30, 2021 include $1.0 million and $2.0 million (5.4 and 5.7 percentage points), respectively, of net favorable development in our loss estimates for prior accident years. The loss ratios of 73.4% and 73.9% for the three and six months ended June 30, 2020 include $1.0 million and $2.0 million (6.9 and 7.3 percentage points), respectively, of net favorable development in our loss estimates for prior accident years. The favorable reserve development for both periods reflects the fact that actual loss emergence of the workers’ compensation book has been better than expected.</w:t>
      </w:r>
    </w:p>
    <w:p>
      <w:pPr>
        <w:spacing w:after="0" w:line="8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expense ratio of the Specialty Admitted Insurance segment was 16.6% and 21.3% for the three and six months ended June 30, 2021, respectively, compared to the prior year ratios of 16.7% and 24.5%, respectively. The improvement was driven by the growth in net earned premiums and higher fee income, which increased 1.1% and 10.2% over the respective three and six month periods in the prior year due to the growth in our fronting business.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Underwriting results for the Specialty Admitted Insurance segment in the three and six months ended June 30, 2020 were favorably impacted by a $1.2 million adjustment to fee income on one fronted program (a reduction in commission expense, representing an 8.4 and 3.7 point reduction in the combined ratio for the respective periods).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items discussed above, the Specialty Admitted Insurance segment had an underwriting profit of $2.1 million and $3.4 million for the three and six months ended June 30, 2021, respectively, compared to an underwriting profit of $1.4 million and $442,000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260" w:type="dxa"/>
            <w:vAlign w:val="bottom"/>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36,943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26,205</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41.0 %</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98"/>
              </w:rPr>
              <w:t>101,804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71,047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43.3 %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36,943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26,204</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41.0 %</w:t>
            </w:r>
          </w:p>
        </w:tc>
        <w:tc>
          <w:tcPr>
            <w:tcW w:w="500" w:type="dxa"/>
            <w:vAlign w:val="bottom"/>
            <w:tcBorders>
              <w:bottom w:val="single" w:sz="8" w:color="auto"/>
            </w:tcBorders>
          </w:tcPr>
          <w:p>
            <w:pPr>
              <w:jc w:val="right"/>
              <w:ind w:right="31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81,104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55,296</w:t>
            </w:r>
          </w:p>
        </w:tc>
        <w:tc>
          <w:tcPr>
            <w:tcW w:w="116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46.7 %</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36,165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33,574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7.7 %</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66,693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66,470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(27,040)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(24,777)</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9.1 %</w:t>
            </w:r>
          </w:p>
        </w:tc>
        <w:tc>
          <w:tcPr>
            <w:tcW w:w="500" w:type="dxa"/>
            <w:vAlign w:val="bottom"/>
          </w:tcPr>
          <w:p>
            <w:pPr>
              <w:spacing w:after="0"/>
              <w:rPr>
                <w:sz w:val="19"/>
                <w:szCs w:val="19"/>
                <w:color w:val="auto"/>
              </w:rPr>
            </w:pP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(48,056)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w w:val="98"/>
              </w:rPr>
              <w:t>(46,199)</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(12,446)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(11,434)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8.9 %</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(23,583)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8"/>
              </w:rPr>
              <w:t>(22,701)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3.9 %</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i w:val="1"/>
                <w:iCs w:val="1"/>
                <w:color w:val="auto"/>
              </w:rPr>
              <w:t>(1)</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(2,637)</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25.9 %</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(2,430)</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103.5 %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74.8 %</w:t>
            </w:r>
          </w:p>
        </w:tc>
        <w:tc>
          <w:tcPr>
            <w:tcW w:w="2040" w:type="dxa"/>
            <w:vAlign w:val="bottom"/>
          </w:tcPr>
          <w:p>
            <w:pPr>
              <w:jc w:val="right"/>
              <w:ind w:right="912"/>
              <w:spacing w:after="0"/>
              <w:rPr>
                <w:sz w:val="20"/>
                <w:szCs w:val="20"/>
                <w:color w:val="auto"/>
              </w:rPr>
            </w:pPr>
            <w:r>
              <w:rPr>
                <w:rFonts w:ascii="Arial" w:cs="Arial" w:eastAsia="Arial" w:hAnsi="Arial"/>
                <w:sz w:val="18"/>
                <w:szCs w:val="18"/>
                <w:color w:val="auto"/>
              </w:rPr>
              <w:t>73.8 %</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72.1 %</w:t>
            </w:r>
          </w:p>
        </w:tc>
        <w:tc>
          <w:tcPr>
            <w:tcW w:w="2200" w:type="dxa"/>
            <w:vAlign w:val="bottom"/>
          </w:tcPr>
          <w:p>
            <w:pPr>
              <w:jc w:val="right"/>
              <w:ind w:right="1092"/>
              <w:spacing w:after="0"/>
              <w:rPr>
                <w:sz w:val="20"/>
                <w:szCs w:val="20"/>
                <w:color w:val="auto"/>
              </w:rPr>
            </w:pPr>
            <w:r>
              <w:rPr>
                <w:rFonts w:ascii="Arial" w:cs="Arial" w:eastAsia="Arial" w:hAnsi="Arial"/>
                <w:sz w:val="18"/>
                <w:szCs w:val="18"/>
                <w:color w:val="auto"/>
              </w:rPr>
              <w:t>69.5 %</w:t>
            </w: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2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34.4 %</w:t>
            </w:r>
          </w:p>
        </w:tc>
        <w:tc>
          <w:tcPr>
            <w:tcW w:w="20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34.1 %</w:t>
            </w:r>
          </w:p>
        </w:tc>
        <w:tc>
          <w:tcPr>
            <w:tcW w:w="2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35.3 %</w:t>
            </w:r>
          </w:p>
        </w:tc>
        <w:tc>
          <w:tcPr>
            <w:tcW w:w="22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34.2 %</w:t>
            </w: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2120" w:type="dxa"/>
            <w:vAlign w:val="bottom"/>
          </w:tcPr>
          <w:p>
            <w:pPr>
              <w:jc w:val="right"/>
              <w:ind w:right="332"/>
              <w:spacing w:after="0"/>
              <w:rPr>
                <w:sz w:val="20"/>
                <w:szCs w:val="20"/>
                <w:color w:val="auto"/>
              </w:rPr>
            </w:pPr>
            <w:r>
              <w:rPr>
                <w:rFonts w:ascii="Arial" w:cs="Arial" w:eastAsia="Arial" w:hAnsi="Arial"/>
                <w:sz w:val="18"/>
                <w:szCs w:val="18"/>
                <w:color w:val="auto"/>
              </w:rPr>
              <w:t>109.2 %</w:t>
            </w:r>
          </w:p>
        </w:tc>
        <w:tc>
          <w:tcPr>
            <w:tcW w:w="2040" w:type="dxa"/>
            <w:vAlign w:val="bottom"/>
          </w:tcPr>
          <w:p>
            <w:pPr>
              <w:jc w:val="right"/>
              <w:ind w:right="912"/>
              <w:spacing w:after="0"/>
              <w:rPr>
                <w:sz w:val="20"/>
                <w:szCs w:val="20"/>
                <w:color w:val="auto"/>
              </w:rPr>
            </w:pPr>
            <w:r>
              <w:rPr>
                <w:rFonts w:ascii="Arial" w:cs="Arial" w:eastAsia="Arial" w:hAnsi="Arial"/>
                <w:sz w:val="18"/>
                <w:szCs w:val="18"/>
                <w:color w:val="auto"/>
              </w:rPr>
              <w:t>107.9 %</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107.4 %</w:t>
            </w:r>
          </w:p>
        </w:tc>
        <w:tc>
          <w:tcPr>
            <w:tcW w:w="2200" w:type="dxa"/>
            <w:vAlign w:val="bottom"/>
          </w:tcPr>
          <w:p>
            <w:pPr>
              <w:jc w:val="right"/>
              <w:ind w:right="1092"/>
              <w:spacing w:after="0"/>
              <w:rPr>
                <w:sz w:val="20"/>
                <w:szCs w:val="20"/>
                <w:color w:val="auto"/>
              </w:rPr>
            </w:pPr>
            <w:r>
              <w:rPr>
                <w:rFonts w:ascii="Arial" w:cs="Arial" w:eastAsia="Arial" w:hAnsi="Arial"/>
                <w:sz w:val="18"/>
                <w:szCs w:val="18"/>
                <w:color w:val="auto"/>
              </w:rPr>
              <w:t>103.7 %</w:t>
            </w: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2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60.9 %</w:t>
            </w:r>
          </w:p>
        </w:tc>
        <w:tc>
          <w:tcPr>
            <w:tcW w:w="20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59.0 %</w:t>
            </w:r>
          </w:p>
        </w:tc>
        <w:tc>
          <w:tcPr>
            <w:tcW w:w="2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60.8 %</w:t>
            </w:r>
          </w:p>
        </w:tc>
        <w:tc>
          <w:tcPr>
            <w:tcW w:w="22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59.2 %</w:t>
            </w:r>
          </w:p>
        </w:tc>
      </w:tr>
    </w:tbl>
    <w:p>
      <w:pPr>
        <w:spacing w:after="0" w:line="186" w:lineRule="exact"/>
        <w:rPr>
          <w:sz w:val="20"/>
          <w:szCs w:val="20"/>
          <w:color w:val="auto"/>
        </w:rPr>
      </w:pPr>
    </w:p>
    <w:p>
      <w:pPr>
        <w:ind w:left="640" w:right="160" w:hanging="316"/>
        <w:spacing w:after="0" w:line="264" w:lineRule="auto"/>
        <w:tabs>
          <w:tab w:leader="none" w:pos="63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 for a reconciliation to loss before tax and for additional information.</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loss ratios of 74.8% and 72.1% for the three and six months ended June 30, 2021, respectively, include $5.0 million and $7.5 million (13.9 and 11.2 percentage points), respectively, of net adverse development in our loss estimates for prior accident years. The loss ratios of 73.8% and 69.5% for the three and six months ended June 30, 2020, respectively, include $5.0 million and $6.9 million (14.8 and 10.3 percentage points), respectively, of net adverse development in our loss estimates for prior accident years.</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expense ratio of the Casualty Reinsurance segment was 34.4% and 35.3% for the three and six months ended June 30, 2021, respectively, compared to 34.1% and 34.2% in the respective prior year periods. Commission slide adjustments related to incurred losses increased the expense ratio by 1.2 and 2.1 points in the three and six months ended June 30, 2021, respectively, compared to an increase of 0.4 points and a decrease of 0.8 points in the three and six months ended June 30, 2020, respectively.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items discussed above, underwriting results for the Casualty Reinsurance segment declined from underwriting losses of $2.6 million and $2.4 million for the three and six months ended June 30, 2020, respectively, to underwriting losses of $3.3 million and $4.9 million for the three and six months ended June 30, 2021,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gross reserve for losses and loss adjustment expenses at June 30, 2021 was $2,447.0 million. Of this amount, 60.4% relates to amounts that are IBNR. This amount was 58.7% at December 31, 2020. The Company’s gross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4"/>
                <w:szCs w:val="14"/>
                <w:b w:val="1"/>
                <w:bCs w:val="1"/>
                <w:color w:val="auto"/>
                <w:w w:val="88"/>
              </w:rPr>
              <w:t>Gross Reserves at June 30, 2021</w:t>
            </w:r>
          </w:p>
        </w:tc>
        <w:tc>
          <w:tcPr>
            <w:tcW w:w="1020" w:type="dxa"/>
            <w:vAlign w:val="bottom"/>
            <w:tcBorders>
              <w:bottom w:val="single" w:sz="8" w:color="auto"/>
            </w:tcBorders>
          </w:tcPr>
          <w:p>
            <w:pPr>
              <w:spacing w:after="0"/>
              <w:rPr>
                <w:sz w:val="16"/>
                <w:szCs w:val="16"/>
                <w:color w:val="auto"/>
              </w:rPr>
            </w:pPr>
          </w:p>
        </w:tc>
      </w:tr>
      <w:tr>
        <w:trPr>
          <w:trHeight w:val="183"/>
        </w:trPr>
        <w:tc>
          <w:tcPr>
            <w:tcW w:w="6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8"/>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1,477,091</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380,994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651,190</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318,721</w:t>
            </w:r>
          </w:p>
        </w:tc>
      </w:tr>
      <w:tr>
        <w:trPr>
          <w:trHeight w:val="219"/>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2,447,002</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June 30, 2021, the amount of net reserves prior to the $335,000 allowance for uncollectible reinsurance recoverables of $1,511.1 million that related to IBNR was 57.8%. This amount was 55.3% at December 31, 2020. The Company’s net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rPr>
              <w:t>Net Reserves at June 30, 2021</w:t>
            </w:r>
          </w:p>
        </w:tc>
        <w:tc>
          <w:tcPr>
            <w:tcW w:w="1060" w:type="dxa"/>
            <w:vAlign w:val="bottom"/>
            <w:tcBorders>
              <w:bottom w:val="single" w:sz="8" w:color="auto"/>
            </w:tcBorders>
          </w:tcPr>
          <w:p>
            <w:pPr>
              <w:spacing w:after="0"/>
              <w:rPr>
                <w:sz w:val="16"/>
                <w:szCs w:val="16"/>
                <w:color w:val="auto"/>
              </w:rPr>
            </w:pPr>
          </w:p>
        </w:tc>
      </w:tr>
      <w:tr>
        <w:trPr>
          <w:trHeight w:val="183"/>
        </w:trPr>
        <w:tc>
          <w:tcPr>
            <w:tcW w:w="6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IBNR</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1,105,870</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97,608</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307,628</w:t>
            </w:r>
          </w:p>
        </w:tc>
      </w:tr>
      <w:tr>
        <w:trPr>
          <w:trHeight w:val="219"/>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1,511,106</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operating expenses of the Corporate and Other segment were $7.9 million and $16.0 million for the three and six months ended June 30, 2021, respectively, compared to $7.5 million and $15.8 million for the same periods in the prior year.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Net investment income was $14.3 million and $29.4 million for the three and six months ended June 30, 2021, respectively, compared to $15.4 million and $36.2 million for the same periods in the prior year. The Company's private investments generated income of $834,000 and $1.2 million for the three and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six months ended June 30, 2021, respectively, compared to income of $444,000 </w:t>
      </w:r>
      <w:r>
        <w:rPr>
          <w:rFonts w:ascii="Arial" w:cs="Arial" w:eastAsia="Arial" w:hAnsi="Arial"/>
          <w:sz w:val="21"/>
          <w:szCs w:val="21"/>
          <w:color w:val="auto"/>
        </w:rPr>
        <w:t>and</w:t>
      </w:r>
      <w:r>
        <w:rPr>
          <w:rFonts w:ascii="Arial" w:cs="Arial" w:eastAsia="Arial" w:hAnsi="Arial"/>
          <w:sz w:val="18"/>
          <w:szCs w:val="18"/>
          <w:color w:val="auto"/>
        </w:rPr>
        <w:t xml:space="preserve"> $961,000 in the respective prior year periods. Excluding private investments, our net investment income for the three and six months ended June 30, 2021 decreased 9.3% and 19.7% from the prior year, respectively, principally due to lower investment income from bank loan participations resulting from a smaller portfolio and lower investment yields. The average duration of our portfolio excluding restricted cash equivalents was 3.9 years at June 30, 2021.</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8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9"/>
          </w:tcPr>
          <w:p>
            <w:pPr>
              <w:ind w:left="620"/>
              <w:spacing w:after="0"/>
              <w:rPr>
                <w:sz w:val="20"/>
                <w:szCs w:val="20"/>
                <w:color w:val="auto"/>
              </w:rPr>
            </w:pPr>
            <w:r>
              <w:rPr>
                <w:rFonts w:ascii="Arial" w:cs="Arial" w:eastAsia="Arial" w:hAnsi="Arial"/>
                <w:sz w:val="14"/>
                <w:szCs w:val="14"/>
                <w:b w:val="1"/>
                <w:bCs w:val="1"/>
                <w:i w:val="1"/>
                <w:iCs w:val="1"/>
                <w:color w:val="auto"/>
              </w:rPr>
              <w:t>($ in thousands)</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16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2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Renewable energy investments</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private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89"/>
              </w:rPr>
              <w:t>Cash, cash equivalents, restricted cash equivalents and short-term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The following table summarizes our investment returns: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80" w:type="dxa"/>
            <w:vAlign w:val="bottom"/>
            <w:gridSpan w:val="9"/>
          </w:tcPr>
          <w:p>
            <w:pPr>
              <w:jc w:val="center"/>
              <w:ind w:right="760"/>
              <w:spacing w:after="0"/>
              <w:rPr>
                <w:sz w:val="20"/>
                <w:szCs w:val="20"/>
                <w:color w:val="auto"/>
              </w:rPr>
            </w:pPr>
            <w:r>
              <w:rPr>
                <w:rFonts w:ascii="Arial" w:cs="Arial" w:eastAsia="Arial" w:hAnsi="Arial"/>
                <w:sz w:val="14"/>
                <w:szCs w:val="14"/>
                <w:b w:val="1"/>
                <w:bCs w:val="1"/>
                <w:color w:val="auto"/>
                <w:w w:val="92"/>
              </w:rPr>
              <w:t>Three Months Ended</w:t>
            </w:r>
          </w:p>
        </w:tc>
        <w:tc>
          <w:tcPr>
            <w:tcW w:w="240" w:type="dxa"/>
            <w:vAlign w:val="bottom"/>
          </w:tcPr>
          <w:p>
            <w:pPr>
              <w:spacing w:after="0"/>
              <w:rPr>
                <w:sz w:val="23"/>
                <w:szCs w:val="23"/>
                <w:color w:val="auto"/>
              </w:rPr>
            </w:pPr>
          </w:p>
        </w:tc>
        <w:tc>
          <w:tcPr>
            <w:tcW w:w="1620" w:type="dxa"/>
            <w:vAlign w:val="bottom"/>
            <w:gridSpan w:val="5"/>
          </w:tcPr>
          <w:p>
            <w:pPr>
              <w:jc w:val="center"/>
              <w:ind w:left="378"/>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left="597"/>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358"/>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Average cash and invested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w w:val="91"/>
              </w:rPr>
              <w:t>2.6 %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fixed maturity securities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2.7 %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Of our total cash and invested assets of $2,563.2 million at June 30, 2021 (excluding restricted cash equivalents), $360.9 million represents the cash and cash equivalents portion of the portfolio. The majority of the portfolio, or $1,845.1 million, is comprised of fixed maturity securities that are classified as available-for-sale and carried at fair value with unrealized gains and losses on these securities reported, net of applicable taxes, as a separate component of accumulated comprehensive income. Also included in our investments are $165.2 million of bank loan participations, $95.3 million of equity securities, $39.7 million of short-term investments, and $57.0 million of other invested assets.</w:t>
      </w:r>
    </w:p>
    <w:p>
      <w:pPr>
        <w:spacing w:after="0" w:line="7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231F20"/>
        </w:rPr>
        <w:t>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6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June 30, 2021 and December 31, 2020, the fair market value of these securities was $165.2 million and $147.6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six months ended June 30, 2021, the Company recognized net realized and unrealized investment gains of $9.8 million ($3.5 million of net realized and unrealized investment gains for the three months ended June 30, 2021), including $6.3 million of net unrealized gains on bank loan participations, $3.2 million of net gains for the change in the fair value of equity securities, $1.2 million of net realized investment gains on the sale of fixed maturity securities, $465,000 of net realized investment losses on the sale of bank loan participations, and $384,000 of net realized investment losses on the sale of equity securities.</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For the six months ended June 30, 2020, the Company recognized net realized and unrealized investment losses of $36.8 million ($21.6 million of net realized and unrealized investment gains for the three months ended June 30, 2020), including $17.4 million of net unrealized losses on bank loan participations, $9.3 million of net unrealized losses for the change in the fair value of equity securities, $10.6 million of net realized investment losses on the sale of bank loan securities, and $520,000 of net realized investment gains on the sale of fixed maturity securities.</w:t>
      </w:r>
    </w:p>
    <w:p>
      <w:pPr>
        <w:spacing w:after="0" w:line="7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conjunction with its outside investment managers, the Company performs quarterly reviews of all securities within its investment portfolio to determine whether any impairment has occurred. Management concluded that none of its fixed maturity securities were impaired at June 30, 2021 or December 31, 2020. At June 30, 2021, 99.5% of the Company’s fixed maturity security portfolio was rated “BBB-” or better (“investment grade”) by Standard</w:t>
      </w:r>
    </w:p>
    <w:p>
      <w:pPr>
        <w:spacing w:after="0" w:line="1" w:lineRule="exact"/>
        <w:rPr>
          <w:sz w:val="20"/>
          <w:szCs w:val="20"/>
          <w:color w:val="auto"/>
        </w:rPr>
      </w:pPr>
    </w:p>
    <w:p>
      <w:pPr>
        <w:jc w:val="both"/>
        <w:ind w:firstLine="6"/>
        <w:spacing w:after="0" w:line="248" w:lineRule="auto"/>
        <w:tabs>
          <w:tab w:leader="none" w:pos="1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Poor’s or received an equivalent rating from another nationally recognized rating agency. </w:t>
      </w:r>
      <w:r>
        <w:rPr>
          <w:rFonts w:ascii="Arial" w:cs="Arial" w:eastAsia="Arial" w:hAnsi="Arial"/>
          <w:sz w:val="18"/>
          <w:szCs w:val="18"/>
          <w:color w:val="231F20"/>
        </w:rPr>
        <w:t>Management does not intend to sell available-for-sale securities in</w:t>
      </w:r>
      <w:r>
        <w:rPr>
          <w:rFonts w:ascii="Arial" w:cs="Arial" w:eastAsia="Arial" w:hAnsi="Arial"/>
          <w:sz w:val="18"/>
          <w:szCs w:val="18"/>
          <w:color w:val="auto"/>
        </w:rPr>
        <w:t xml:space="preserve"> </w:t>
      </w:r>
      <w:r>
        <w:rPr>
          <w:rFonts w:ascii="Arial" w:cs="Arial" w:eastAsia="Arial" w:hAnsi="Arial"/>
          <w:sz w:val="18"/>
          <w:szCs w:val="18"/>
          <w:color w:val="231F20"/>
        </w:rPr>
        <w:t>an unrealized loss position, and it is not “more likely than not” that the Company will be required to sell these securities before a recovery in their value to their amortized cost basis occurs.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December 31, 2020</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9"/>
              </w:rPr>
              <w:t>Cost or</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Fair</w:t>
            </w:r>
          </w:p>
        </w:tc>
        <w:tc>
          <w:tcPr>
            <w:tcW w:w="13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Pr>
          <w:p>
            <w:pPr>
              <w:spacing w:after="0"/>
              <w:rPr>
                <w:sz w:val="11"/>
                <w:szCs w:val="11"/>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7"/>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maturity securities,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337,445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353,158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19.1 %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296,405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16.6 %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776,475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766,822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43.0 %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173"/>
        </w:trPr>
        <w:tc>
          <w:tcPr>
            <w:tcW w:w="3300" w:type="dxa"/>
            <w:vAlign w:val="bottom"/>
          </w:tcPr>
          <w:p>
            <w:pPr>
              <w:ind w:left="180"/>
              <w:spacing w:after="0" w:line="173" w:lineRule="exact"/>
              <w:rPr>
                <w:sz w:val="20"/>
                <w:szCs w:val="20"/>
                <w:color w:val="auto"/>
              </w:rPr>
            </w:pPr>
            <w:r>
              <w:rPr>
                <w:rFonts w:ascii="Arial" w:cs="Arial" w:eastAsia="Arial" w:hAnsi="Arial"/>
                <w:sz w:val="18"/>
                <w:szCs w:val="18"/>
                <w:color w:val="auto"/>
                <w:w w:val="97"/>
              </w:rPr>
              <w:t>U.S. Treasury securities and obligations</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88,409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89,499</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5.6 %</w:t>
            </w:r>
          </w:p>
        </w:tc>
        <w:tc>
          <w:tcPr>
            <w:tcW w:w="0" w:type="dxa"/>
            <w:vAlign w:val="bottom"/>
          </w:tcPr>
          <w:p>
            <w:pPr>
              <w:spacing w:after="0"/>
              <w:rPr>
                <w:sz w:val="1"/>
                <w:szCs w:val="1"/>
                <w:color w:val="auto"/>
              </w:rPr>
            </w:pPr>
          </w:p>
        </w:tc>
      </w:tr>
      <w:tr>
        <w:trPr>
          <w:trHeight w:val="224"/>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1,783,267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1,845,054</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18"/>
        </w:trPr>
        <w:tc>
          <w:tcPr>
            <w:tcW w:w="33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following table sets forth the composition of the Company’s portfolio of available-for-sale fixed maturity securities by rating as of </w:t>
      </w:r>
      <w:r>
        <w:rPr>
          <w:rFonts w:ascii="Arial" w:cs="Arial" w:eastAsia="Arial" w:hAnsi="Arial"/>
          <w:sz w:val="17"/>
          <w:szCs w:val="17"/>
          <w:color w:val="231F20"/>
        </w:rPr>
        <w:t>June 30, 2021</w:t>
      </w:r>
      <w:r>
        <w:rPr>
          <w:rFonts w:ascii="Arial" w:cs="Arial" w:eastAsia="Arial" w:hAnsi="Arial"/>
          <w:sz w:val="17"/>
          <w:szCs w:val="17"/>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676,529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1,845,054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At June 30, 2021, our portfolio of fixed maturity securities contained corporate fixed maturity securities (available-for-sale) with a fair value of $776.5 million. A summary of these securities by industry segment is shown below as of </w:t>
      </w:r>
      <w:r>
        <w:rPr>
          <w:rFonts w:ascii="Arial" w:cs="Arial" w:eastAsia="Arial" w:hAnsi="Arial"/>
          <w:sz w:val="18"/>
          <w:szCs w:val="18"/>
          <w:color w:val="231F20"/>
        </w:rPr>
        <w:t>June 30, 2021</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192,887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Health 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Utilities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Corporate fixed maturity securities (available-for-sale) include publicly traded securities and privately placed bonds as shown below as of </w:t>
      </w:r>
      <w:r>
        <w:rPr>
          <w:rFonts w:ascii="Arial" w:cs="Arial" w:eastAsia="Arial" w:hAnsi="Arial"/>
          <w:sz w:val="15"/>
          <w:szCs w:val="15"/>
          <w:color w:val="231F20"/>
        </w:rPr>
        <w:t>June 30, 2021</w:t>
      </w:r>
      <w:r>
        <w:rPr>
          <w:rFonts w:ascii="Arial" w:cs="Arial" w:eastAsia="Arial" w:hAnsi="Arial"/>
          <w:sz w:val="15"/>
          <w:szCs w:val="15"/>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Public/Private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of Total</w:t>
            </w:r>
          </w:p>
        </w:tc>
      </w:tr>
      <w:tr>
        <w:trPr>
          <w:trHeight w:val="181"/>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3"/>
          </w:tcPr>
          <w:p>
            <w:pPr>
              <w:jc w:val="right"/>
              <w:ind w:right="756"/>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90.5 %</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placed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776,475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amortized cost and fair value of our available-for-sale investments in fixed maturity securities summarized by contractual maturity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tcBorders>
              <w:bottom w:val="single" w:sz="8" w:color="auto"/>
            </w:tcBorders>
          </w:tcPr>
          <w:p>
            <w:pPr>
              <w:spacing w:after="0"/>
              <w:rPr>
                <w:sz w:val="16"/>
                <w:szCs w:val="16"/>
                <w:color w:val="auto"/>
              </w:rPr>
            </w:pPr>
          </w:p>
        </w:tc>
      </w:tr>
      <w:tr>
        <w:trPr>
          <w:trHeight w:val="131"/>
        </w:trPr>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100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6"/>
              <w:spacing w:after="0" w:line="131" w:lineRule="exact"/>
              <w:rPr>
                <w:sz w:val="20"/>
                <w:szCs w:val="20"/>
                <w:color w:val="auto"/>
              </w:rPr>
            </w:pPr>
            <w:r>
              <w:rPr>
                <w:rFonts w:ascii="Arial" w:cs="Arial" w:eastAsia="Arial" w:hAnsi="Arial"/>
                <w:sz w:val="14"/>
                <w:szCs w:val="14"/>
                <w:b w:val="1"/>
                <w:bCs w:val="1"/>
                <w:color w:val="auto"/>
              </w:rPr>
              <w:t>% of</w:t>
            </w:r>
          </w:p>
        </w:tc>
      </w:tr>
      <w:tr>
        <w:trPr>
          <w:trHeight w:val="185"/>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 Value</w:t>
            </w:r>
          </w:p>
        </w:tc>
      </w:tr>
      <w:tr>
        <w:trPr>
          <w:trHeight w:val="177"/>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5"/>
                <w:szCs w:val="15"/>
                <w:color w:val="auto"/>
              </w:rPr>
            </w:pP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122,086</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123,390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6.7 %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491,034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26.6 %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332,544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14.8 %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15.5 %</w:t>
            </w:r>
          </w:p>
        </w:tc>
      </w:tr>
      <w:tr>
        <w:trPr>
          <w:trHeight w:val="225"/>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339,941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r>
      <w:tr>
        <w:trPr>
          <w:trHeight w:val="219"/>
        </w:trPr>
        <w:tc>
          <w:tcPr>
            <w:tcW w:w="72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1,845,054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June 30, 2021, the Company had no investments in securitizations of alternative-A mortgages or sub-prime mortgages.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Interest expense was $2.2 million and $3.0 million for the three months ended June 30, 2021 and 2020, respectively ($4.5 million and $5.8 million for the respective six month periods). See “—Liquidity and Capital Resources—Sources and Uses of Funds” for more information regarding our senior bank debt facilities and trust preferred securities.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$91,000 and $149,000 of amortization of intangible assets for the three months ended June 30, 2021 and 2020, respectively ($182,000 and $298,000 for the respective six month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$108.3 million for the six months ended June 30, 2021 and recorded a U.S. federal income tax benefit of $25.7 million. The pre-tax loss was largely driven by the $166.7 million of net adverse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reserve development on prior accident years, including $161.2 million of net adverse development from the Excess and Surplus Lines segment that was primarily related to a former commercial auto account. For the six months ended June 30, 2021, our U.S. federal income tax benefit was 23.7% of the loss before taxes. The Company had a pre-tax loss of $1.5 million for the six months ended June 30, 2020 and recorded a U.S. federal income tax benefit of $257,000. For the six months ended June 30, 2020, our U.S. federal income tax benefit was 17.6% of the loss before taxes. The change in effective tax rate for the two periods reflects changes in reserve estimates between accident years in the commercial auto business, and the related impact on the mix of income reported by country in those respective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of Common Shares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James River paid a $17.0 million dividend to the U.S. holding company in the three months ended March 31, 2021, reducing the maximum amount of dividends available to the U.S. holding company from our U.S. insurance subsidiaries during the remainder of 2021 without regulatory approval to $11.6 million. However, insurance regulators have broad powers to prevent the reduction of statutory surplus to inadequate levels and could refuse to permit the payment of dividends calculated under any applicable formula.</w:t>
      </w:r>
    </w:p>
    <w:p>
      <w:pPr>
        <w:spacing w:after="0" w:line="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2021 is calculated to be approximately $153.8 million. However, any dividend payment is contingent upon continued compliance with Bermuda regulatory requirements, including but not limited to the enhanced solvency requirement calculations.</w:t>
      </w:r>
    </w:p>
    <w:p>
      <w:pPr>
        <w:spacing w:after="0" w:line="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At June 30, 2021, the Bermuda holding company had $1.8 million of cash and cash equivalents. The U.S. holding company had $16.6 million of cash and invested assets, comprised of cash and cash equivalents of $5.2 million and other invested assets of $11.4 million, which are not subject to regulatory restrictions. Additionally, our U.K. intermediate holding company had no invested assets and cash of less than ten thousand dollars at June 30,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June 30, 2021:</w:t>
      </w:r>
    </w:p>
    <w:p>
      <w:pPr>
        <w:spacing w:after="0" w:line="75" w:lineRule="exact"/>
        <w:rPr>
          <w:sz w:val="20"/>
          <w:szCs w:val="20"/>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June 30, 2021, the Company had $89.5 million of letters of credit issued under the secured facility.</w:t>
      </w:r>
    </w:p>
    <w:p>
      <w:pPr>
        <w:spacing w:after="0" w:line="82"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1.625% and is subject to change according to terms in the credit agreement. At June 30, 2021, the Company had a drawn balance of $185.8 million outstanding on the unsecured revolver.</w:t>
      </w:r>
    </w:p>
    <w:p>
      <w:pPr>
        <w:spacing w:after="0" w:line="8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June 30, 2021.</w:t>
      </w:r>
    </w:p>
    <w:p>
      <w:pPr>
        <w:spacing w:after="0" w:line="75"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June 30, 2021.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June 30, 2021, unsecured loans of $61.5 million and secured letters of credit totaling $15.1 million were outstanding on the 2017 Facility.</w:t>
      </w:r>
    </w:p>
    <w:p>
      <w:pPr>
        <w:spacing w:after="0" w:line="26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June 30, 2021, and which, among other things, restrict our ability to assume senior indebtedness secured by our U.S. holding company’s common stock or its subsidiaries’ capital stock or to issue shares of its subsidiaries’ capital stock.</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June 30, 2021 (including the Company’s repurchases of a portion of these trust preferred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Franklin</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James River</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Holdings II</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(Bermuda)</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3"/>
              </w:rPr>
              <w:t>Capital Trust</w:t>
            </w: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Capital Trust</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Capital Trust</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Capital Trust</w:t>
            </w: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Capital Trust</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5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I</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III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jc w:val="center"/>
              <w:ind w:left="37"/>
              <w:spacing w:after="0"/>
              <w:rPr>
                <w:sz w:val="20"/>
                <w:szCs w:val="20"/>
                <w:color w:val="auto"/>
              </w:rPr>
            </w:pPr>
            <w:r>
              <w:rPr>
                <w:rFonts w:ascii="Arial" w:cs="Arial" w:eastAsia="Arial" w:hAnsi="Arial"/>
                <w:sz w:val="14"/>
                <w:szCs w:val="14"/>
                <w:b w:val="1"/>
                <w:bCs w:val="1"/>
                <w:i w:val="1"/>
                <w:iCs w:val="1"/>
                <w:color w:val="auto"/>
                <w:w w:val="86"/>
              </w:rPr>
              <w:t>($ in thousands)</w:t>
            </w: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Issue date</w:t>
            </w:r>
          </w:p>
        </w:tc>
        <w:tc>
          <w:tcPr>
            <w:tcW w:w="1540" w:type="dxa"/>
            <w:vAlign w:val="bottom"/>
            <w:shd w:val="clear" w:color="auto" w:fill="CCEEFF"/>
          </w:tcPr>
          <w:p>
            <w:pPr>
              <w:jc w:val="center"/>
              <w:ind w:right="36"/>
              <w:spacing w:after="0" w:line="176" w:lineRule="exact"/>
              <w:rPr>
                <w:sz w:val="20"/>
                <w:szCs w:val="20"/>
                <w:color w:val="auto"/>
              </w:rPr>
            </w:pPr>
            <w:r>
              <w:rPr>
                <w:rFonts w:ascii="Arial" w:cs="Arial" w:eastAsia="Arial" w:hAnsi="Arial"/>
                <w:sz w:val="18"/>
                <w:szCs w:val="18"/>
                <w:color w:val="auto"/>
                <w:w w:val="90"/>
              </w:rPr>
              <w:t>May 26,</w:t>
            </w:r>
          </w:p>
        </w:tc>
        <w:tc>
          <w:tcPr>
            <w:tcW w:w="1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December 15,</w:t>
            </w: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3"/>
              </w:rPr>
              <w:t>June 15,</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December 11, 2007</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January 10,</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9"/>
              </w:rPr>
              <w:t>2004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1580" w:type="dxa"/>
            <w:vAlign w:val="bottom"/>
            <w:vMerge w:val="continue"/>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Principal amount of trust preferred securities</w:t>
            </w:r>
          </w:p>
        </w:tc>
        <w:tc>
          <w:tcPr>
            <w:tcW w:w="1540" w:type="dxa"/>
            <w:vAlign w:val="bottom"/>
          </w:tcPr>
          <w:p>
            <w:pPr>
              <w:jc w:val="center"/>
              <w:ind w:right="56"/>
              <w:spacing w:after="0"/>
              <w:rPr>
                <w:sz w:val="20"/>
                <w:szCs w:val="20"/>
                <w:color w:val="auto"/>
              </w:rPr>
            </w:pPr>
            <w:r>
              <w:rPr>
                <w:rFonts w:ascii="Arial" w:cs="Arial" w:eastAsia="Arial" w:hAnsi="Arial"/>
                <w:sz w:val="18"/>
                <w:szCs w:val="18"/>
                <w:color w:val="auto"/>
                <w:w w:val="87"/>
              </w:rPr>
              <w:t>$7,000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$30,000</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junior subordinated debt</w:t>
            </w:r>
          </w:p>
        </w:tc>
        <w:tc>
          <w:tcPr>
            <w:tcW w:w="15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$7,217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$30,928</w:t>
            </w:r>
          </w:p>
        </w:tc>
        <w:tc>
          <w:tcPr>
            <w:tcW w:w="0" w:type="dxa"/>
            <w:vAlign w:val="bottom"/>
          </w:tcPr>
          <w:p>
            <w:pPr>
              <w:spacing w:after="0"/>
              <w:rPr>
                <w:sz w:val="1"/>
                <w:szCs w:val="1"/>
                <w:color w:val="auto"/>
              </w:rPr>
            </w:pPr>
          </w:p>
        </w:tc>
      </w:tr>
      <w:tr>
        <w:trPr>
          <w:trHeight w:val="173"/>
        </w:trPr>
        <w:tc>
          <w:tcPr>
            <w:tcW w:w="3680" w:type="dxa"/>
            <w:vAlign w:val="bottom"/>
          </w:tcPr>
          <w:p>
            <w:pPr>
              <w:ind w:left="20"/>
              <w:spacing w:after="0" w:line="173" w:lineRule="exact"/>
              <w:rPr>
                <w:sz w:val="20"/>
                <w:szCs w:val="20"/>
                <w:color w:val="auto"/>
              </w:rPr>
            </w:pPr>
            <w:r>
              <w:rPr>
                <w:rFonts w:ascii="Arial" w:cs="Arial" w:eastAsia="Arial" w:hAnsi="Arial"/>
                <w:sz w:val="18"/>
                <w:szCs w:val="18"/>
                <w:color w:val="auto"/>
                <w:w w:val="90"/>
              </w:rPr>
              <w:t>Carrying amount of junior subordinated debt net of</w:t>
            </w:r>
          </w:p>
        </w:tc>
        <w:tc>
          <w:tcPr>
            <w:tcW w:w="1540" w:type="dxa"/>
            <w:vAlign w:val="bottom"/>
            <w:vMerge w:val="restart"/>
          </w:tcPr>
          <w:p>
            <w:pPr>
              <w:jc w:val="center"/>
              <w:ind w:right="56"/>
              <w:spacing w:after="0"/>
              <w:rPr>
                <w:sz w:val="20"/>
                <w:szCs w:val="20"/>
                <w:color w:val="auto"/>
              </w:rPr>
            </w:pPr>
            <w:r>
              <w:rPr>
                <w:rFonts w:ascii="Arial" w:cs="Arial" w:eastAsia="Arial" w:hAnsi="Arial"/>
                <w:sz w:val="18"/>
                <w:szCs w:val="18"/>
                <w:color w:val="auto"/>
                <w:w w:val="87"/>
              </w:rPr>
              <w:t>$7,217</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$15,464</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9"/>
              </w:rPr>
              <w:t>$20,619</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9"/>
              </w:rPr>
              <w:t>$44,827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6"/>
              </w:rPr>
              <w:t>$15,928</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54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Maturity date of junior subordinated debt, unless</w:t>
            </w:r>
          </w:p>
        </w:tc>
        <w:tc>
          <w:tcPr>
            <w:tcW w:w="1540" w:type="dxa"/>
            <w:vAlign w:val="bottom"/>
            <w:shd w:val="clear" w:color="auto" w:fill="CCEEFF"/>
          </w:tcPr>
          <w:p>
            <w:pPr>
              <w:jc w:val="center"/>
              <w:ind w:right="36"/>
              <w:spacing w:after="0" w:line="174" w:lineRule="exact"/>
              <w:rPr>
                <w:sz w:val="20"/>
                <w:szCs w:val="20"/>
                <w:color w:val="auto"/>
              </w:rPr>
            </w:pPr>
            <w:r>
              <w:rPr>
                <w:rFonts w:ascii="Arial" w:cs="Arial" w:eastAsia="Arial" w:hAnsi="Arial"/>
                <w:sz w:val="18"/>
                <w:szCs w:val="18"/>
                <w:color w:val="auto"/>
                <w:w w:val="90"/>
              </w:rPr>
              <w:t>May 24,</w:t>
            </w:r>
          </w:p>
        </w:tc>
        <w:tc>
          <w:tcPr>
            <w:tcW w:w="138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6"/>
              </w:rPr>
              <w:t>December 15,</w:t>
            </w:r>
          </w:p>
        </w:tc>
        <w:tc>
          <w:tcPr>
            <w:tcW w:w="158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3"/>
              </w:rPr>
              <w:t>June 15,</w:t>
            </w:r>
          </w:p>
        </w:tc>
        <w:tc>
          <w:tcPr>
            <w:tcW w:w="158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December 15,</w:t>
            </w:r>
          </w:p>
        </w:tc>
        <w:tc>
          <w:tcPr>
            <w:tcW w:w="14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9"/>
              </w:rPr>
              <w:t>March 15,</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earlier</w:t>
            </w:r>
          </w:p>
        </w:tc>
        <w:tc>
          <w:tcPr>
            <w:tcW w:w="15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9"/>
              </w:rPr>
              <w:t>2034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2034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2036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Trust common stock</w:t>
            </w:r>
          </w:p>
        </w:tc>
        <w:tc>
          <w:tcPr>
            <w:tcW w:w="1540" w:type="dxa"/>
            <w:vAlign w:val="bottom"/>
          </w:tcPr>
          <w:p>
            <w:pPr>
              <w:jc w:val="center"/>
              <w:ind w:right="56"/>
              <w:spacing w:after="0"/>
              <w:rPr>
                <w:sz w:val="20"/>
                <w:szCs w:val="20"/>
                <w:color w:val="auto"/>
              </w:rPr>
            </w:pPr>
            <w:r>
              <w:rPr>
                <w:rFonts w:ascii="Arial" w:cs="Arial" w:eastAsia="Arial" w:hAnsi="Arial"/>
                <w:sz w:val="18"/>
                <w:szCs w:val="18"/>
                <w:color w:val="auto"/>
                <w:w w:val="89"/>
              </w:rPr>
              <w:t>$217</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$464</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$619</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$1,670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Interest rate, per annum</w:t>
            </w:r>
          </w:p>
        </w:tc>
        <w:tc>
          <w:tcPr>
            <w:tcW w:w="1540" w:type="dxa"/>
            <w:vAlign w:val="bottom"/>
            <w:vMerge w:val="restart"/>
            <w:shd w:val="clear" w:color="auto" w:fill="CCEEFF"/>
          </w:tcPr>
          <w:p>
            <w:pPr>
              <w:jc w:val="center"/>
              <w:ind w:right="36"/>
              <w:spacing w:after="0"/>
              <w:rPr>
                <w:sz w:val="20"/>
                <w:szCs w:val="20"/>
                <w:color w:val="auto"/>
              </w:rPr>
            </w:pPr>
            <w:r>
              <w:rPr>
                <w:rFonts w:ascii="Arial" w:cs="Arial" w:eastAsia="Arial" w:hAnsi="Arial"/>
                <w:sz w:val="18"/>
                <w:szCs w:val="18"/>
                <w:color w:val="auto"/>
                <w:w w:val="91"/>
              </w:rPr>
              <w:t>Three-Month</w:t>
            </w:r>
          </w:p>
        </w:tc>
        <w:tc>
          <w:tcPr>
            <w:tcW w:w="138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1"/>
              </w:rPr>
              <w:t>Three-Month</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Three-Month</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Three-Month</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3"/>
              </w:rPr>
              <w:t>LIBOR plus</w:t>
            </w:r>
          </w:p>
        </w:tc>
        <w:tc>
          <w:tcPr>
            <w:tcW w:w="1580" w:type="dxa"/>
            <w:vAlign w:val="bottom"/>
            <w:vMerge w:val="continue"/>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92"/>
              </w:rPr>
              <w:t>LIBOR plus 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5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2"/>
              </w:rPr>
              <w:t>LIBOR plus 3.0%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LIBOR plus 3.1%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LIBOR plus 4.0%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debt contains certain covenants with which we are in compliance as of June 30, 2021.</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June 30, 2021 and December 31, 2020, the Company's leverage ratio was 27.5% and 30.4%,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 35.0%. Having debt as part of our capital structure allows us to generate a higher return on equity and greater book value per share results than we could by using equity capital alone.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1"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2021 and 2020, our net premium retention was 50.9% and 55.0%, respectively (48.9% and 51.3% for the six month periods, respectively.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June 30,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56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Company Retention</w:t>
            </w:r>
          </w:p>
        </w:tc>
        <w:tc>
          <w:tcPr>
            <w:tcW w:w="0" w:type="dxa"/>
            <w:vAlign w:val="bottom"/>
          </w:tcPr>
          <w:p>
            <w:pPr>
              <w:spacing w:after="0"/>
              <w:rPr>
                <w:sz w:val="1"/>
                <w:szCs w:val="1"/>
                <w:color w:val="auto"/>
              </w:rPr>
            </w:pPr>
          </w:p>
        </w:tc>
      </w:tr>
      <w:tr>
        <w:trPr>
          <w:trHeight w:val="224"/>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260"/>
              <w:spacing w:after="0" w:line="174" w:lineRule="exact"/>
              <w:rPr>
                <w:sz w:val="20"/>
                <w:szCs w:val="20"/>
                <w:color w:val="auto"/>
              </w:rPr>
            </w:pPr>
            <w:r>
              <w:rPr>
                <w:rFonts w:ascii="Arial" w:cs="Arial" w:eastAsia="Arial" w:hAnsi="Arial"/>
                <w:sz w:val="18"/>
                <w:szCs w:val="18"/>
                <w:color w:val="auto"/>
              </w:rPr>
              <w:t>Primary Specialty Casualty, including Professional</w:t>
            </w:r>
          </w:p>
        </w:tc>
        <w:tc>
          <w:tcPr>
            <w:tcW w:w="6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 xml:space="preserve">Up to $1.0 million per occurrence, subject to a $1.0 million aggregate deductible. </w:t>
            </w:r>
            <w:r>
              <w:rPr>
                <w:rFonts w:ascii="Arial" w:cs="Arial" w:eastAsia="Arial" w:hAnsi="Arial"/>
                <w:sz w:val="14"/>
                <w:szCs w:val="14"/>
                <w:i w:val="1"/>
                <w:iCs w:val="1"/>
                <w:color w:val="auto"/>
                <w:w w:val="98"/>
              </w:rPr>
              <w:t>(1)</w:t>
            </w:r>
          </w:p>
        </w:tc>
        <w:tc>
          <w:tcPr>
            <w:tcW w:w="0" w:type="dxa"/>
            <w:vAlign w:val="bottom"/>
          </w:tcPr>
          <w:p>
            <w:pPr>
              <w:spacing w:after="0"/>
              <w:rPr>
                <w:sz w:val="1"/>
                <w:szCs w:val="1"/>
                <w:color w:val="auto"/>
              </w:rPr>
            </w:pPr>
          </w:p>
        </w:tc>
      </w:tr>
      <w:tr>
        <w:trPr>
          <w:trHeight w:val="224"/>
        </w:trPr>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Liability</w:t>
            </w:r>
          </w:p>
        </w:tc>
        <w:tc>
          <w:tcPr>
            <w:tcW w:w="6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gridSpan w:val="2"/>
          </w:tcPr>
          <w:p>
            <w:pPr>
              <w:ind w:left="260"/>
              <w:spacing w:after="0"/>
              <w:rPr>
                <w:sz w:val="20"/>
                <w:szCs w:val="20"/>
                <w:color w:val="auto"/>
              </w:rPr>
            </w:pPr>
            <w:r>
              <w:rPr>
                <w:rFonts w:ascii="Arial" w:cs="Arial" w:eastAsia="Arial" w:hAnsi="Arial"/>
                <w:sz w:val="18"/>
                <w:szCs w:val="18"/>
                <w:color w:val="auto"/>
              </w:rPr>
              <w:t>Primary Casualty</w:t>
            </w:r>
          </w:p>
        </w:tc>
        <w:tc>
          <w:tcPr>
            <w:tcW w:w="6560" w:type="dxa"/>
            <w:vAlign w:val="bottom"/>
          </w:tcPr>
          <w:p>
            <w:pPr>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226"/>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Excess Casualty</w:t>
            </w: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4"/>
                <w:szCs w:val="14"/>
                <w:i w:val="1"/>
                <w:iCs w:val="1"/>
                <w:color w:val="auto"/>
              </w:rPr>
              <w:t>(3)</w:t>
            </w:r>
          </w:p>
        </w:tc>
        <w:tc>
          <w:tcPr>
            <w:tcW w:w="0" w:type="dxa"/>
            <w:vAlign w:val="bottom"/>
          </w:tcPr>
          <w:p>
            <w:pPr>
              <w:spacing w:after="0"/>
              <w:rPr>
                <w:sz w:val="1"/>
                <w:szCs w:val="1"/>
                <w:color w:val="auto"/>
              </w:rPr>
            </w:pPr>
          </w:p>
        </w:tc>
      </w:tr>
      <w:tr>
        <w:trPr>
          <w:trHeight w:val="224"/>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6560" w:type="dxa"/>
            <w:vAlign w:val="bottom"/>
          </w:tcPr>
          <w:p>
            <w:pPr>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58" w:lineRule="exact"/>
        <w:rPr>
          <w:rFonts w:ascii="Arial" w:cs="Arial" w:eastAsia="Arial" w:hAnsi="Arial"/>
          <w:sz w:val="18"/>
          <w:szCs w:val="18"/>
          <w:i w:val="1"/>
          <w:iCs w:val="1"/>
          <w:color w:val="auto"/>
        </w:rPr>
      </w:pPr>
    </w:p>
    <w:p>
      <w:pPr>
        <w:ind w:left="320" w:hanging="314"/>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58" w:lineRule="exact"/>
        <w:rPr>
          <w:rFonts w:ascii="Arial" w:cs="Arial" w:eastAsia="Arial" w:hAnsi="Arial"/>
          <w:sz w:val="18"/>
          <w:szCs w:val="18"/>
          <w:i w:val="1"/>
          <w:iCs w:val="1"/>
          <w:color w:val="auto"/>
        </w:rPr>
      </w:pPr>
    </w:p>
    <w:p>
      <w:pPr>
        <w:ind w:left="320" w:hanging="314"/>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69" w:lineRule="exact"/>
        <w:rPr>
          <w:rFonts w:ascii="Arial" w:cs="Arial" w:eastAsia="Arial" w:hAnsi="Arial"/>
          <w:sz w:val="17"/>
          <w:szCs w:val="17"/>
          <w:color w:val="auto"/>
        </w:rPr>
      </w:pPr>
    </w:p>
    <w:p>
      <w:pPr>
        <w:ind w:left="320" w:hanging="314"/>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of property catastrophe reinsurance. In the event of a catastrophe loss exhausting our $45.0 million of property catastrophe reinsurance, we estimate our pre-tax cost at approximately $7.5 million, including reinstatement premiums and net retentions. In addition to this retention, we would retain any losses in excess of our reinsurance coverage limits.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could enter into a transaction to transfer the risks associated with all or part of our commercial auto business. It is uncertain whether we will enter into any such transaction, or the terms of any such transaction should one be consummated.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June 30,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Line of Business</w:t>
            </w:r>
          </w:p>
        </w:tc>
        <w:tc>
          <w:tcPr>
            <w:tcW w:w="400" w:type="dxa"/>
            <w:vAlign w:val="bottom"/>
          </w:tcPr>
          <w:p>
            <w:pPr>
              <w:spacing w:after="0"/>
              <w:rPr>
                <w:sz w:val="16"/>
                <w:szCs w:val="16"/>
                <w:color w:val="auto"/>
              </w:rPr>
            </w:pPr>
          </w:p>
        </w:tc>
        <w:tc>
          <w:tcPr>
            <w:tcW w:w="742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2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19"/>
                <w:szCs w:val="19"/>
                <w:color w:val="auto"/>
              </w:rPr>
            </w:pPr>
          </w:p>
        </w:tc>
      </w:tr>
      <w:tr>
        <w:trPr>
          <w:trHeight w:val="173"/>
        </w:trPr>
        <w:tc>
          <w:tcPr>
            <w:tcW w:w="3780" w:type="dxa"/>
            <w:vAlign w:val="bottom"/>
            <w:gridSpan w:val="2"/>
            <w:shd w:val="clear" w:color="auto" w:fill="CCEEFF"/>
          </w:tcPr>
          <w:p>
            <w:pPr>
              <w:ind w:left="180"/>
              <w:spacing w:after="0" w:line="173"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rPr>
              <w:t>Quota share coverage for 70-85% of the first $1.0 million.</w:t>
            </w:r>
            <w:r>
              <w:rPr>
                <w:rFonts w:ascii="Arial" w:cs="Arial" w:eastAsia="Arial" w:hAnsi="Arial"/>
                <w:sz w:val="20"/>
                <w:szCs w:val="20"/>
                <w:color w:val="auto"/>
                <w:vertAlign w:val="superscript"/>
              </w:rPr>
              <w:t>(1)(2)</w:t>
            </w:r>
          </w:p>
        </w:tc>
      </w:tr>
      <w:tr>
        <w:trPr>
          <w:trHeight w:val="225"/>
        </w:trPr>
        <w:tc>
          <w:tcPr>
            <w:tcW w:w="3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2"/>
                <w:szCs w:val="22"/>
                <w:color w:val="auto"/>
                <w:vertAlign w:val="superscript"/>
              </w:rPr>
              <w:t>(1)(2)</w:t>
            </w:r>
          </w:p>
        </w:tc>
      </w:tr>
      <w:tr>
        <w:trPr>
          <w:trHeight w:val="173"/>
        </w:trPr>
        <w:tc>
          <w:tcPr>
            <w:tcW w:w="378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1"/>
              </w:rPr>
              <w:t>Quota share coverage for 70-90% of limits up to $1.5 million liability and $5.0 million physical damage</w:t>
            </w:r>
          </w:p>
        </w:tc>
      </w:tr>
      <w:tr>
        <w:trPr>
          <w:trHeight w:val="224"/>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per occurrence.</w:t>
            </w:r>
          </w:p>
        </w:tc>
      </w:tr>
      <w:tr>
        <w:trPr>
          <w:trHeight w:val="174"/>
        </w:trPr>
        <w:tc>
          <w:tcPr>
            <w:tcW w:w="3780" w:type="dxa"/>
            <w:vAlign w:val="bottom"/>
            <w:gridSpan w:val="2"/>
            <w:shd w:val="clear" w:color="auto" w:fill="CCEEFF"/>
          </w:tcPr>
          <w:p>
            <w:pPr>
              <w:ind w:left="140"/>
              <w:spacing w:after="0" w:line="174"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Quota share coverage for 70% - 100% of limits up to $3.0 million per occurrence.</w:t>
            </w:r>
          </w:p>
        </w:tc>
      </w:tr>
      <w:tr>
        <w:trPr>
          <w:trHeight w:val="224"/>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3"/>
        </w:trPr>
        <w:tc>
          <w:tcPr>
            <w:tcW w:w="3780" w:type="dxa"/>
            <w:vAlign w:val="bottom"/>
            <w:gridSpan w:val="2"/>
          </w:tcPr>
          <w:p>
            <w:pPr>
              <w:ind w:left="140"/>
              <w:spacing w:after="0" w:line="173"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2"/>
              </w:rPr>
              <w:t>Quota share coverage for 95%-100% of limits up to $10.0 million per occurrence, and excess of loss</w:t>
            </w:r>
          </w:p>
        </w:tc>
      </w:tr>
      <w:tr>
        <w:trPr>
          <w:trHeight w:val="224"/>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coverage for $5.0 million in excess of $10.0 million.</w:t>
            </w:r>
          </w:p>
        </w:tc>
      </w:tr>
      <w:tr>
        <w:trPr>
          <w:trHeight w:val="22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Quota share coverage for 100% of limits up to $25.0 million per occurrence. </w:t>
            </w:r>
            <w:r>
              <w:rPr>
                <w:rFonts w:ascii="Arial" w:cs="Arial" w:eastAsia="Arial" w:hAnsi="Arial"/>
                <w:sz w:val="22"/>
                <w:szCs w:val="22"/>
                <w:color w:val="auto"/>
                <w:vertAlign w:val="superscript"/>
              </w:rPr>
              <w:t>(3)</w:t>
            </w:r>
          </w:p>
        </w:tc>
      </w:tr>
      <w:tr>
        <w:trPr>
          <w:trHeight w:val="22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1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80% of limits up to $20 million liability and $2.5 million hull per occurrence,</w:t>
            </w:r>
          </w:p>
        </w:tc>
      </w:tr>
      <w:tr>
        <w:trPr>
          <w:trHeight w:val="199"/>
        </w:trPr>
        <w:tc>
          <w:tcPr>
            <w:tcW w:w="3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w w:val="88"/>
              </w:rPr>
              <w:t>each aircraft; and excess of loss coverage for up to $7.3M excess of $200 thousand of our 20% share of</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quota share each occurrence.</w:t>
            </w:r>
          </w:p>
        </w:tc>
      </w:tr>
    </w:tbl>
    <w:p>
      <w:pPr>
        <w:spacing w:after="0" w:line="186" w:lineRule="exact"/>
        <w:rPr>
          <w:sz w:val="20"/>
          <w:szCs w:val="20"/>
          <w:color w:val="auto"/>
        </w:rPr>
      </w:pPr>
    </w:p>
    <w:p>
      <w:pPr>
        <w:ind w:left="320" w:hanging="314"/>
        <w:spacing w:after="0" w:line="264" w:lineRule="auto"/>
        <w:tabs>
          <w:tab w:leader="none" w:pos="398"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84.5% of the first $1.0 million per occurrence and excess of loss coverage for $49.0 million in excess of $1.0 million per occurrence.</w:t>
      </w:r>
    </w:p>
    <w:p>
      <w:pPr>
        <w:spacing w:after="0" w:line="21" w:lineRule="exact"/>
        <w:rPr>
          <w:rFonts w:ascii="Arial" w:cs="Arial" w:eastAsia="Arial" w:hAnsi="Arial"/>
          <w:sz w:val="18"/>
          <w:szCs w:val="18"/>
          <w:i w:val="1"/>
          <w:iCs w:val="1"/>
          <w:color w:val="auto"/>
        </w:rPr>
      </w:pPr>
    </w:p>
    <w:p>
      <w:pPr>
        <w:ind w:left="380" w:hanging="374"/>
        <w:spacing w:after="0"/>
        <w:tabs>
          <w:tab w:leader="none" w:pos="3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1" w:lineRule="exact"/>
        <w:rPr>
          <w:rFonts w:ascii="Arial" w:cs="Arial" w:eastAsia="Arial" w:hAnsi="Arial"/>
          <w:sz w:val="18"/>
          <w:szCs w:val="18"/>
          <w:i w:val="1"/>
          <w:iCs w:val="1"/>
          <w:color w:val="auto"/>
        </w:rPr>
      </w:pPr>
    </w:p>
    <w:p>
      <w:pPr>
        <w:ind w:left="320" w:hanging="314"/>
        <w:spacing w:after="0" w:line="264" w:lineRule="auto"/>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a reinsurance coverage for 90% of the first $500,000 and excess of loss coverage for $39.5 million in excess of $500,000 per risk per occurrence.</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$16.0 million, inclusive of reinstatement premiums payable.</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June 30, 2021, our average net retained limit per risk is $2.5 million.</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2021, the allowance for credit losses on reinsurance recoverables was $335,000.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June 30, 2021, we had reinsurance recoverables on unpaid losses of $935.6 million and reinsurance recoverables on paid losses of $52.9 million, and all material recoverable amounts were from companies with A.M. Best ratings of “A-” or better, collateral had been posted by the reinsurer for our benefit, or represent recoverables from a state residual market for automobile insurance.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arrangement established in favor of the Company by a captive insurance company affiliate of Rasier. As of June 30, 2021, the cash equivalent collateral held in the collateral trust arrangement was approximately $820.8 million, of which approximately $97.3 million is held in a collateral trust account established in favor of the Company, and $723.5 million of which remains from the amount withdrawn from the collateral trust account in October of 2019, as permitted under our indemnification agreements with Rasier and the associated trust agreement, and is currently held on our balance sheet. The funds withdrawn from the trust account, currently invested in short term securities and included in restricted cash equivalents on the Company's condensed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77"/>
        </w:trPr>
        <w:tc>
          <w:tcPr>
            <w:tcW w:w="8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5"/>
                <w:szCs w:val="15"/>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(used in) provided by: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(93,003)</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(136,231)</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w:t>
            </w: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39,130</w:t>
            </w: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Cash used in operating activities for the six months ended June 30, 2021 and 2020, respectively, primarily reflects $136.4 million and $178.3 million of restricted cash equivalents returned to a former insured per the terms of a collateral trust (see </w:t>
      </w:r>
      <w:r>
        <w:rPr>
          <w:rFonts w:ascii="Arial" w:cs="Arial" w:eastAsia="Arial" w:hAnsi="Arial"/>
          <w:sz w:val="15"/>
          <w:szCs w:val="15"/>
          <w:i w:val="1"/>
          <w:iCs w:val="1"/>
          <w:color w:val="auto"/>
        </w:rPr>
        <w:t>Amounts Recoverable from an Indemnifying Party</w:t>
      </w:r>
      <w:r>
        <w:rPr>
          <w:rFonts w:ascii="Arial" w:cs="Arial" w:eastAsia="Arial" w:hAnsi="Arial"/>
          <w:sz w:val="15"/>
          <w:szCs w:val="15"/>
          <w:color w:val="auto"/>
        </w:rPr>
        <w:t xml:space="preserve"> above). Excluding the reduction in the collateral funds, cash provided by operating activities was $43.4 million and $42.1 million for the six months ended June 30, 2021 and 2020, respectively. Cash provided by operating activities excluding restricted cash equivalents for the six months ended June 30, 2021 and 2020 primarily reflects growth in our U.S. segments and the collection of premiums receivable at a quicker rate than payments of loss and loss adjustment expenses.</w:t>
      </w:r>
    </w:p>
    <w:p>
      <w:pPr>
        <w:spacing w:after="0" w:line="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investments. Cash and cash equivalents (excluding restricted cash equivalents) comprised 14.1% and 8.9% of total cash and invested assets at June 30, 2021 and 2020, respectively.</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Cash provided by financing activities for the six months ended June 30, 2021 and 2020 included $20.8 million and $18.6 million of dividends paid to shareholders, respectively. On May 10, 2021, the Company closed on a public offering of its common shares. The Company received net proceeds (before expenses) of $192.1 million. The proceeds were used for general corporate purposes. In the six months ended June 30, 2020, we drew a net $59.0 million on our senior credit facilities as a precautionary measure to increase our cash position and preserve financial flexibility in light of uncertainty in the global markets resulting from the coronavirus (COVID-19) outbreak.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A.M. Best financial strength rating for our group’s regulated insurance and reinsurance subsidiaries is “A-” (Excellent) with a negative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also issued 128,801 common shares in the six months ended June 30, 2021 related to outstanding equity incentive plan awards. Of the new shares issued, 16,471 were related to employee stock option exercises and 112,330 were related to vesting of restricted share units (“RSUs”).</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Offering and the issuances related to equity incentive plan awards, the total common shares outstanding increased from 30,649,261 at December 31, 2020 to 37,275,562 at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For each of the three months ended June 30, 2021 and 2020, the Company recognized $1.9 million of share based compensation expense ($3.8 million in each of the six month periods). As of June 30, 2021, the Company had $13.2 million of unrecognized share based compensation expense expected to be charged to earnings over a weighted-average period of 2.1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2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463,324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(29,884)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614,710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jc w:val="right"/>
              <w:ind w:right="261"/>
              <w:spacing w:after="0" w:line="127"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right"/>
              <w:ind w:right="80"/>
              <w:spacing w:after="0" w:line="12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3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3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9"/>
        </w:trPr>
        <w:tc>
          <w:tcPr>
            <w:tcW w:w="50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tcPr>
          <w:p>
            <w:pPr>
              <w:ind w:left="340"/>
              <w:spacing w:after="0"/>
              <w:rPr>
                <w:sz w:val="20"/>
                <w:szCs w:val="20"/>
                <w:color w:val="auto"/>
              </w:rPr>
            </w:pPr>
            <w:r>
              <w:rPr>
                <w:rFonts w:ascii="Arial" w:cs="Arial" w:eastAsia="Arial" w:hAnsi="Arial"/>
                <w:sz w:val="18"/>
                <w:szCs w:val="18"/>
                <w:color w:val="auto"/>
              </w:rPr>
              <w:t>Unvested, 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399,856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340,368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5"/>
        </w:trPr>
        <w:tc>
          <w:tcPr>
            <w:tcW w:w="5060" w:type="dxa"/>
            <w:vAlign w:val="bottom"/>
          </w:tcPr>
          <w:p>
            <w:pPr>
              <w:ind w:left="50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(164,957)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(147,260)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9"/>
        </w:trPr>
        <w:tc>
          <w:tcPr>
            <w:tcW w:w="5060" w:type="dxa"/>
            <w:vAlign w:val="bottom"/>
          </w:tcPr>
          <w:p>
            <w:pPr>
              <w:ind w:left="340"/>
              <w:spacing w:after="0"/>
              <w:rPr>
                <w:sz w:val="20"/>
                <w:szCs w:val="20"/>
                <w:color w:val="auto"/>
              </w:rPr>
            </w:pPr>
            <w:r>
              <w:rPr>
                <w:rFonts w:ascii="Arial" w:cs="Arial" w:eastAsia="Arial" w:hAnsi="Arial"/>
                <w:sz w:val="18"/>
                <w:szCs w:val="18"/>
                <w:color w:val="auto"/>
              </w:rPr>
              <w:t>Unvested, 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348,765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355,278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the underwriting profit (loss) by individual segment and for the entire Company to consolidated income (loss) before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5"/>
        </w:trPr>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79"/>
        </w:trPr>
        <w:tc>
          <w:tcPr>
            <w:tcW w:w="5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insurance segments: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16,095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(124,029)</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24,207</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insurance segments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w:t>
            </w:r>
          </w:p>
        </w:tc>
      </w:tr>
      <w:tr>
        <w:trPr>
          <w:trHeight w:val="22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36,186</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(36,814)</w:t>
            </w: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2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40" w:right="120" w:hanging="316"/>
        <w:spacing w:after="0" w:line="264" w:lineRule="auto"/>
        <w:tabs>
          <w:tab w:leader="none" w:pos="634"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2021 is gross fee income of $5.4 million and $10.6 million, respectively ($5.7 million and $11.2 million for the same periods in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 (Loss)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operating income (loss) as net income (loss)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income (loss) as an internal performance measure in the management of our operations because we believe it gives our management and other users of our financial information useful insight into our results of operations and our underlying business performance. Adjusted net operating income (loss) should not be viewed as a substitute for net income (loss) calculated in accordance with GAAP, and our definition of adjusted net operating income (loss) may not be comparable to that of other companies.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(loss) before taxes and net income (loss) reconcile to our adjusted net operating income (loss)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1"/>
                <w:szCs w:val="11"/>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1"/>
                <w:szCs w:val="11"/>
                <w:color w:val="auto"/>
              </w:rPr>
            </w:pPr>
          </w:p>
        </w:tc>
        <w:tc>
          <w:tcPr>
            <w:tcW w:w="100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1"/>
                <w:szCs w:val="11"/>
                <w:color w:val="auto"/>
              </w:rPr>
            </w:pPr>
          </w:p>
        </w:tc>
        <w:tc>
          <w:tcPr>
            <w:tcW w:w="10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85"/>
              </w:rPr>
              <w:t>Before</w:t>
            </w: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1"/>
                <w:szCs w:val="11"/>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88"/>
              </w:rPr>
              <w:t>(Loss) Income</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Net (Loss) Income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5"/>
          </w:tcPr>
          <w:p>
            <w:pPr>
              <w:ind w:left="600"/>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as reported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32,470</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six months ended June 30, 2021, our tangible equity per share decreased by 8.8%. Absent the $20.6 million in dividends to shareholders in the six months ended June 30, 2021, our tangible equity per share decreased by 5.6% for the six months ended June 30, 2021.</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June 30, 2021 and December 31, 2020 and reconciles tangible equity to pre-dividend tangible equity as of June 30,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3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1200" w:type="dxa"/>
            <w:vAlign w:val="bottom"/>
            <w:gridSpan w:val="2"/>
          </w:tcPr>
          <w:p>
            <w:pPr>
              <w:jc w:val="right"/>
              <w:ind w:right="194"/>
              <w:spacing w:after="0" w:line="131" w:lineRule="exact"/>
              <w:rPr>
                <w:sz w:val="20"/>
                <w:szCs w:val="20"/>
                <w:color w:val="auto"/>
              </w:rPr>
            </w:pPr>
            <w:r>
              <w:rPr>
                <w:rFonts w:ascii="Arial" w:cs="Arial" w:eastAsia="Arial" w:hAnsi="Arial"/>
                <w:sz w:val="14"/>
                <w:szCs w:val="14"/>
                <w:b w:val="1"/>
                <w:bCs w:val="1"/>
                <w:color w:val="auto"/>
              </w:rPr>
              <w:t>Equity per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1"/>
                <w:szCs w:val="11"/>
                <w:color w:val="auto"/>
              </w:rPr>
            </w:pPr>
          </w:p>
        </w:tc>
        <w:tc>
          <w:tcPr>
            <w:tcW w:w="1040" w:type="dxa"/>
            <w:vAlign w:val="bottom"/>
          </w:tcPr>
          <w:p>
            <w:pPr>
              <w:jc w:val="right"/>
              <w:ind w:right="218"/>
              <w:spacing w:after="0" w:line="131"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7"/>
              </w:rPr>
              <w:t>Share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ind w:left="140"/>
              <w:spacing w:after="0"/>
              <w:rPr>
                <w:sz w:val="20"/>
                <w:szCs w:val="20"/>
                <w:color w:val="auto"/>
              </w:rPr>
            </w:pPr>
            <w:r>
              <w:rPr>
                <w:rFonts w:ascii="Arial" w:cs="Arial" w:eastAsia="Arial" w:hAnsi="Arial"/>
                <w:sz w:val="14"/>
                <w:szCs w:val="14"/>
                <w:b w:val="1"/>
                <w:bCs w:val="1"/>
                <w:i w:val="1"/>
                <w:iCs w:val="1"/>
                <w:color w:val="auto"/>
                <w:w w:val="94"/>
              </w:rPr>
              <w:t>($ in thousands, except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equity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Dividends to shareholders for the six months ended June 30, 2021</w:t>
            </w: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20,603</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Pre-dividend tangible equity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2021,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7" w:lineRule="exact"/>
        <w:rPr>
          <w:sz w:val="20"/>
          <w:szCs w:val="20"/>
          <w:color w:val="auto"/>
        </w:rPr>
      </w:pPr>
    </w:p>
    <w:p>
      <w:pPr>
        <w:jc w:val="both"/>
        <w:ind w:firstLine="318"/>
        <w:spacing w:after="0" w:line="364"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that occurred during our quarter ended June 30, 2021 that have materially affected, or are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are involved in various legal proceedings, including commercial matters and litigation regarding insurance claims which arise in the ordinary course of business as well as an alleged class action lawsuit. We believe that the outcome of such matters, individually and in the aggregate, is not reasonably likely to have a material adverse effect on our consolidated financial position, results of operations or cash flows.</w:t>
      </w:r>
    </w:p>
    <w:p>
      <w:pPr>
        <w:spacing w:after="0" w:line="6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On July 9, 2021 a purported class action lawsuit was filed in US District Court, Eastern District of Virginia, on behalf of Employees’ Retirement Fund of the City of Fort Worth (“Plaintiff”) against James River Group Holdings, Ltd. and certain of its present and former officers (together “Defendants”), alleging</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claims under Section 10(b) of the Securities Exchange Act of 1934. Plaintiff alleges that it purchased James River common stock between August 1, 2019 and May 5, 2021, inclusive (the putative “Class Period”), that Defendants failed to make appropriate disclosures concerning reserves for policies that covered Rasier LLC, a subsidiary of Uber Technologies, Inc. and that, as a result, Plaintiff suffered unspecified damages. We believe that the Plaintiff’s claims are without merit and intend to vigorously defend this lawsuit.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There have been no material changes in our risk factors in the quarter ended June 30, 2021 from those disclosed in our Annual Report on Form 10-K for the year ended December 31, 2020, except as follows: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On May 7, 2021, our financial strength rating was downgraded. The downgrade of our financial strength rating, along with any further downgrade, may have a significant impact on our business, liquidity and financial condition.</w:t>
      </w:r>
    </w:p>
    <w:p>
      <w:pPr>
        <w:spacing w:after="0" w:line="6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Companies, insurers and reinsurance brokers use ratings from independent ratings agencies as an important means of assessing the financial strength and quality of reinsurers. A.M. Best Company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at its sole discretion based primarily on its analysis of our balance sheet strength (including capital adequacy and loss and loss adjustment expense reserve adequacy), operating performance and business profile.</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May 7, 2021, A.M. Best announced that it downgraded the financial strength rating on our regulated insurance subsidiaries from “A” to “A-“ (Excellent) with a negative outlook, as a result of, among other things, the recurring nature of adverse reserve development in commercial auto lines. The reduction in our financial strength rating, and any future downgrades of our financial strength rating, may impact our ability to attract and retain insurance and reinsurance business that our subsidiaries write. Further, our competitive position in the industry, and therefore our business, could be adversely affected. The downgrade of our financial strength rating, and any future downgrades, could result in a substantial loss of business, as policyholders might move to other companies with higher financial strength ratings.</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Our credit agreements contain a number of financial covenants, the breach of any of which could result in acceleration of payment of our credit facilities.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June 30, 2021, we had an outstanding unsecured balance of approximately $247.3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 breach of any of these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in the first quarter of 2021, we experienced $170.1 million of adverse development on reserves for losses and loss adjustment expenses principally relating to the 2019 and prior accident years for the commercial auto business in our Excess and Surplus Lines segment, and in 2020 we experienced $92.2 million of adverse development on reserves for losses and loss adjustment expenses principally relating to the 2018 and prior accident years for the commercial auto business in our Excess and Surplus Lines segment, and in 2019, we experienced $69.0 million of adverse development on reserves for losses and loss adjustment expenses principally relating to the 2016 and 2017 accident years for the commercial auto business in our Excess and Surplus lines business. We cannot assure that we will not have further adverse development in this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uncertainties we encounter in establishing our reserves for losses and related expenses in connection with our insurance businesses include:</w:t>
      </w:r>
    </w:p>
    <w:p>
      <w:pPr>
        <w:spacing w:after="0" w:line="146" w:lineRule="exact"/>
        <w:rPr>
          <w:sz w:val="20"/>
          <w:szCs w:val="20"/>
          <w:color w:val="auto"/>
        </w:rPr>
      </w:pPr>
    </w:p>
    <w:p>
      <w:pPr>
        <w:jc w:val="both"/>
        <w:ind w:left="640" w:hanging="316"/>
        <w:spacing w:after="0" w:line="252"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2020.</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“The effect of emerging claim and coverage issues on our business is uncertain” risk factor in our Annual Report on Form 10-K for the year ended December 31, 2020.</w:t>
      </w:r>
    </w:p>
    <w:p>
      <w:pPr>
        <w:spacing w:after="0" w:line="7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occasionally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85"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increased lapse of time from the occurrence of an event to the reporting of the claim and the ultimate resolution or settlement of the claim.</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ongoing effect of the 2017 Tax Act, as well as other changes in U.S. tax law, may have a significant impact on the Company.</w:t>
      </w:r>
    </w:p>
    <w:p>
      <w:pPr>
        <w:spacing w:after="0" w:line="1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Public Law No. 115-97, enacted in December 2017 and informally titled the Tax Cuts and Jobs Act (the “Tax Act”), introduced significant changes to the Internal Revenue Code of 1986, as amended.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rules, and make it more difficult for a foreign insurance company to avoid being treated as a passive foreign investment company (“PFIC”).</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complexity of the Tax Act, you are strongly encouraged to consult your own tax advisor regarding its potential impact on the U.S. federal income tax consequences to you considering your particular circumstance.</w:t>
      </w:r>
    </w:p>
    <w:p>
      <w:pPr>
        <w:spacing w:after="0" w:line="7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common shares.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8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insurance subsidiaries to comply with applicable regulations could result in a requirement for that subsidiary to cease writing business.</w:t>
      </w:r>
    </w:p>
    <w:p>
      <w:pPr>
        <w:spacing w:after="0" w:line="27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National Association of Insurance Commissioners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For additional information, see “Item 1. Business—Regulation—U.S. Insurance Regulation—State Regulation.” in our Annual Report on Form 10-K for the year ended December 31, 2020, which report is incorporated into the prospectus supplement by reference.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the various state insurance regulators have increased their focus on risks within an insurer’s holding company system that may pose enterprise risk to the insurer. In 2012, the NAIC adopted certain amendments, which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5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2012, the NAIC also adopted the Risk Management and Own Risk and Solvency Assessment Model Act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4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In addition, dividends paid by our U.S. subsidiaries to our U.K. holding company are subject to a 5% withholding tax by the IRS. Under U.K. domestic law, no withholding tax is applied to dividends paid by U.K. tax resident companies.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$172.9 million as of December 31, 2020.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8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0" w:type="dxa"/>
            <w:vAlign w:val="bottom"/>
            <w:gridSpan w:val="15"/>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40" w:type="dxa"/>
            <w:vAlign w:val="bottom"/>
            <w:tcBorders>
              <w:top w:val="single" w:sz="8" w:color="auto"/>
            </w:tcBorders>
            <w:gridSpan w:val="17"/>
          </w:tcPr>
          <w:p>
            <w:pPr>
              <w:spacing w:after="0" w:line="180"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Certificate of Incorporation of James River Group Holdings, Ltd. (incorporated by reference to Exhibit 3.1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1"/>
          </w:tcPr>
          <w:p>
            <w:pPr>
              <w:spacing w:after="0" w:line="152" w:lineRule="exact"/>
              <w:rPr>
                <w:rFonts w:ascii="Arial" w:cs="Arial" w:eastAsia="Arial" w:hAnsi="Arial"/>
                <w:sz w:val="17"/>
                <w:szCs w:val="17"/>
                <w:color w:val="0000FF"/>
                <w:w w:val="98"/>
              </w:rPr>
            </w:pPr>
            <w:hyperlink r:id="rId76">
              <w:r>
                <w:rPr>
                  <w:rFonts w:ascii="Arial" w:cs="Arial" w:eastAsia="Arial" w:hAnsi="Arial"/>
                  <w:sz w:val="17"/>
                  <w:szCs w:val="17"/>
                  <w:color w:val="0000FF"/>
                  <w:w w:val="98"/>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5"/>
              </w:rPr>
            </w:pPr>
            <w:hyperlink r:id="rId77">
              <w:r>
                <w:rPr>
                  <w:rFonts w:ascii="Arial" w:cs="Arial" w:eastAsia="Arial" w:hAnsi="Arial"/>
                  <w:sz w:val="17"/>
                  <w:szCs w:val="17"/>
                  <w:color w:val="0000FF"/>
                  <w:w w:val="95"/>
                </w:rPr>
                <w:t>on Form S-1, Registration No. 333-199958, filed with the Commission on November 7, 2014)</w:t>
              </w:r>
            </w:hyperlink>
          </w:p>
        </w:tc>
        <w:tc>
          <w:tcPr>
            <w:tcW w:w="20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7"/>
              </w:rPr>
            </w:pPr>
            <w:hyperlink r:id="rId78">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9"/>
          </w:tcPr>
          <w:p>
            <w:pPr>
              <w:spacing w:after="0" w:line="152" w:lineRule="exact"/>
              <w:rPr>
                <w:rFonts w:ascii="Arial" w:cs="Arial" w:eastAsia="Arial" w:hAnsi="Arial"/>
                <w:sz w:val="17"/>
                <w:szCs w:val="17"/>
                <w:color w:val="0000FF"/>
                <w:w w:val="97"/>
              </w:rPr>
            </w:pPr>
            <w:hyperlink r:id="rId78">
              <w:r>
                <w:rPr>
                  <w:rFonts w:ascii="Arial" w:cs="Arial" w:eastAsia="Arial" w:hAnsi="Arial"/>
                  <w:sz w:val="17"/>
                  <w:szCs w:val="17"/>
                  <w:color w:val="0000FF"/>
                  <w:w w:val="97"/>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79">
              <w:r>
                <w:rPr>
                  <w:rFonts w:ascii="Arial" w:cs="Arial" w:eastAsia="Arial" w:hAnsi="Arial"/>
                  <w:sz w:val="17"/>
                  <w:szCs w:val="17"/>
                  <w:color w:val="0000FF"/>
                </w:rPr>
                <w:t>reference to Exhibit 3.4 of the Registration Statement on Form S-1, Registration No. 333-199958,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4"/>
              </w:rPr>
            </w:pPr>
            <w:hyperlink r:id="rId79">
              <w:r>
                <w:rPr>
                  <w:rFonts w:ascii="Arial" w:cs="Arial" w:eastAsia="Arial" w:hAnsi="Arial"/>
                  <w:sz w:val="17"/>
                  <w:szCs w:val="17"/>
                  <w:color w:val="0000FF"/>
                  <w:w w:val="94"/>
                </w:rPr>
                <w:t>Commission on November 7, 2014)</w:t>
              </w:r>
            </w:hyperlink>
          </w:p>
        </w:tc>
        <w:tc>
          <w:tcPr>
            <w:tcW w:w="61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80">
              <w:r>
                <w:rPr>
                  <w:rFonts w:ascii="Arial" w:cs="Arial" w:eastAsia="Arial" w:hAnsi="Arial"/>
                  <w:sz w:val="17"/>
                  <w:szCs w:val="17"/>
                  <w:color w:val="0000FF"/>
                </w:rPr>
                <w:t>Exhibit 3.5 of the Registration Statement on Form S-1, Registration No. 333-199958, filed with the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November 7, 2014)</w:t>
              </w:r>
            </w:hyperlink>
          </w:p>
        </w:tc>
        <w:tc>
          <w:tcPr>
            <w:tcW w:w="72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81">
              <w:r>
                <w:rPr>
                  <w:rFonts w:ascii="Arial" w:cs="Arial" w:eastAsia="Arial" w:hAnsi="Arial"/>
                  <w:sz w:val="17"/>
                  <w:szCs w:val="17"/>
                  <w:color w:val="0000FF"/>
                </w:rPr>
                <w:t>to the Annual Report on Form 10-K filed on March 12, 2015, Commission File No. 001-36777)</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Chief Executive Officer Certification pursuant to Rule 13a-14(a)/15d-14(a)</w:t>
              </w:r>
            </w:hyperlink>
          </w:p>
        </w:tc>
        <w:tc>
          <w:tcPr>
            <w:tcW w:w="1440" w:type="dxa"/>
            <w:vAlign w:val="bottom"/>
            <w:tcBorders>
              <w:top w:val="single" w:sz="8" w:color="0000FF"/>
            </w:tcBorders>
            <w:gridSpan w:val="2"/>
          </w:tcPr>
          <w:p>
            <w:pPr>
              <w:spacing w:after="0"/>
              <w:rPr>
                <w:sz w:val="24"/>
                <w:szCs w:val="24"/>
                <w:color w:val="auto"/>
              </w:rPr>
            </w:pPr>
          </w:p>
        </w:tc>
        <w:tc>
          <w:tcPr>
            <w:tcW w:w="1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Chief Financial Officer Certification pursuant to Rule 13a-14(a)/15d-14(a)</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w w:val="98"/>
              </w:rPr>
            </w:pPr>
            <w:hyperlink w:anchor="page63">
              <w:r>
                <w:rPr>
                  <w:rFonts w:ascii="Arial" w:cs="Arial" w:eastAsia="Arial" w:hAnsi="Arial"/>
                  <w:sz w:val="18"/>
                  <w:szCs w:val="18"/>
                  <w:color w:val="0000FF"/>
                  <w:w w:val="98"/>
                </w:rPr>
                <w:t>Chief Executive Officer and Chief Financial Officer Certification pursuant to 18 U.S.C. Section 1350, as adopted</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3"/>
              </w:rPr>
            </w:pPr>
            <w:hyperlink w:anchor="page63">
              <w:r>
                <w:rPr>
                  <w:rFonts w:ascii="Arial" w:cs="Arial" w:eastAsia="Arial" w:hAnsi="Arial"/>
                  <w:sz w:val="17"/>
                  <w:szCs w:val="17"/>
                  <w:color w:val="0000FF"/>
                  <w:w w:val="93"/>
                </w:rPr>
                <w:t>pursuant to Section 906 of the Sarbanes-Oxley Act of 2002</w:t>
              </w:r>
            </w:hyperlink>
          </w:p>
        </w:tc>
        <w:tc>
          <w:tcPr>
            <w:tcW w:w="446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7"/>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18"/>
        </w:trPr>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9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580" w:type="dxa"/>
            <w:vAlign w:val="bottom"/>
            <w:gridSpan w:val="3"/>
          </w:tcPr>
          <w:p>
            <w:pPr>
              <w:ind w:left="1720"/>
              <w:spacing w:after="0"/>
              <w:rPr>
                <w:sz w:val="20"/>
                <w:szCs w:val="20"/>
                <w:color w:val="auto"/>
              </w:rPr>
            </w:pPr>
            <w:r>
              <w:rPr>
                <w:rFonts w:ascii="Arial" w:cs="Arial" w:eastAsia="Arial" w:hAnsi="Arial"/>
                <w:sz w:val="18"/>
                <w:szCs w:val="18"/>
                <w:color w:val="auto"/>
              </w:rPr>
              <w:t>James River Group Holdings, Ltd.</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2020" w:type="dxa"/>
            <w:vAlign w:val="bottom"/>
          </w:tcPr>
          <w:p>
            <w:pPr>
              <w:ind w:left="172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18"/>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2020" w:type="dxa"/>
            <w:vAlign w:val="bottom"/>
          </w:tcPr>
          <w:p>
            <w:pPr>
              <w:ind w:left="172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18"/>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Sarah C. Doran</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7" w:right="5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3550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3542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2" w:lineRule="exact"/>
        <w:rPr>
          <w:sz w:val="20"/>
          <w:szCs w:val="20"/>
          <w:color w:val="auto"/>
        </w:rPr>
      </w:pPr>
    </w:p>
    <w:p>
      <w:pPr>
        <w:jc w:val="both"/>
        <w:ind w:right="180" w:firstLine="636"/>
        <w:spacing w:after="0" w:line="252"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June 30, 2021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85" w:lineRule="exact"/>
        <w:rPr>
          <w:sz w:val="20"/>
          <w:szCs w:val="20"/>
          <w:color w:val="auto"/>
        </w:rPr>
      </w:pPr>
    </w:p>
    <w:p>
      <w:pPr>
        <w:ind w:left="640" w:hanging="634"/>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634"/>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5, 2021</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5, 2021</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2"/>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amp;"/>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76" Type="http://schemas.openxmlformats.org/officeDocument/2006/relationships/hyperlink" Target="http://www.sec.gov/Archives/edgar/data/1620459/000157104914005924/t1401933_ex3-1.htm" TargetMode="External"/><Relationship Id="rId77" Type="http://schemas.openxmlformats.org/officeDocument/2006/relationships/hyperlink" Target="http://www.sec.gov/Archives/edgar/data/1620459/000157104914005924/t1401933_ex3-2.htm" TargetMode="External"/><Relationship Id="rId78" Type="http://schemas.openxmlformats.org/officeDocument/2006/relationships/hyperlink" Target="http://www.sec.gov/Archives/edgar/data/1620459/000157104914005924/t1401933_ex3-3.htm" TargetMode="External"/><Relationship Id="rId79" Type="http://schemas.openxmlformats.org/officeDocument/2006/relationships/hyperlink" Target="http://www.sec.gov/Archives/edgar/data/1620459/000157104914005924/t1401933_ex3-4.htm" TargetMode="External"/><Relationship Id="rId80" Type="http://schemas.openxmlformats.org/officeDocument/2006/relationships/hyperlink" Target="http://www.sec.gov/Archives/edgar/data/1620459/000157104914005924/t1401933_ex3-5.htm" TargetMode="External"/><Relationship Id="rId81"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2021-08-05T15:54:45Z</dcterms:created>
  <dcterms:modified xsi:type="dcterms:W3CDTF">2021-08-05T15:54:45Z</dcterms:modified>
</cp:coreProperties>
</file>