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8-K</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22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273" w:lineRule="exact"/>
        <w:rPr>
          <w:sz w:val="24"/>
          <w:szCs w:val="24"/>
          <w:color w:val="auto"/>
        </w:rPr>
      </w:pPr>
    </w:p>
    <w:p>
      <w:pPr>
        <w:ind w:left="820"/>
        <w:spacing w:after="0"/>
        <w:tabs>
          <w:tab w:leader="none" w:pos="5000" w:val="left"/>
        </w:tabs>
        <w:rPr>
          <w:sz w:val="20"/>
          <w:szCs w:val="20"/>
          <w:color w:val="auto"/>
        </w:rPr>
      </w:pPr>
      <w:r>
        <w:rPr>
          <w:rFonts w:ascii="Times New Roman" w:cs="Times New Roman" w:eastAsia="Times New Roman" w:hAnsi="Times New Roman"/>
          <w:sz w:val="18"/>
          <w:szCs w:val="18"/>
          <w:color w:val="auto"/>
        </w:rPr>
        <w:t>Date of Report (Date of earliest event reported):</w:t>
      </w:r>
      <w:r>
        <w:rPr>
          <w:sz w:val="20"/>
          <w:szCs w:val="20"/>
          <w:color w:val="auto"/>
        </w:rPr>
        <w:tab/>
      </w:r>
      <w:r>
        <w:rPr>
          <w:rFonts w:ascii="Times New Roman" w:cs="Times New Roman" w:eastAsia="Times New Roman" w:hAnsi="Times New Roman"/>
          <w:sz w:val="18"/>
          <w:szCs w:val="18"/>
          <w:color w:val="auto"/>
        </w:rPr>
        <w:t>June 13,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2731135</wp:posOffset>
            </wp:positionH>
            <wp:positionV relativeFrom="paragraph">
              <wp:posOffset>34290</wp:posOffset>
            </wp:positionV>
            <wp:extent cx="156019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6019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JAMES RIVER GROUP HOLDINGS,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45085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7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0" w:lineRule="exact"/>
        <w:rPr>
          <w:sz w:val="24"/>
          <w:szCs w:val="24"/>
          <w:color w:val="auto"/>
        </w:rPr>
      </w:pPr>
    </w:p>
    <w:p>
      <w:pPr>
        <w:spacing w:after="0" w:line="363" w:lineRule="exact"/>
        <w:rPr>
          <w:sz w:val="24"/>
          <w:szCs w:val="24"/>
          <w:color w:val="auto"/>
        </w:rPr>
      </w:pPr>
    </w:p>
    <w:tbl>
      <w:tblPr>
        <w:tblLayout w:type="fixed"/>
        <w:tblInd w:w="0" w:type="dxa"/>
        <w:tblCellMar>
          <w:top w:w="0" w:type="dxa"/>
          <w:left w:w="0" w:type="dxa"/>
          <w:bottom w:w="0" w:type="dxa"/>
          <w:right w:w="0" w:type="dxa"/>
        </w:tblCellMar>
      </w:tblPr>
      <w:tr>
        <w:trPr>
          <w:trHeight w:val="241"/>
        </w:trPr>
        <w:tc>
          <w:tcPr>
            <w:tcW w:w="4040" w:type="dxa"/>
            <w:vAlign w:val="bottom"/>
            <w:tcBorders>
              <w:bottom w:val="single" w:sz="8" w:color="auto"/>
            </w:tcBorders>
          </w:tcPr>
          <w:p>
            <w:pPr>
              <w:jc w:val="center"/>
              <w:ind w:right="170"/>
              <w:spacing w:after="0"/>
              <w:rPr>
                <w:sz w:val="20"/>
                <w:szCs w:val="20"/>
                <w:color w:val="auto"/>
              </w:rPr>
            </w:pPr>
            <w:r>
              <w:rPr>
                <w:rFonts w:ascii="Times New Roman" w:cs="Times New Roman" w:eastAsia="Times New Roman" w:hAnsi="Times New Roman"/>
                <w:sz w:val="18"/>
                <w:szCs w:val="18"/>
                <w:color w:val="auto"/>
              </w:rPr>
              <w:t>Delaware</w:t>
            </w:r>
          </w:p>
        </w:tc>
        <w:tc>
          <w:tcPr>
            <w:tcW w:w="3320" w:type="dxa"/>
            <w:vAlign w:val="bottom"/>
            <w:tcBorders>
              <w:bottom w:val="single" w:sz="8" w:color="auto"/>
            </w:tcBorders>
          </w:tcPr>
          <w:p>
            <w:pPr>
              <w:jc w:val="right"/>
              <w:ind w:right="1270"/>
              <w:spacing w:after="0"/>
              <w:rPr>
                <w:sz w:val="20"/>
                <w:szCs w:val="20"/>
                <w:color w:val="auto"/>
              </w:rPr>
            </w:pPr>
            <w:r>
              <w:rPr>
                <w:rFonts w:ascii="Times New Roman" w:cs="Times New Roman" w:eastAsia="Times New Roman" w:hAnsi="Times New Roman"/>
                <w:sz w:val="18"/>
                <w:szCs w:val="18"/>
                <w:color w:val="auto"/>
              </w:rPr>
              <w:t>001-36777</w:t>
            </w:r>
          </w:p>
        </w:tc>
        <w:tc>
          <w:tcPr>
            <w:tcW w:w="3880" w:type="dxa"/>
            <w:vAlign w:val="bottom"/>
            <w:tcBorders>
              <w:bottom w:val="single" w:sz="8" w:color="auto"/>
            </w:tcBorders>
          </w:tcPr>
          <w:p>
            <w:pPr>
              <w:jc w:val="right"/>
              <w:ind w:right="1370"/>
              <w:spacing w:after="0"/>
              <w:rPr>
                <w:sz w:val="20"/>
                <w:szCs w:val="20"/>
                <w:color w:val="auto"/>
              </w:rPr>
            </w:pPr>
            <w:r>
              <w:rPr>
                <w:rFonts w:ascii="Times New Roman" w:cs="Times New Roman" w:eastAsia="Times New Roman" w:hAnsi="Times New Roman"/>
                <w:sz w:val="18"/>
                <w:szCs w:val="18"/>
                <w:color w:val="auto"/>
              </w:rPr>
              <w:t>98-0585280</w:t>
            </w:r>
          </w:p>
        </w:tc>
      </w:tr>
      <w:tr>
        <w:trPr>
          <w:trHeight w:val="234"/>
        </w:trPr>
        <w:tc>
          <w:tcPr>
            <w:tcW w:w="4040" w:type="dxa"/>
            <w:vAlign w:val="bottom"/>
          </w:tcPr>
          <w:p>
            <w:pPr>
              <w:jc w:val="center"/>
              <w:ind w:right="170"/>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3320" w:type="dxa"/>
            <w:vAlign w:val="bottom"/>
          </w:tcPr>
          <w:p>
            <w:pPr>
              <w:jc w:val="center"/>
              <w:ind w:right="70"/>
              <w:spacing w:after="0"/>
              <w:rPr>
                <w:sz w:val="20"/>
                <w:szCs w:val="20"/>
                <w:color w:val="auto"/>
              </w:rPr>
            </w:pPr>
            <w:r>
              <w:rPr>
                <w:rFonts w:ascii="Times New Roman" w:cs="Times New Roman" w:eastAsia="Times New Roman" w:hAnsi="Times New Roman"/>
                <w:sz w:val="18"/>
                <w:szCs w:val="18"/>
                <w:color w:val="auto"/>
              </w:rPr>
              <w:t>(Commission File Number)</w:t>
            </w:r>
          </w:p>
        </w:tc>
        <w:tc>
          <w:tcPr>
            <w:tcW w:w="3880" w:type="dxa"/>
            <w:vAlign w:val="bottom"/>
          </w:tcPr>
          <w:p>
            <w:pPr>
              <w:jc w:val="center"/>
              <w:ind w:left="10"/>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bl>
    <w:p>
      <w:pPr>
        <w:spacing w:after="0" w:line="2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1414 Raleigh Road, Suite 405, Chapel Hill, North Carolina, 27517</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(919) 900-1200</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382905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0" w:lineRule="exact"/>
        <w:rPr>
          <w:sz w:val="24"/>
          <w:szCs w:val="24"/>
          <w:color w:val="auto"/>
        </w:rPr>
      </w:pPr>
    </w:p>
    <w:p>
      <w:pPr>
        <w:spacing w:after="0" w:line="281" w:lineRule="exact"/>
        <w:rPr>
          <w:sz w:val="24"/>
          <w:szCs w:val="24"/>
          <w:color w:val="auto"/>
        </w:rPr>
      </w:pPr>
    </w:p>
    <w:p>
      <w:pPr>
        <w:jc w:val="both"/>
        <w:spacing w:after="0" w:line="245" w:lineRule="exact"/>
        <w:rPr>
          <w:sz w:val="20"/>
          <w:szCs w:val="20"/>
          <w:color w:val="auto"/>
        </w:rPr>
      </w:pPr>
      <w:r>
        <w:rPr>
          <w:rFonts w:ascii="Times New Roman" w:cs="Times New Roman" w:eastAsia="Times New Roman" w:hAnsi="Times New Roman"/>
          <w:sz w:val="18"/>
          <w:szCs w:val="18"/>
          <w:color w:val="auto"/>
        </w:rPr>
        <w:t>Check the appropriate box below if the Form 8</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filing is intended to simultaneously satisfy the filing obligation of the registrant under any of the following provisions (see General Instruction A.2 below):</w:t>
      </w:r>
    </w:p>
    <w:p>
      <w:pPr>
        <w:spacing w:after="0" w:line="23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50" w:lineRule="exact"/>
        <w:rPr>
          <w:rFonts w:ascii="MS PGothic" w:cs="MS PGothic" w:eastAsia="MS PGothic" w:hAnsi="MS PGothic"/>
          <w:sz w:val="22"/>
          <w:szCs w:val="22"/>
          <w:color w:val="auto"/>
          <w:highlight w:val="black"/>
        </w:rPr>
      </w:pPr>
    </w:p>
    <w:p>
      <w:pPr>
        <w:ind w:left="380" w:hanging="372"/>
        <w:spacing w:after="0" w:line="228" w:lineRule="exact"/>
        <w:tabs>
          <w:tab w:leader="none" w:pos="3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Soliciting material pursuant to Rule 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 under the Exchange Act (17 CFR 240.14a</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12)</w:t>
      </w:r>
    </w:p>
    <w:p>
      <w:pPr>
        <w:spacing w:after="0" w:line="40" w:lineRule="exact"/>
        <w:rPr>
          <w:rFonts w:ascii="MS PGothic" w:cs="MS PGothic" w:eastAsia="MS PGothic" w:hAnsi="MS PGothic"/>
          <w:sz w:val="22"/>
          <w:szCs w:val="22"/>
          <w:color w:val="auto"/>
          <w:highlight w:val="black"/>
        </w:rPr>
      </w:pPr>
    </w:p>
    <w:p>
      <w:pPr>
        <w:ind w:left="380" w:hanging="372"/>
        <w:spacing w:after="0" w:line="228" w:lineRule="exact"/>
        <w:tabs>
          <w:tab w:leader="none" w:pos="3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 under the Exchange Act (17 CFR 240.14d</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2(b))</w:t>
      </w:r>
    </w:p>
    <w:p>
      <w:pPr>
        <w:spacing w:after="0" w:line="28" w:lineRule="exact"/>
        <w:rPr>
          <w:rFonts w:ascii="MS PGothic" w:cs="MS PGothic" w:eastAsia="MS PGothic" w:hAnsi="MS PGothic"/>
          <w:sz w:val="22"/>
          <w:szCs w:val="22"/>
          <w:color w:val="auto"/>
          <w:highlight w:val="black"/>
        </w:rPr>
      </w:pPr>
    </w:p>
    <w:p>
      <w:pPr>
        <w:ind w:left="380" w:hanging="372"/>
        <w:spacing w:after="0" w:line="228" w:lineRule="exact"/>
        <w:tabs>
          <w:tab w:leader="none" w:pos="38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 under the Exchange Act (17 CFR 240.13e</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4(c))</w:t>
      </w:r>
    </w:p>
    <w:p>
      <w:pPr>
        <w:spacing w:after="0" w:line="184"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516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13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180" w:type="dxa"/>
            <w:vAlign w:val="bottom"/>
          </w:tcPr>
          <w:p>
            <w:pPr>
              <w:spacing w:after="0"/>
              <w:rPr>
                <w:sz w:val="20"/>
                <w:szCs w:val="20"/>
                <w:color w:val="auto"/>
              </w:rPr>
            </w:pPr>
          </w:p>
        </w:tc>
      </w:tr>
      <w:tr>
        <w:trPr>
          <w:trHeight w:val="338"/>
        </w:trPr>
        <w:tc>
          <w:tcPr>
            <w:tcW w:w="1780" w:type="dxa"/>
            <w:vAlign w:val="bottom"/>
          </w:tcPr>
          <w:p>
            <w:pPr>
              <w:spacing w:after="0"/>
              <w:rPr>
                <w:sz w:val="24"/>
                <w:szCs w:val="24"/>
                <w:color w:val="auto"/>
              </w:rPr>
            </w:pPr>
          </w:p>
        </w:tc>
        <w:tc>
          <w:tcPr>
            <w:tcW w:w="13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2080" w:type="dxa"/>
            <w:vAlign w:val="bottom"/>
          </w:tcPr>
          <w:p>
            <w:pPr>
              <w:spacing w:after="0"/>
              <w:rPr>
                <w:sz w:val="24"/>
                <w:szCs w:val="24"/>
                <w:color w:val="auto"/>
              </w:rPr>
            </w:pPr>
          </w:p>
        </w:tc>
        <w:tc>
          <w:tcPr>
            <w:tcW w:w="1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920" w:type="dxa"/>
            <w:vAlign w:val="bottom"/>
          </w:tcPr>
          <w:p>
            <w:pPr>
              <w:spacing w:after="0"/>
              <w:rPr>
                <w:sz w:val="24"/>
                <w:szCs w:val="24"/>
                <w:color w:val="auto"/>
              </w:rPr>
            </w:pPr>
          </w:p>
        </w:tc>
        <w:tc>
          <w:tcPr>
            <w:tcW w:w="3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250"/>
        </w:trPr>
        <w:tc>
          <w:tcPr>
            <w:tcW w:w="516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rPr>
              <w:t>Common Stock, par value $0.0002 per share</w:t>
            </w:r>
          </w:p>
        </w:tc>
        <w:tc>
          <w:tcPr>
            <w:tcW w:w="228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w w:val="99"/>
              </w:rPr>
              <w:t>JRVR</w:t>
            </w:r>
          </w:p>
        </w:tc>
        <w:tc>
          <w:tcPr>
            <w:tcW w:w="31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 Global Select Market</w:t>
            </w:r>
          </w:p>
        </w:tc>
      </w:tr>
    </w:tbl>
    <w:p>
      <w:pPr>
        <w:spacing w:after="0" w:line="292"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8" w:lineRule="exact"/>
        <w:rPr>
          <w:sz w:val="24"/>
          <w:szCs w:val="24"/>
          <w:color w:val="auto"/>
        </w:rPr>
      </w:pPr>
    </w:p>
    <w:p>
      <w:pPr>
        <w:spacing w:after="0" w:line="207" w:lineRule="exact"/>
        <w:tabs>
          <w:tab w:leader="none" w:pos="214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8"/>
          <w:szCs w:val="18"/>
          <w:color w:val="auto"/>
          <w:highlight w:val="black"/>
        </w:rPr>
        <w:t>☐</w:t>
      </w:r>
    </w:p>
    <w:p>
      <w:pPr>
        <w:spacing w:after="0" w:line="309" w:lineRule="exact"/>
        <w:rPr>
          <w:sz w:val="24"/>
          <w:szCs w:val="24"/>
          <w:color w:val="auto"/>
        </w:rPr>
      </w:pPr>
    </w:p>
    <w:p>
      <w:pPr>
        <w:spacing w:after="0" w:line="26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highlight w:val="black"/>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448310</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78" w:right="339" w:bottom="1440" w:gutter="0" w:footer="0" w:header="0"/>
        </w:sectPr>
      </w:pPr>
    </w:p>
    <w:bookmarkStart w:id="1" w:name="page2"/>
    <w:bookmarkEnd w:id="1"/>
    <w:p>
      <w:pPr>
        <w:ind w:left="20"/>
        <w:spacing w:after="0"/>
        <w:tabs>
          <w:tab w:leader="none" w:pos="120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7"/>
          <w:szCs w:val="17"/>
          <w:b w:val="1"/>
          <w:bCs w:val="1"/>
          <w:color w:val="auto"/>
        </w:rPr>
        <w:t>Other Events.</w:t>
      </w:r>
    </w:p>
    <w:p>
      <w:pPr>
        <w:spacing w:after="0" w:line="216"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212121"/>
        </w:rPr>
        <w:t>On June 13, 2026, the Supreme Court, New York County, Commercial Division (the “Court”) granted in part and denied in part Fleming Intermediate Holdings LLC’s (“Fleming”) motion to dismiss James River Group Holdings, Inc.’s (the “Company”) amended complaint dated May 9, 2024 seeking specific performance and damages for Fleming’s failure to close its purchase of JRG Reinsurance Company Ltd., the Company’s former subsidiary (the “Transaction”), on the closing date required by the Stock Purchase Agreement dated November 8, 2023. The Court dismissed the Company’s claim for specific performance as moot since the Transaction closed on April 16, 2024 and claims for consequential damages, but allowed the Company’s claims for direct damages for breach of contract to proceed.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537845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40"/>
          </w:cols>
          <w:pgMar w:left="320" w:top="927" w:right="439" w:bottom="1440" w:gutter="0" w:footer="0" w:header="0"/>
        </w:sectPr>
      </w:pPr>
    </w:p>
    <w:bookmarkStart w:id="2" w:name="page3"/>
    <w:bookmarkEnd w:id="2"/>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4"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3780" w:type="dxa"/>
            <w:vAlign w:val="bottom"/>
          </w:tcPr>
          <w:p>
            <w:pPr>
              <w:spacing w:after="0"/>
              <w:rPr>
                <w:sz w:val="20"/>
                <w:szCs w:val="20"/>
                <w:color w:val="auto"/>
              </w:rPr>
            </w:pPr>
          </w:p>
        </w:tc>
        <w:tc>
          <w:tcPr>
            <w:tcW w:w="5660" w:type="dxa"/>
            <w:vAlign w:val="bottom"/>
            <w:gridSpan w:val="3"/>
          </w:tcPr>
          <w:p>
            <w:pPr>
              <w:ind w:left="2240"/>
              <w:spacing w:after="0"/>
              <w:rPr>
                <w:sz w:val="20"/>
                <w:szCs w:val="20"/>
                <w:color w:val="auto"/>
              </w:rPr>
            </w:pPr>
            <w:r>
              <w:rPr>
                <w:rFonts w:ascii="Times New Roman" w:cs="Times New Roman" w:eastAsia="Times New Roman" w:hAnsi="Times New Roman"/>
                <w:sz w:val="18"/>
                <w:szCs w:val="18"/>
                <w:b w:val="1"/>
                <w:bCs w:val="1"/>
                <w:color w:val="auto"/>
                <w:w w:val="99"/>
              </w:rPr>
              <w:t>JAMES RIVER GROUP HOLDINGS, INC.</w:t>
            </w:r>
          </w:p>
        </w:tc>
      </w:tr>
      <w:tr>
        <w:trPr>
          <w:trHeight w:val="513"/>
        </w:trPr>
        <w:tc>
          <w:tcPr>
            <w:tcW w:w="3780" w:type="dxa"/>
            <w:vAlign w:val="bottom"/>
          </w:tcPr>
          <w:p>
            <w:pPr>
              <w:spacing w:after="0"/>
              <w:rPr>
                <w:sz w:val="20"/>
                <w:szCs w:val="20"/>
                <w:color w:val="auto"/>
              </w:rPr>
            </w:pPr>
            <w:r>
              <w:rPr>
                <w:rFonts w:ascii="Times New Roman" w:cs="Times New Roman" w:eastAsia="Times New Roman" w:hAnsi="Times New Roman"/>
                <w:sz w:val="18"/>
                <w:szCs w:val="18"/>
                <w:color w:val="auto"/>
              </w:rPr>
              <w:t>Dated: June 17, 2026</w:t>
            </w:r>
          </w:p>
        </w:tc>
        <w:tc>
          <w:tcPr>
            <w:tcW w:w="566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By: /s/ Jeanette Miller</w:t>
            </w:r>
          </w:p>
        </w:tc>
      </w:tr>
      <w:tr>
        <w:trPr>
          <w:trHeight w:val="20"/>
        </w:trPr>
        <w:tc>
          <w:tcPr>
            <w:tcW w:w="3780" w:type="dxa"/>
            <w:vAlign w:val="bottom"/>
          </w:tcPr>
          <w:p>
            <w:pPr>
              <w:spacing w:after="0" w:line="20" w:lineRule="exact"/>
              <w:rPr>
                <w:sz w:val="1"/>
                <w:szCs w:val="1"/>
                <w:color w:val="auto"/>
              </w:rPr>
            </w:pPr>
          </w:p>
        </w:tc>
        <w:tc>
          <w:tcPr>
            <w:tcW w:w="256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r>
      <w:tr>
        <w:trPr>
          <w:trHeight w:val="245"/>
        </w:trPr>
        <w:tc>
          <w:tcPr>
            <w:tcW w:w="3780" w:type="dxa"/>
            <w:vAlign w:val="bottom"/>
          </w:tcPr>
          <w:p>
            <w:pPr>
              <w:spacing w:after="0"/>
              <w:rPr>
                <w:sz w:val="21"/>
                <w:szCs w:val="21"/>
                <w:color w:val="auto"/>
              </w:rPr>
            </w:pPr>
          </w:p>
        </w:tc>
        <w:tc>
          <w:tcPr>
            <w:tcW w:w="566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Jeanette Miller</w:t>
            </w:r>
          </w:p>
        </w:tc>
      </w:tr>
      <w:tr>
        <w:trPr>
          <w:trHeight w:val="234"/>
        </w:trPr>
        <w:tc>
          <w:tcPr>
            <w:tcW w:w="3780" w:type="dxa"/>
            <w:vAlign w:val="bottom"/>
          </w:tcPr>
          <w:p>
            <w:pPr>
              <w:spacing w:after="0"/>
              <w:rPr>
                <w:sz w:val="20"/>
                <w:szCs w:val="20"/>
                <w:color w:val="auto"/>
              </w:rPr>
            </w:pPr>
          </w:p>
        </w:tc>
        <w:tc>
          <w:tcPr>
            <w:tcW w:w="5660" w:type="dxa"/>
            <w:vAlign w:val="bottom"/>
            <w:gridSpan w:val="3"/>
          </w:tcPr>
          <w:p>
            <w:pPr>
              <w:ind w:left="2240"/>
              <w:spacing w:after="0"/>
              <w:rPr>
                <w:sz w:val="20"/>
                <w:szCs w:val="20"/>
                <w:color w:val="auto"/>
              </w:rPr>
            </w:pPr>
            <w:r>
              <w:rPr>
                <w:rFonts w:ascii="Times New Roman" w:cs="Times New Roman" w:eastAsia="Times New Roman" w:hAnsi="Times New Roman"/>
                <w:sz w:val="18"/>
                <w:szCs w:val="18"/>
                <w:color w:val="auto"/>
              </w:rPr>
              <w:t>Chief Legal Officer</w:t>
            </w:r>
          </w:p>
        </w:tc>
      </w:tr>
    </w:tbl>
    <w:p>
      <w:pPr>
        <w:spacing w:after="0" w:line="1" w:lineRule="exact"/>
        <w:rPr>
          <w:sz w:val="20"/>
          <w:szCs w:val="20"/>
          <w:color w:val="auto"/>
        </w:rPr>
      </w:pPr>
    </w:p>
    <w:sectPr>
      <w:pgSz w:w="11900" w:h="16838" w:orient="portrait"/>
      <w:cols w:equalWidth="0" w:num="1">
        <w:col w:w="11200"/>
      </w:cols>
      <w:pgMar w:left="320" w:top="1413"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2026-06-17T16:14:06Z</dcterms:created>
  <dcterms:modified xsi:type="dcterms:W3CDTF">2026-06-17T16:14:06Z</dcterms:modified>
</cp:coreProperties>
</file>