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120"/>
        <w:jc w:val="center"/>
        <w:rPr>
          <w:rFonts w:ascii="Times New Roman;serif" w:hAnsi="Times New Roman;serif"/>
          <w:b/>
          <w:color w:val="000000"/>
          <w:sz w:val="36"/>
        </w:rPr>
      </w:pPr>
      <w:r>
        <w:rPr>
          <w:rFonts w:ascii="Times New Roman;serif" w:hAnsi="Times New Roman;serif"/>
          <w:b/>
          <w:color w:val="000000"/>
          <w:sz w:val="36"/>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 for the quarterly period ended June 30, 2026</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 for the transition period from _______ to _______</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001-36777</w:t>
      </w:r>
    </w:p>
    <w:tbl>
      <w:tblPr>
        <w:tblW w:w="9225" w:type="dxa"/>
        <w:jc w:val="center"/>
        <w:tblInd w:w="0" w:type="dxa"/>
        <w:tblLayout w:type="fixed"/>
        <w:tblCellMar>
          <w:top w:w="28" w:type="dxa"/>
          <w:left w:w="28" w:type="dxa"/>
          <w:bottom w:w="28" w:type="dxa"/>
          <w:right w:w="28" w:type="dxa"/>
        </w:tblCellMar>
      </w:tblPr>
      <w:tblGrid>
        <w:gridCol w:w="2955"/>
        <w:gridCol w:w="2597"/>
        <w:gridCol w:w="3673"/>
      </w:tblGrid>
      <w:tr>
        <w:trPr/>
        <w:tc>
          <w:tcPr>
            <w:tcW w:w="2955"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673" w:type="dxa"/>
            <w:tcBorders/>
            <w:vAlign w:val="center"/>
          </w:tcPr>
          <w:p>
            <w:pPr>
              <w:pStyle w:val="TableContents"/>
              <w:bidi w:val="0"/>
              <w:spacing w:before="0" w:after="283"/>
              <w:jc w:val="left"/>
              <w:rPr>
                <w:sz w:val="4"/>
                <w:szCs w:val="4"/>
              </w:rPr>
            </w:pPr>
            <w:r>
              <w:rPr>
                <w:sz w:val="4"/>
                <w:szCs w:val="4"/>
              </w:rPr>
            </w:r>
          </w:p>
        </w:tc>
      </w:tr>
      <w:tr>
        <w:trPr/>
        <w:tc>
          <w:tcPr>
            <w:tcW w:w="92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48"/>
              </w:rPr>
            </w:pPr>
            <w:r>
              <w:rPr>
                <w:rFonts w:ascii="Times New Roman;serif" w:hAnsi="Times New Roman;serif"/>
                <w:b/>
                <w:color w:val="000000"/>
                <w:sz w:val="48"/>
              </w:rPr>
              <w:t>JAMES RIVER GROUP HOLDINGS, INC.</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271" w:type="dxa"/>
        <w:jc w:val="center"/>
        <w:tblInd w:w="0" w:type="dxa"/>
        <w:tblLayout w:type="fixed"/>
        <w:tblCellMar>
          <w:top w:w="28" w:type="dxa"/>
          <w:left w:w="28" w:type="dxa"/>
          <w:bottom w:w="28" w:type="dxa"/>
          <w:right w:w="28" w:type="dxa"/>
        </w:tblCellMar>
      </w:tblPr>
      <w:tblGrid>
        <w:gridCol w:w="872"/>
        <w:gridCol w:w="767"/>
        <w:gridCol w:w="775"/>
        <w:gridCol w:w="109"/>
        <w:gridCol w:w="109"/>
        <w:gridCol w:w="109"/>
        <w:gridCol w:w="447"/>
        <w:gridCol w:w="447"/>
        <w:gridCol w:w="636"/>
      </w:tblGrid>
      <w:tr>
        <w:trPr/>
        <w:tc>
          <w:tcPr>
            <w:tcW w:w="8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98-0585280</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0"/>
              <w:ind w:left="0" w:right="0" w:firstLine="45"/>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ind w:left="0" w:right="0" w:firstLine="45"/>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1414 Raleigh Road, Suite 405, Chapel Hill, North Carolina, 27517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(919) 900-1200</w:t>
      </w:r>
    </w:p>
    <w:p>
      <w:pPr>
        <w:pStyle w:val="TextBody"/>
        <w:bidi w:val="0"/>
        <w:spacing w:lineRule="auto" w:line="288" w:before="0" w:after="120"/>
        <w:jc w:val="center"/>
        <w:rPr/>
      </w:pPr>
      <w:r>
        <w:rPr>
          <w:rFonts w:ascii="Times New Roman;serif" w:hAnsi="Times New Roman;serif"/>
          <w:b/>
          <w:color w:val="000000"/>
          <w:sz w:val="20"/>
        </w:rPr>
        <w:t>(Registrant</w:t>
      </w:r>
      <w:r>
        <w:rPr>
          <w:rFonts w:ascii="Times New Roman;serif" w:hAnsi="Times New Roman;serif"/>
          <w:b w:val="false"/>
          <w:color w:val="000000"/>
          <w:sz w:val="20"/>
        </w:rPr>
        <w:t>'</w:t>
      </w:r>
      <w:r>
        <w:rPr>
          <w:rFonts w:ascii="Times New Roman;serif" w:hAnsi="Times New Roman;serif"/>
          <w:b/>
          <w:color w:val="000000"/>
          <w:sz w:val="20"/>
        </w:rPr>
        <w:t>s telephone number, including area code)</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016" w:type="dxa"/>
        <w:jc w:val="center"/>
        <w:tblInd w:w="0" w:type="dxa"/>
        <w:tblLayout w:type="fixed"/>
        <w:tblCellMar>
          <w:top w:w="28" w:type="dxa"/>
          <w:left w:w="28" w:type="dxa"/>
          <w:bottom w:w="28" w:type="dxa"/>
          <w:right w:w="28" w:type="dxa"/>
        </w:tblCellMar>
      </w:tblPr>
      <w:tblGrid>
        <w:gridCol w:w="1342"/>
        <w:gridCol w:w="1174"/>
        <w:gridCol w:w="1189"/>
        <w:gridCol w:w="539"/>
        <w:gridCol w:w="539"/>
        <w:gridCol w:w="541"/>
        <w:gridCol w:w="304"/>
        <w:gridCol w:w="304"/>
        <w:gridCol w:w="304"/>
        <w:gridCol w:w="304"/>
        <w:gridCol w:w="304"/>
        <w:gridCol w:w="304"/>
        <w:gridCol w:w="610"/>
        <w:gridCol w:w="610"/>
        <w:gridCol w:w="610"/>
        <w:gridCol w:w="304"/>
        <w:gridCol w:w="304"/>
        <w:gridCol w:w="430"/>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469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Names of each exchange on which registered</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$0.0002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JRVR</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Global Select Market</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12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92"/>
        <w:gridCol w:w="520"/>
        <w:gridCol w:w="522"/>
        <w:gridCol w:w="109"/>
        <w:gridCol w:w="109"/>
        <w:gridCol w:w="109"/>
        <w:gridCol w:w="415"/>
        <w:gridCol w:w="415"/>
        <w:gridCol w:w="416"/>
        <w:gridCol w:w="109"/>
        <w:gridCol w:w="109"/>
        <w:gridCol w:w="109"/>
        <w:gridCol w:w="540"/>
        <w:gridCol w:w="540"/>
        <w:gridCol w:w="541"/>
        <w:gridCol w:w="109"/>
        <w:gridCol w:w="109"/>
        <w:gridCol w:w="109"/>
        <w:gridCol w:w="675"/>
        <w:gridCol w:w="675"/>
        <w:gridCol w:w="676"/>
        <w:gridCol w:w="109"/>
        <w:gridCol w:w="109"/>
        <w:gridCol w:w="109"/>
        <w:gridCol w:w="663"/>
        <w:gridCol w:w="663"/>
        <w:gridCol w:w="666"/>
        <w:gridCol w:w="109"/>
        <w:gridCol w:w="109"/>
        <w:gridCol w:w="160"/>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12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120"/>
        <w:jc w:val="both"/>
        <w:rPr/>
      </w:pP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Number of shares of the registrant's common stock outstanding at August 5, 2026: 46,239,030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501"/>
        <w:gridCol w:w="419"/>
        <w:gridCol w:w="419"/>
        <w:gridCol w:w="2808"/>
        <w:gridCol w:w="2671"/>
        <w:gridCol w:w="2647"/>
        <w:gridCol w:w="215"/>
        <w:gridCol w:w="215"/>
        <w:gridCol w:w="310"/>
      </w:tblGrid>
      <w:tr>
        <w:trPr/>
        <w:tc>
          <w:tcPr>
            <w:tcW w:w="50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94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br/>
              <w:t>Number</w:t>
            </w:r>
          </w:p>
        </w:tc>
      </w:tr>
      <w:tr>
        <w:trPr/>
        <w:tc>
          <w:tcPr>
            <w:tcW w:w="946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0">
              <w:r>
                <w:rPr>
                  <w:rStyle w:val="InternetLink"/>
                  <w:rFonts w:ascii="Times New Roman;serif" w:hAnsi="Times New Roman;serif"/>
                  <w:b w:val="false"/>
                  <w:color w:val="0000FF"/>
                  <w:sz w:val="20"/>
                  <w:u w:val="single"/>
                </w:rPr>
                <w:t>PART I. FINANCIAL INFORMATION</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3">
              <w:r>
                <w:rPr>
                  <w:rStyle w:val="InternetLink"/>
                  <w:rFonts w:ascii="Times New Roman;serif" w:hAnsi="Times New Roman;serif"/>
                  <w:b w:val="false"/>
                  <w:color w:val="0000FF"/>
                  <w:sz w:val="20"/>
                  <w:u w:val="single"/>
                </w:rPr>
                <w:t>Item 1.</w:t>
              </w:r>
            </w:hyperlink>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3">
              <w:r>
                <w:rPr>
                  <w:rStyle w:val="InternetLink"/>
                  <w:rFonts w:ascii="Times New Roman;serif" w:hAnsi="Times New Roman;serif"/>
                  <w:b w:val="false"/>
                  <w:color w:val="0000FF"/>
                  <w:sz w:val="20"/>
                  <w:u w:val="single"/>
                </w:rPr>
                <w:t>Financial Statements</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6">
              <w:r>
                <w:rPr>
                  <w:rStyle w:val="InternetLink"/>
                  <w:rFonts w:ascii="Times New Roman;serif" w:hAnsi="Times New Roman;serif"/>
                  <w:b w:val="false"/>
                  <w:color w:val="000080"/>
                  <w:sz w:val="20"/>
                  <w:u w:val="single"/>
                </w:rPr>
                <w:t>Condensed Consolidated Balance Sheets</w:t>
              </w:r>
            </w:hyperlink>
            <w:hyperlink w:anchor="i1d63177fed5741faa6b222521ca019e9_19">
              <w:r>
                <w:rPr>
                  <w:rStyle w:val="InternetLink"/>
                  <w:rFonts w:ascii="Times New Roman;serif" w:hAnsi="Times New Roman;serif"/>
                  <w:b w:val="false"/>
                  <w:color w:val="000080"/>
                  <w:sz w:val="20"/>
                  <w:u w:val="single"/>
                </w:rPr>
                <w:t>—</w:t>
              </w:r>
            </w:hyperlink>
            <w:hyperlink w:anchor="i1d63177fed5741faa6b222521ca019e9_16">
              <w:r>
                <w:rPr>
                  <w:rStyle w:val="InternetLink"/>
                  <w:rFonts w:ascii="Times New Roman;serif" w:hAnsi="Times New Roman;serif"/>
                  <w:b w:val="false"/>
                  <w:color w:val="000080"/>
                  <w:sz w:val="20"/>
                  <w:u w:val="single"/>
                </w:rPr>
                <w:t>June 30, 2026 and December 31, 2025</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63177fed5741faa6b222521ca019e9_16">
              <w:r>
                <w:rPr>
                  <w:rStyle w:val="InternetLink"/>
                  <w:rFonts w:ascii="Times New Roman;serif" w:hAnsi="Times New Roman;serif"/>
                  <w:b w:val="false"/>
                  <w:color w:val="0000FF"/>
                  <w:sz w:val="20"/>
                  <w:u w:val="single"/>
                </w:rPr>
                <w:t>5</w:t>
              </w:r>
            </w:hyperlink>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9">
              <w:r>
                <w:rPr>
                  <w:rStyle w:val="InternetLink"/>
                  <w:rFonts w:ascii="Times New Roman;serif" w:hAnsi="Times New Roman;serif"/>
                  <w:b w:val="false"/>
                  <w:color w:val="0000FF"/>
                  <w:sz w:val="20"/>
                  <w:u w:val="single"/>
                </w:rPr>
                <w:t>Condensed Consolidated Statements of Income (Loss) and Comprehensive Income (Loss)—Three and Six Months Ended June 30, 2026 and 2025</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63177fed5741faa6b222521ca019e9_19">
              <w:r>
                <w:rPr>
                  <w:rStyle w:val="InternetLink"/>
                  <w:rFonts w:ascii="Times New Roman;serif" w:hAnsi="Times New Roman;serif"/>
                  <w:b w:val="false"/>
                  <w:color w:val="0000FF"/>
                  <w:sz w:val="20"/>
                  <w:u w:val="single"/>
                </w:rPr>
                <w:t>7</w:t>
              </w:r>
            </w:hyperlink>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22">
              <w:r>
                <w:rPr>
                  <w:rStyle w:val="InternetLink"/>
                  <w:rFonts w:ascii="Times New Roman;serif" w:hAnsi="Times New Roman;serif"/>
                  <w:b w:val="false"/>
                  <w:color w:val="0000FF"/>
                  <w:sz w:val="20"/>
                  <w:u w:val="single"/>
                </w:rPr>
                <w:t>Condensed Consolidated Statements of Changes in Shareholders’ Equity—Three and Six Months Ended June 30, 2026 and 2025</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63177fed5741faa6b222521ca019e9_22">
              <w:r>
                <w:rPr>
                  <w:rStyle w:val="InternetLink"/>
                  <w:rFonts w:ascii="Times New Roman;serif" w:hAnsi="Times New Roman;serif"/>
                  <w:b w:val="false"/>
                  <w:color w:val="0000FF"/>
                  <w:sz w:val="20"/>
                  <w:u w:val="single"/>
                </w:rPr>
                <w:t>8</w:t>
              </w:r>
            </w:hyperlink>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25">
              <w:r>
                <w:rPr>
                  <w:rStyle w:val="InternetLink"/>
                  <w:rFonts w:ascii="Times New Roman;serif" w:hAnsi="Times New Roman;serif"/>
                  <w:b w:val="false"/>
                  <w:color w:val="0000FF"/>
                  <w:sz w:val="20"/>
                  <w:u w:val="single"/>
                </w:rPr>
                <w:t>Condensed Consolidated Statements of Cash Flows—Six Months Ended June 30, 2026 and 2025</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63177fed5741faa6b222521ca019e9_25">
              <w:r>
                <w:rPr>
                  <w:rStyle w:val="InternetLink"/>
                  <w:rFonts w:ascii="Times New Roman;serif" w:hAnsi="Times New Roman;serif"/>
                  <w:b w:val="false"/>
                  <w:color w:val="0000FF"/>
                  <w:sz w:val="20"/>
                  <w:u w:val="single"/>
                </w:rPr>
                <w:t>10</w:t>
              </w:r>
            </w:hyperlink>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28">
              <w:r>
                <w:rPr>
                  <w:rStyle w:val="InternetLink"/>
                  <w:rFonts w:ascii="Times New Roman;serif" w:hAnsi="Times New Roman;serif"/>
                  <w:b w:val="false"/>
                  <w:color w:val="0000FF"/>
                  <w:sz w:val="20"/>
                  <w:u w:val="single"/>
                </w:rPr>
                <w:t>Notes to Condensed Consolidated Financial Statements</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63177fed5741faa6b222521ca019e9_28">
              <w:r>
                <w:rPr>
                  <w:rStyle w:val="InternetLink"/>
                  <w:rFonts w:ascii="Times New Roman;serif" w:hAnsi="Times New Roman;serif"/>
                  <w:b w:val="false"/>
                  <w:color w:val="0000FF"/>
                  <w:sz w:val="20"/>
                  <w:u w:val="single"/>
                </w:rPr>
                <w:t>11</w:t>
              </w:r>
            </w:hyperlink>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76">
              <w:r>
                <w:rPr>
                  <w:rStyle w:val="InternetLink"/>
                  <w:rFonts w:ascii="Times New Roman;serif" w:hAnsi="Times New Roman;serif"/>
                  <w:b w:val="false"/>
                  <w:color w:val="0000FF"/>
                  <w:sz w:val="20"/>
                  <w:u w:val="single"/>
                </w:rPr>
                <w:t>Item 2.</w:t>
              </w:r>
            </w:hyperlink>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63177fed5741faa6b222521ca019e9_76">
              <w:r>
                <w:rPr>
                  <w:rStyle w:val="InternetLink"/>
                  <w:rFonts w:ascii="Times New Roman;serif" w:hAnsi="Times New Roman;serif"/>
                  <w:b w:val="false"/>
                  <w:color w:val="0000FF"/>
                  <w:sz w:val="20"/>
                  <w:u w:val="single"/>
                </w:rPr>
                <w:t>36</w:t>
              </w:r>
            </w:hyperlink>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79">
              <w:r>
                <w:rPr>
                  <w:rStyle w:val="InternetLink"/>
                  <w:rFonts w:ascii="Times New Roman;serif" w:hAnsi="Times New Roman;serif"/>
                  <w:b w:val="false"/>
                  <w:color w:val="0000FF"/>
                  <w:sz w:val="20"/>
                  <w:u w:val="single"/>
                </w:rPr>
                <w:t>Critical Accounting Policies and Estimates</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63177fed5741faa6b222521ca019e9_79">
              <w:r>
                <w:rPr>
                  <w:rStyle w:val="InternetLink"/>
                  <w:rFonts w:ascii="Times New Roman;serif" w:hAnsi="Times New Roman;serif"/>
                  <w:b w:val="false"/>
                  <w:color w:val="0000FF"/>
                  <w:sz w:val="20"/>
                  <w:u w:val="single"/>
                </w:rPr>
                <w:t>38</w:t>
              </w:r>
            </w:hyperlink>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94">
              <w:r>
                <w:rPr>
                  <w:rStyle w:val="InternetLink"/>
                  <w:rFonts w:ascii="Times New Roman;serif" w:hAnsi="Times New Roman;serif"/>
                  <w:b w:val="false"/>
                  <w:color w:val="0000FF"/>
                  <w:sz w:val="20"/>
                  <w:u w:val="single"/>
                </w:rPr>
                <w:t>Item 3.</w:t>
              </w:r>
            </w:hyperlink>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94">
              <w:r>
                <w:rPr>
                  <w:rStyle w:val="InternetLink"/>
                  <w:rFonts w:ascii="Times New Roman;serif" w:hAnsi="Times New Roman;serif"/>
                  <w:b w:val="false"/>
                  <w:color w:val="0000FF"/>
                  <w:sz w:val="20"/>
                  <w:u w:val="single"/>
                </w:rPr>
                <w:t>Quantitative and Qualitative Disclosures About Market Risk</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63177fed5741faa6b222521ca019e9_94">
              <w:r>
                <w:rPr>
                  <w:rStyle w:val="InternetLink"/>
                  <w:rFonts w:ascii="Times New Roman;serif" w:hAnsi="Times New Roman;serif"/>
                  <w:b w:val="false"/>
                  <w:color w:val="0000FF"/>
                  <w:sz w:val="20"/>
                  <w:u w:val="single"/>
                </w:rPr>
                <w:t>61</w:t>
              </w:r>
            </w:hyperlink>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97">
              <w:r>
                <w:rPr>
                  <w:rStyle w:val="InternetLink"/>
                  <w:rFonts w:ascii="Times New Roman;serif" w:hAnsi="Times New Roman;serif"/>
                  <w:b w:val="false"/>
                  <w:color w:val="0000FF"/>
                  <w:sz w:val="20"/>
                  <w:u w:val="single"/>
                </w:rPr>
                <w:t>Item 4.</w:t>
              </w:r>
            </w:hyperlink>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97">
              <w:r>
                <w:rPr>
                  <w:rStyle w:val="InternetLink"/>
                  <w:rFonts w:ascii="Times New Roman;serif" w:hAnsi="Times New Roman;serif"/>
                  <w:b w:val="false"/>
                  <w:color w:val="0000FF"/>
                  <w:sz w:val="20"/>
                  <w:u w:val="single"/>
                </w:rPr>
                <w:t>Controls and Procedures</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63177fed5741faa6b222521ca019e9_97">
              <w:r>
                <w:rPr>
                  <w:rStyle w:val="InternetLink"/>
                  <w:rFonts w:ascii="Times New Roman;serif" w:hAnsi="Times New Roman;serif"/>
                  <w:b w:val="false"/>
                  <w:color w:val="0000FF"/>
                  <w:sz w:val="20"/>
                  <w:u w:val="single"/>
                </w:rPr>
                <w:t>61</w:t>
              </w:r>
            </w:hyperlink>
          </w:p>
        </w:tc>
      </w:tr>
      <w:tr>
        <w:trPr/>
        <w:tc>
          <w:tcPr>
            <w:tcW w:w="94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00">
              <w:r>
                <w:rPr>
                  <w:rStyle w:val="InternetLink"/>
                  <w:rFonts w:ascii="Times New Roman;serif" w:hAnsi="Times New Roman;serif"/>
                  <w:b w:val="false"/>
                  <w:color w:val="0000FF"/>
                  <w:sz w:val="20"/>
                  <w:u w:val="single"/>
                </w:rPr>
                <w:t>PART II. OTHER INFORMATION</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03">
              <w:r>
                <w:rPr>
                  <w:rStyle w:val="InternetLink"/>
                  <w:rFonts w:ascii="Times New Roman;serif" w:hAnsi="Times New Roman;serif"/>
                  <w:b w:val="false"/>
                  <w:color w:val="0000FF"/>
                  <w:sz w:val="20"/>
                  <w:u w:val="single"/>
                </w:rPr>
                <w:t>Item 1.</w:t>
              </w:r>
            </w:hyperlink>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03">
              <w:r>
                <w:rPr>
                  <w:rStyle w:val="InternetLink"/>
                  <w:rFonts w:ascii="Times New Roman;serif" w:hAnsi="Times New Roman;serif"/>
                  <w:b w:val="false"/>
                  <w:color w:val="0000FF"/>
                  <w:sz w:val="20"/>
                  <w:u w:val="single"/>
                </w:rPr>
                <w:t>Legal Proceedings</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63177fed5741faa6b222521ca019e9_103">
              <w:r>
                <w:rPr>
                  <w:rStyle w:val="InternetLink"/>
                  <w:rFonts w:ascii="Times New Roman;serif" w:hAnsi="Times New Roman;serif"/>
                  <w:b w:val="false"/>
                  <w:color w:val="0000FF"/>
                  <w:sz w:val="20"/>
                  <w:u w:val="single"/>
                </w:rPr>
                <w:t>61</w:t>
              </w:r>
            </w:hyperlink>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06">
              <w:r>
                <w:rPr>
                  <w:rStyle w:val="InternetLink"/>
                  <w:rFonts w:ascii="Times New Roman;serif" w:hAnsi="Times New Roman;serif"/>
                  <w:b w:val="false"/>
                  <w:color w:val="0000FF"/>
                  <w:sz w:val="20"/>
                  <w:u w:val="single"/>
                </w:rPr>
                <w:t>Item 1A.</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06">
              <w:r>
                <w:rPr>
                  <w:rStyle w:val="InternetLink"/>
                  <w:rFonts w:ascii="Times New Roman;serif" w:hAnsi="Times New Roman;serif"/>
                  <w:b w:val="false"/>
                  <w:color w:val="0000FF"/>
                  <w:sz w:val="20"/>
                  <w:u w:val="single"/>
                </w:rPr>
                <w:t>Risk Factors</w:t>
              </w:r>
            </w:hyperlink>
          </w:p>
        </w:tc>
        <w:tc>
          <w:tcPr>
            <w:tcW w:w="7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63177fed5741faa6b222521ca019e9_106">
              <w:r>
                <w:rPr>
                  <w:rStyle w:val="InternetLink"/>
                  <w:rFonts w:ascii="Times New Roman;serif" w:hAnsi="Times New Roman;serif"/>
                  <w:b w:val="false"/>
                  <w:color w:val="0000FF"/>
                  <w:sz w:val="20"/>
                  <w:u w:val="single"/>
                </w:rPr>
                <w:t>61</w:t>
              </w:r>
            </w:hyperlink>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09">
              <w:r>
                <w:rPr>
                  <w:rStyle w:val="InternetLink"/>
                  <w:rFonts w:ascii="Times New Roman;serif" w:hAnsi="Times New Roman;serif"/>
                  <w:b w:val="false"/>
                  <w:color w:val="0000FF"/>
                  <w:sz w:val="20"/>
                  <w:u w:val="single"/>
                </w:rPr>
                <w:t>Item 2.</w:t>
              </w:r>
            </w:hyperlink>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09">
              <w:r>
                <w:rPr>
                  <w:rStyle w:val="InternetLink"/>
                  <w:rFonts w:ascii="Times New Roman;serif" w:hAnsi="Times New Roman;serif"/>
                  <w:b w:val="false"/>
                  <w:color w:val="0000FF"/>
                  <w:sz w:val="20"/>
                  <w:u w:val="single"/>
                </w:rPr>
                <w:t>Unregistered Sales of Equity Securities and Use of Proceeds</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63177fed5741faa6b222521ca019e9_109">
              <w:r>
                <w:rPr>
                  <w:rStyle w:val="InternetLink"/>
                  <w:rFonts w:ascii="Times New Roman;serif" w:hAnsi="Times New Roman;serif"/>
                  <w:b w:val="false"/>
                  <w:color w:val="0000FF"/>
                  <w:sz w:val="20"/>
                  <w:u w:val="single"/>
                </w:rPr>
                <w:t>62</w:t>
              </w:r>
            </w:hyperlink>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12">
              <w:r>
                <w:rPr>
                  <w:rStyle w:val="InternetLink"/>
                  <w:rFonts w:ascii="Times New Roman;serif" w:hAnsi="Times New Roman;serif"/>
                  <w:b w:val="false"/>
                  <w:color w:val="0000FF"/>
                  <w:sz w:val="20"/>
                  <w:u w:val="single"/>
                </w:rPr>
                <w:t>Item 3.</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12">
              <w:r>
                <w:rPr>
                  <w:rStyle w:val="InternetLink"/>
                  <w:rFonts w:ascii="Times New Roman;serif" w:hAnsi="Times New Roman;serif"/>
                  <w:b w:val="false"/>
                  <w:color w:val="0000FF"/>
                  <w:sz w:val="20"/>
                  <w:u w:val="single"/>
                </w:rPr>
                <w:t>Defaults Upon Senior Securities</w:t>
              </w:r>
            </w:hyperlink>
          </w:p>
        </w:tc>
        <w:tc>
          <w:tcPr>
            <w:tcW w:w="7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63177fed5741faa6b222521ca019e9_112">
              <w:r>
                <w:rPr>
                  <w:rStyle w:val="InternetLink"/>
                  <w:rFonts w:ascii="Times New Roman;serif" w:hAnsi="Times New Roman;serif"/>
                  <w:b w:val="false"/>
                  <w:color w:val="0000FF"/>
                  <w:sz w:val="20"/>
                  <w:u w:val="single"/>
                </w:rPr>
                <w:t>62</w:t>
              </w:r>
            </w:hyperlink>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15">
              <w:r>
                <w:rPr>
                  <w:rStyle w:val="InternetLink"/>
                  <w:rFonts w:ascii="Times New Roman;serif" w:hAnsi="Times New Roman;serif"/>
                  <w:b w:val="false"/>
                  <w:color w:val="0000FF"/>
                  <w:sz w:val="20"/>
                  <w:u w:val="single"/>
                </w:rPr>
                <w:t>Item 4.</w:t>
              </w:r>
            </w:hyperlink>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15">
              <w:r>
                <w:rPr>
                  <w:rStyle w:val="InternetLink"/>
                  <w:rFonts w:ascii="Times New Roman;serif" w:hAnsi="Times New Roman;serif"/>
                  <w:b w:val="false"/>
                  <w:color w:val="0000FF"/>
                  <w:sz w:val="20"/>
                  <w:u w:val="single"/>
                </w:rPr>
                <w:t>Mine Safety Disclosures</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63177fed5741faa6b222521ca019e9_115">
              <w:r>
                <w:rPr>
                  <w:rStyle w:val="InternetLink"/>
                  <w:rFonts w:ascii="Times New Roman;serif" w:hAnsi="Times New Roman;serif"/>
                  <w:b w:val="false"/>
                  <w:color w:val="0000FF"/>
                  <w:sz w:val="20"/>
                  <w:u w:val="single"/>
                </w:rPr>
                <w:t>62</w:t>
              </w:r>
            </w:hyperlink>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18">
              <w:r>
                <w:rPr>
                  <w:rStyle w:val="InternetLink"/>
                  <w:rFonts w:ascii="Times New Roman;serif" w:hAnsi="Times New Roman;serif"/>
                  <w:b w:val="false"/>
                  <w:color w:val="0000FF"/>
                  <w:sz w:val="20"/>
                  <w:u w:val="single"/>
                </w:rPr>
                <w:t>Item 5.</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18">
              <w:r>
                <w:rPr>
                  <w:rStyle w:val="InternetLink"/>
                  <w:rFonts w:ascii="Times New Roman;serif" w:hAnsi="Times New Roman;serif"/>
                  <w:b w:val="false"/>
                  <w:color w:val="0000FF"/>
                  <w:sz w:val="20"/>
                  <w:u w:val="single"/>
                </w:rPr>
                <w:t>Other Information</w:t>
              </w:r>
            </w:hyperlink>
          </w:p>
        </w:tc>
        <w:tc>
          <w:tcPr>
            <w:tcW w:w="7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63177fed5741faa6b222521ca019e9_118">
              <w:r>
                <w:rPr>
                  <w:rStyle w:val="InternetLink"/>
                  <w:rFonts w:ascii="Times New Roman;serif" w:hAnsi="Times New Roman;serif"/>
                  <w:b w:val="false"/>
                  <w:color w:val="0000FF"/>
                  <w:sz w:val="20"/>
                  <w:u w:val="single"/>
                </w:rPr>
                <w:t>62</w:t>
              </w:r>
            </w:hyperlink>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21">
              <w:r>
                <w:rPr>
                  <w:rStyle w:val="InternetLink"/>
                  <w:rFonts w:ascii="Times New Roman;serif" w:hAnsi="Times New Roman;serif"/>
                  <w:b w:val="false"/>
                  <w:color w:val="0000FF"/>
                  <w:sz w:val="20"/>
                  <w:u w:val="single"/>
                </w:rPr>
                <w:t>Item 6.</w:t>
              </w:r>
            </w:hyperlink>
          </w:p>
        </w:tc>
        <w:tc>
          <w:tcPr>
            <w:tcW w:w="8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21">
              <w:r>
                <w:rPr>
                  <w:rStyle w:val="InternetLink"/>
                  <w:rFonts w:ascii="Times New Roman;serif" w:hAnsi="Times New Roman;serif"/>
                  <w:b w:val="false"/>
                  <w:color w:val="0000FF"/>
                  <w:sz w:val="20"/>
                  <w:u w:val="single"/>
                </w:rPr>
                <w:t>Exhibits</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63177fed5741faa6b222521ca019e9_121">
              <w:r>
                <w:rPr>
                  <w:rStyle w:val="InternetLink"/>
                  <w:rFonts w:ascii="Times New Roman;serif" w:hAnsi="Times New Roman;serif"/>
                  <w:b w:val="false"/>
                  <w:color w:val="0000FF"/>
                  <w:sz w:val="20"/>
                  <w:u w:val="single"/>
                </w:rPr>
                <w:t>63</w:t>
              </w:r>
            </w:hyperlink>
          </w:p>
        </w:tc>
      </w:tr>
      <w:tr>
        <w:trPr/>
        <w:tc>
          <w:tcPr>
            <w:tcW w:w="94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63177fed5741faa6b222521ca019e9_124">
              <w:r>
                <w:rPr>
                  <w:rStyle w:val="InternetLink"/>
                  <w:rFonts w:ascii="Times New Roman;serif" w:hAnsi="Times New Roman;serif"/>
                  <w:b w:val="false"/>
                  <w:color w:val="0000FF"/>
                  <w:sz w:val="20"/>
                  <w:u w:val="single"/>
                </w:rPr>
                <w:t>Signatures</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63177fed5741faa6b222521ca019e9_124">
              <w:r>
                <w:rPr>
                  <w:rStyle w:val="InternetLink"/>
                  <w:rFonts w:ascii="Times New Roman;serif" w:hAnsi="Times New Roman;serif"/>
                  <w:b w:val="false"/>
                  <w:color w:val="0000FF"/>
                  <w:sz w:val="20"/>
                  <w:u w:val="single"/>
                </w:rPr>
                <w:t>64</w:t>
              </w:r>
            </w:hyperlink>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On November 7, 2025, we completed a domestication resulting in our holding company, James River Group Holdings, Ltd., changing its jurisdiction of incorporation from Bermuda to Delaware and changing its name to James River Group Holdings, Inc. (the "Domestication"). This Quarterly Report on Form 10-Q includes the results of James River Group Holdings, Ltd. prior to the Domestication and James River Group Holdings, Inc. following the Domestication.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Unless the context indicates or suggests otherwise, references in this Quarterly Report on Form 10-Q to “the Company,” “we,” “us” and “our” refer to (i) James River Group Holdings, Inc. and its consolidated subsidiaries following the Domestication and (ii) James River Group Holdings, Ltd. and its consolidated subsidiaries prior to the Domestication.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actual results may differ materially from those expressed in, or implied by, the forward-looking statements included in this Quarterly Report as a result of various factors, many of which are beyond our control, including, among others: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the inherent uncertainty of estimating loss and loss adjustment expense reserves and the possibility that incurred losses and loss adjustment expenses may be greater than our estimate used to compute loss and loss adjustment expense reserves included in the financial statements;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inaccurate estimates and judgments in our risk management may expose us to greater risks than intended;</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downgrades in the financial strength rating or outlook of our regulated insurance subsidiaries impacting our competitive position and ability to attract and retain insurance business that our subsidiaries write and ultimately our financial condition and triggering a default on our credit facility;</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the potential loss of key members of our management team or key employees, and our ability to attract and retain personnel;</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adverse economic and competitive factors resulting in the sale of fewer policies than expected or an increase in the frequency or severity of claims, or both;</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risks associated with strategic transactions and initiatives, including our ability to identify, negotiate, consummate and realize the anticipated benefits of acquisitions, dispositions, investments, joint ventures, reinsurance transactions, capital-raising transactions and other strategic alternatives;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the impact of a higher than expected inflationary environment on our reserves, loss adjustment expenses, the values of our investments and investment returns, and our compensation expenses;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exposure to credit risk, interest rate risk and other market risk in our investment portfolio and our reinsurers;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reliance on a select group of brokers and agents for a significant portion of our business and the impact of our potential failure to maintain such relationships;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reliance on a select group of customers for a significant portion of our business and the impact of our potential failure to maintain, or decision to terminate, such relationships;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our ability to obtain insurance and reinsurance coverage at prices and on terms that allow us to transfer risk, adequately protect our Company against financial loss and that supports our growth plans;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losses resulting from reinsurance counterparties failing to pay us on reinsurance claims, insurance companies with whom we have a fronting arrangement failing to pay us for claims, or a former customer with whom we have an indemnification arrangement failing to perform its reimbursement obligations, and our potential inability to demand or maintain adequate collateral to mitigate such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the inherent uncertainty of estimating reinsurance recoverable on unpaid losses and the possibility that reinsurance may be less than our estimate of reinsurance recoverable on unpaid losses;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inadequacy of premiums we charge to compensate us for our losses incurred;</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an impairment of our goodwill or other intangible assets affecting our results of operations and book value;</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changes in laws or government regulation, including tax or insurance laws and regulations;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changes in U.S. tax laws (including associated regulations) and the interpretation of certain provisions applicable to insurance/reinsurance businesses with U.S. and non-U.S. operations, which may be retroactive and could have a significant effect on us including, among other things, by potentially increasing our tax rate, as well as on our shareholders;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a failure of any of the loss limitations or exclusions we utilize in our insurance products to shield us from unanticipated financial losses or legal exposures, or other liabilities;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losses from catastrophic events, such as natural disasters and terrorist acts, which substantially exceed our expectations and/or exceed the amount of reinsurance we have purchased to protect us from such events;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potential effects on our business of emerging claim and coverage issues;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the potential impact of internal or external fraud, operational errors, systems malfunctions or cyber security incidents;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our ability to manage our growth effectively;</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failure to maintain effective internal controls in accordance with the Sarbanes-Oxley Act of 2002, as amended;</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changes in our financial condition, regulations or other factors that may restrict our subsidiaries’ ability to pay us dividends;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an adverse result in any litigation or legal proceedings we are or may become subject to;</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 xml:space="preserve">inability to generate taxable income and execute tax planning strategies which could adversely impact our ability to recognize deferred tax assets at the level reflected on our balance sheet; and </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other risks and uncertainties discussed in this Quarterly Report.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Accordingly, you should read this Quarterly Report completely and with the understanding that our actual future results may be materially different from information contained in the forward-looking statements.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 information about these risks and uncertainties, as well as others that may cause actual results to differ materially from those in the forward-looking statements, is contained in our filings with the U.S. Securities and Exchange Commission (“SEC”), including our Annual Report on Form 10-K for the year ended December 31, 2025 filed with the SEC on March 3, 2026.</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598"/>
        <w:gridCol w:w="2203"/>
        <w:gridCol w:w="2199"/>
        <w:gridCol w:w="250"/>
        <w:gridCol w:w="1157"/>
        <w:gridCol w:w="128"/>
        <w:gridCol w:w="109"/>
        <w:gridCol w:w="109"/>
        <w:gridCol w:w="109"/>
        <w:gridCol w:w="211"/>
        <w:gridCol w:w="976"/>
        <w:gridCol w:w="156"/>
      </w:tblGrid>
      <w:tr>
        <w:trPr/>
        <w:tc>
          <w:tcPr>
            <w:tcW w:w="2598"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 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Invested assets:</w:t>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 at fair value (amortized cost: 2026 – $1,496,081; 2025 – $1,448,750)</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1,439,293 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securities, at fair value (cost: 2026 – $68,494; 2025 – $66,916)</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 at fair value</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invested assets</w:t>
            </w:r>
          </w:p>
        </w:tc>
        <w:tc>
          <w:tcPr>
            <w:tcW w:w="14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1,743,604 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1,697,156 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195,576 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 and agents’ balances, net</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137,969 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 net</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2,032,045 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2,026,110 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on paid losses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reinsurance premiums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180,077 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136,563 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4,773,078 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4,859,930 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(continued)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575"/>
        <w:gridCol w:w="2245"/>
        <w:gridCol w:w="2250"/>
        <w:gridCol w:w="238"/>
        <w:gridCol w:w="1103"/>
        <w:gridCol w:w="122"/>
        <w:gridCol w:w="109"/>
        <w:gridCol w:w="109"/>
        <w:gridCol w:w="109"/>
        <w:gridCol w:w="211"/>
        <w:gridCol w:w="976"/>
        <w:gridCol w:w="158"/>
      </w:tblGrid>
      <w:tr>
        <w:trPr/>
        <w:tc>
          <w:tcPr>
            <w:tcW w:w="2575"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 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share amounts)</w:t>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loss adjustment expenses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3,090,045 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3,099,418 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 to reinsurers</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held</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reinsurance gain</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debt</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subordinated debt</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4,117,362 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4,188,662 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contingent liabilities (Note 8)</w:t>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A redeemable preferred shares – 2026 and 2025: 165,000 shares authorized; 112,500 shares issued and outstanding</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2026 and 2025: $0.0002 par value; 200,000,000 shares authorized; 46,239,030 and 45,968,584 shares issued and outstanding, respectively</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 2026 and 2025: $0.00125 par value; 19,835,000 shares authorized; no shares issued and outstanding</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939,611 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deficit</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(372,156)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(364,726)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3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522,601 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538,153 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Series A redeemable preferred shares, and shareholders’ equity</w:t>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4,773,078 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4,859,930 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color w:val="000000"/>
        </w:rPr>
        <w:t> </w:t>
      </w:r>
      <w:r>
        <w:rPr>
          <w:rFonts w:ascii="Times New Roman;serif" w:hAnsi="Times New Roman;serif"/>
          <w:b/>
          <w:color w:val="000000"/>
          <w:sz w:val="20"/>
        </w:rPr>
        <w:t>JAMES RIVER GROUP HOLDINGS, INC.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(Loss) and Comprehensive Income (Loss)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23"/>
        <w:gridCol w:w="1477"/>
        <w:gridCol w:w="1498"/>
        <w:gridCol w:w="202"/>
        <w:gridCol w:w="759"/>
        <w:gridCol w:w="109"/>
        <w:gridCol w:w="109"/>
        <w:gridCol w:w="109"/>
        <w:gridCol w:w="109"/>
        <w:gridCol w:w="202"/>
        <w:gridCol w:w="759"/>
        <w:gridCol w:w="109"/>
        <w:gridCol w:w="109"/>
        <w:gridCol w:w="109"/>
        <w:gridCol w:w="109"/>
        <w:gridCol w:w="202"/>
        <w:gridCol w:w="759"/>
        <w:gridCol w:w="109"/>
        <w:gridCol w:w="109"/>
        <w:gridCol w:w="109"/>
        <w:gridCol w:w="109"/>
        <w:gridCol w:w="202"/>
        <w:gridCol w:w="759"/>
        <w:gridCol w:w="155"/>
      </w:tblGrid>
      <w:tr>
        <w:trPr/>
        <w:tc>
          <w:tcPr>
            <w:tcW w:w="192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share amounts)</w:t>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written premiums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672,364 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Ceded written premiums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(368,418)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written premiums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268,496 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303,946 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net unearned premiums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earned premiums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274,730 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304,511 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realized and unrealized gains (losses) on investments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161,344 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174,843 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312,728 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347,132 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Losses and loss adjustment expenses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expenses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314,902 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323,796 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 on continuing operations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 (Note 2):</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discontinued operations, net of tax</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loss from discontinued operations</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(1,775)</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Series A preferred shares</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(3,938)</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available to common shareholders</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unrealized (losses) gains, net of taxes of $(257) and $(2,691) in 2026 and $1,310 and $5,117 in 2025</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comprehensive income (loss)</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33,582 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common share:</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 declared per common share</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common shares outstanding:</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46,319,945 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46,032,626 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46,210,545 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45,918,697 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46,962,276 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46,726,255 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46,210,545 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46,432,481 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0"/>
        <w:ind w:left="0" w:right="0" w:firstLine="36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i/>
          <w:color w:val="000000"/>
          <w:sz w:val="20"/>
        </w:rPr>
        <w:t>See accompanying notes.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 (Unaudited)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10491" w:type="dxa"/>
        <w:jc w:val="left"/>
        <w:tblInd w:w="0" w:type="dxa"/>
        <w:tblLayout w:type="fixed"/>
        <w:tblCellMar>
          <w:top w:w="28" w:type="dxa"/>
          <w:left w:w="28" w:type="dxa"/>
          <w:bottom w:w="28" w:type="dxa"/>
          <w:right w:w="28" w:type="dxa"/>
        </w:tblCellMar>
      </w:tblPr>
      <w:tblGrid>
        <w:gridCol w:w="678"/>
        <w:gridCol w:w="253"/>
        <w:gridCol w:w="255"/>
        <w:gridCol w:w="480"/>
        <w:gridCol w:w="481"/>
        <w:gridCol w:w="336"/>
        <w:gridCol w:w="109"/>
        <w:gridCol w:w="109"/>
        <w:gridCol w:w="109"/>
        <w:gridCol w:w="274"/>
        <w:gridCol w:w="338"/>
        <w:gridCol w:w="154"/>
        <w:gridCol w:w="109"/>
        <w:gridCol w:w="109"/>
        <w:gridCol w:w="109"/>
        <w:gridCol w:w="223"/>
        <w:gridCol w:w="463"/>
        <w:gridCol w:w="125"/>
        <w:gridCol w:w="109"/>
        <w:gridCol w:w="109"/>
        <w:gridCol w:w="109"/>
        <w:gridCol w:w="196"/>
        <w:gridCol w:w="736"/>
        <w:gridCol w:w="109"/>
        <w:gridCol w:w="109"/>
        <w:gridCol w:w="109"/>
        <w:gridCol w:w="109"/>
        <w:gridCol w:w="196"/>
        <w:gridCol w:w="751"/>
        <w:gridCol w:w="109"/>
        <w:gridCol w:w="109"/>
        <w:gridCol w:w="109"/>
        <w:gridCol w:w="109"/>
        <w:gridCol w:w="246"/>
        <w:gridCol w:w="832"/>
        <w:gridCol w:w="138"/>
        <w:gridCol w:w="109"/>
        <w:gridCol w:w="109"/>
        <w:gridCol w:w="109"/>
        <w:gridCol w:w="208"/>
        <w:gridCol w:w="783"/>
        <w:gridCol w:w="165"/>
      </w:tblGrid>
      <w:tr>
        <w:trPr/>
        <w:tc>
          <w:tcPr>
            <w:tcW w:w="67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Common</w:t>
              <w:b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w:t>
              <w:br/>
              <w:t>Stock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share amounts)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March 31, 2026</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46,236,856 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(43,895)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518,416 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Compensation expense under share incentive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Series A preferred shares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June 30, 2026</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46,239,030 </w:t>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939,611 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(372,156)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(44,863)</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522,601 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December 31, 2025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45,968,584 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538,153 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RSUs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270,446 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Compensation expense under share incentive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Series A preferred shares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June 30, 2026</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46,239,030 </w:t>
            </w:r>
          </w:p>
        </w:tc>
        <w:tc>
          <w:tcPr>
            <w:tcW w:w="3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939,611 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(372,156)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(44,863)</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522,601 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 (Unaudited)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10421" w:type="dxa"/>
        <w:jc w:val="left"/>
        <w:tblInd w:w="0" w:type="dxa"/>
        <w:tblLayout w:type="fixed"/>
        <w:tblCellMar>
          <w:top w:w="28" w:type="dxa"/>
          <w:left w:w="28" w:type="dxa"/>
          <w:bottom w:w="28" w:type="dxa"/>
          <w:right w:w="28" w:type="dxa"/>
        </w:tblCellMar>
      </w:tblPr>
      <w:tblGrid>
        <w:gridCol w:w="678"/>
        <w:gridCol w:w="253"/>
        <w:gridCol w:w="255"/>
        <w:gridCol w:w="480"/>
        <w:gridCol w:w="481"/>
        <w:gridCol w:w="336"/>
        <w:gridCol w:w="109"/>
        <w:gridCol w:w="109"/>
        <w:gridCol w:w="109"/>
        <w:gridCol w:w="274"/>
        <w:gridCol w:w="338"/>
        <w:gridCol w:w="154"/>
        <w:gridCol w:w="109"/>
        <w:gridCol w:w="109"/>
        <w:gridCol w:w="109"/>
        <w:gridCol w:w="223"/>
        <w:gridCol w:w="463"/>
        <w:gridCol w:w="125"/>
        <w:gridCol w:w="109"/>
        <w:gridCol w:w="109"/>
        <w:gridCol w:w="109"/>
        <w:gridCol w:w="196"/>
        <w:gridCol w:w="736"/>
        <w:gridCol w:w="109"/>
        <w:gridCol w:w="109"/>
        <w:gridCol w:w="109"/>
        <w:gridCol w:w="109"/>
        <w:gridCol w:w="196"/>
        <w:gridCol w:w="751"/>
        <w:gridCol w:w="109"/>
        <w:gridCol w:w="109"/>
        <w:gridCol w:w="109"/>
        <w:gridCol w:w="109"/>
        <w:gridCol w:w="246"/>
        <w:gridCol w:w="832"/>
        <w:gridCol w:w="138"/>
        <w:gridCol w:w="109"/>
        <w:gridCol w:w="109"/>
        <w:gridCol w:w="109"/>
        <w:gridCol w:w="196"/>
        <w:gridCol w:w="736"/>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Common</w:t>
              <w:b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Shares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w:t>
              <w:br/>
              <w:t>Shares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share amounts)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March 31, 2025</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45,892,706 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Compensation expense under share incentive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Series A preferred shares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June 30, 2025</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45,895,335 </w:t>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936,255 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(392,958)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(50,748)</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December 31, 2024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45,644,318 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(69,997)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RSUs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251,017 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Compensation expense under share incentive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Series A preferred shares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June 30, 2025</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45,895,335 </w:t>
            </w:r>
          </w:p>
        </w:tc>
        <w:tc>
          <w:tcPr>
            <w:tcW w:w="3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936,255 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(392,958)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(50,748)</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492,558 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60"/>
        <w:jc w:val="left"/>
        <w:rPr/>
      </w:pPr>
      <w:r>
        <w:rPr/>
      </w:r>
    </w:p>
    <w:p>
      <w:pPr>
        <w:pStyle w:val="TextBody"/>
        <w:bidi w:val="0"/>
        <w:spacing w:before="0" w:after="6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color w:val="000000"/>
        </w:rPr>
        <w:t> </w:t>
      </w:r>
      <w:r>
        <w:rPr>
          <w:rFonts w:ascii="Times New Roman;serif" w:hAnsi="Times New Roman;serif"/>
          <w:b/>
          <w:color w:val="000000"/>
          <w:sz w:val="20"/>
        </w:rPr>
        <w:t>JAMES RIVER GROUP HOLDINGS, INC.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before="0" w:after="0"/>
        <w:jc w:val="left"/>
        <w:rPr/>
      </w:pPr>
      <w:r>
        <w:rPr/>
      </w:r>
    </w:p>
    <w:tbl>
      <w:tblPr>
        <w:tblW w:w="9069" w:type="dxa"/>
        <w:jc w:val="center"/>
        <w:tblInd w:w="0" w:type="dxa"/>
        <w:tblLayout w:type="fixed"/>
        <w:tblCellMar>
          <w:top w:w="28" w:type="dxa"/>
          <w:left w:w="28" w:type="dxa"/>
          <w:bottom w:w="28" w:type="dxa"/>
          <w:right w:w="28" w:type="dxa"/>
        </w:tblCellMar>
      </w:tblPr>
      <w:tblGrid>
        <w:gridCol w:w="2321"/>
        <w:gridCol w:w="2034"/>
        <w:gridCol w:w="2050"/>
        <w:gridCol w:w="211"/>
        <w:gridCol w:w="826"/>
        <w:gridCol w:w="109"/>
        <w:gridCol w:w="109"/>
        <w:gridCol w:w="109"/>
        <w:gridCol w:w="109"/>
        <w:gridCol w:w="211"/>
        <w:gridCol w:w="826"/>
        <w:gridCol w:w="154"/>
      </w:tblGrid>
      <w:tr>
        <w:trPr/>
        <w:tc>
          <w:tcPr>
            <w:tcW w:w="2321"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and calls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redemptions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principal repayments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receivable or payable,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(133,699)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debt issuances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withheld and remitted on net settlement of RSUs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Series A preferred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 equivalents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(141,688)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equivalents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information</w:t>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 at end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restricted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both"/>
        <w:rPr/>
      </w:pPr>
      <w:r>
        <w:rPr>
          <w:rFonts w:ascii="Times New Roman;serif" w:hAnsi="Times New Roman;serif"/>
          <w:b w:val="false"/>
          <w:color w:val="000000"/>
          <w:sz w:val="16"/>
        </w:rPr>
        <w:t xml:space="preserve">(a) Cash used in operating activities for the six months ended June 30, 2026 and 2025 includes the restricted cash activity above related to a former insured, per the terms of a collateral trust. See “Item 2. Management’s Discussion and Analysis of Financial Condition and Results of Operations – </w:t>
      </w:r>
      <w:r>
        <w:rPr>
          <w:rFonts w:ascii="Times New Roman;serif" w:hAnsi="Times New Roman;serif"/>
          <w:b w:val="false"/>
          <w:i/>
          <w:color w:val="000000"/>
          <w:sz w:val="16"/>
        </w:rPr>
        <w:t>Amounts Recoverable from an Indemnifying Party and Reinsurer on Legacy Commercial Auto Book</w:t>
      </w:r>
      <w:r>
        <w:rPr>
          <w:color w:val="000000"/>
        </w:rPr>
        <w:t>”</w:t>
      </w:r>
      <w:r>
        <w:rPr>
          <w:rFonts w:ascii="Times New Roman;serif" w:hAnsi="Times New Roman;serif"/>
          <w:b w:val="false"/>
          <w:color w:val="000000"/>
          <w:sz w:val="16"/>
        </w:rPr>
        <w:t>. Excluding the restricted cash activity, cash used in operating activities was $5.9 million and $26.9 million for the six months ended June 30, 2026 and 2025, respectively.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    Accounting Policies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Organization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James River Group Holdings, Inc. (referred to as “JRG Holdings” or, with its subsidiaries, the “Company”) is a Delaware holding company organized for the purpose of acquiring and managing insurance entities.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owns five insurance companies based in the United States (“U.S.”) focused on specialty insurance niches as described below:</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James River Group, Inc. (“James River Group”) is a Delaware domiciled insurance holding company formed in 2002, which owns all of the Company’s U.S.-based subsidiaries, either directly or indirectly through one of its wholly-owned U.S. subsidiaries. James River Group oversees the Company’s U.S. insurance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James River Insurance Company (“James River Insurance”) is an Ohio domiciled excess and surplus lines insurance company that, with its wholly-owned insurance subsidiary, James River Casualty Company, is authorized to write business in every state and the District of Columbia.</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Falls Lake National Insurance Company (“Falls Lake National”) is an Ohio domiciled insurance company which wholly owns Stonewood Insurance Company (“Stonewood Insurance”), an Ohio domiciled company, and Falls Lake Fire and Casualty Company, a California domiciled company. Falls Lake National and its subsidiaries primarily write specialty admitted and nonadmitted fronting and program business.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Company previously owned JRG Reinsurance Company Ltd. (“JRG Re”), a Bermuda domiciled reinsurer, which comprised the former Casualty Reinsurance segment, and which, prior to the suspension of its underwriting activities in 2023, primarily provided non-catastrophe casualty reinsurance to U.S. third parties. On November 8, 2023, the Company entered into an agreement to sell JRG Re. The sale closed on April 16, 2024 and resulted in the Company’s disposition of its casualty reinsurance business and related assets. The Company has no continued involvement with JRG Re following the sale. See Discontinued Operations below and Note 2 for additional disclosure.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2025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2025 was derived from the Company’s audited annual consolidated financial statements.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Intercompany transactions and balances have been eliminated.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Discontinued Operations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of a component of the Company are reported in discontinued operations when certain criteria are met as of the date of disposal, or earlier if classified as held-for-sale. The Company determined that the sale of JRG Re, which closed on April 16, 2024, represented a strategic shift that had a major effect on the Company's operations. Accordingly, expenses incurred related to the sale of JRG Re have been presented as losses on disposal within discontinued operations for all periods presented in this interim report on Form 10-Q. See Note 2 for additional disclosure.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Estimates and Assumptions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Variable Interest Entities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$7.2 million at June 30, 2026 and $7.3 million at December 31, 2025, representing the Company’s maximum exposure to loss.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U.S. federal income tax expense differs from the amount computed by applying the federal statutory income tax rate of 21% to income before taxes primarily due to interest income on tax-advantaged state and municipal securities, dividends received income, and excess tax benefits and expenses on share based compensation. Prior to the Company's domestication from Bermuda to the U.S. on November 7, 2025, the Company's effective tax rate was impacted by the relative mix of income from continuing operations reported by country and the statutory tax rates of 0% and 21% imposed by Bermuda and the U.S., respectively. The Company did not receive a U.S. tax deduction for losses in Bermuda in the prior year periods resulting from Bermuda holding company expenses and interest expense. For the three and six months ended June 30, 2026, our effective tax rate on income (loss) from continuing operations was 21.8% and 0.9%, respectively (30.1% and 31.0% in the respective prior year periods). The effective tax rate of 0.9% for the six months ended June 30, 2026 was below the federal statutory income tax rate of 21% primarily because of excess tax expenses on share based compensation of $356,000 during the period.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Adopted Accounting Standards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new accounting standards adopted in 2026 that materially impacted the Company's financial statements.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Prospective Accounting Standards</w:t>
      </w:r>
    </w:p>
    <w:p>
      <w:pPr>
        <w:pStyle w:val="TextBody"/>
        <w:bidi w:val="0"/>
        <w:spacing w:lineRule="auto" w:line="288" w:before="0" w:after="120"/>
        <w:ind w:left="0" w:right="0" w:firstLine="360"/>
        <w:jc w:val="both"/>
        <w:rPr/>
      </w:pPr>
      <w:r>
        <w:rPr>
          <w:rFonts w:ascii="Times New Roman;serif" w:hAnsi="Times New Roman;serif"/>
          <w:b w:val="false"/>
          <w:color w:val="000000"/>
          <w:sz w:val="20"/>
        </w:rPr>
        <w:t>The guidance in ASU 2024-03</w:t>
      </w:r>
      <w:r>
        <w:rPr>
          <w:rFonts w:ascii="Times New Roman;serif" w:hAnsi="Times New Roman;serif"/>
          <w:b w:val="false"/>
          <w:i/>
          <w:color w:val="000000"/>
          <w:sz w:val="20"/>
        </w:rPr>
        <w:t>, Income Statement - Reporting Comprehensive Income - Expense Disaggregation Disclosures (Subtopic 220-40): Disaggregation of Income Statement Expenses</w:t>
      </w:r>
      <w:r>
        <w:rPr>
          <w:color w:val="000000"/>
        </w:rPr>
        <w:t xml:space="preserve"> </w:t>
      </w:r>
      <w:r>
        <w:rPr>
          <w:rFonts w:ascii="Times New Roman;serif" w:hAnsi="Times New Roman;serif"/>
          <w:b w:val="false"/>
          <w:color w:val="000000"/>
          <w:sz w:val="20"/>
        </w:rPr>
        <w:t>requires additional, disaggregated disclosure around certain income statement expense line items. This ASU is effective for fiscal years beginning after December 15, 2026 and interim periods beginning after December 15, 2027, although early adoption is permitted. The Company is in the process of evaluating the impact of this new guidance on the disclosures in its financial statements.</w:t>
      </w:r>
    </w:p>
    <w:p>
      <w:pPr>
        <w:pStyle w:val="TextBody"/>
        <w:bidi w:val="0"/>
        <w:spacing w:lineRule="auto" w:line="288" w:before="0" w:after="120"/>
        <w:ind w:left="0" w:right="0" w:firstLine="405"/>
        <w:jc w:val="both"/>
        <w:rPr/>
      </w:pPr>
      <w:r>
        <w:rPr>
          <w:rFonts w:ascii="Times New Roman;serif" w:hAnsi="Times New Roman;serif"/>
          <w:b w:val="false"/>
          <w:color w:val="000000"/>
          <w:sz w:val="20"/>
        </w:rPr>
        <w:t>The guidance in ASU 2025-06,</w:t>
      </w:r>
      <w:r>
        <w:rPr>
          <w:color w:val="000000"/>
        </w:rPr>
        <w:t xml:space="preserve"> </w:t>
      </w:r>
      <w:r>
        <w:rPr>
          <w:rFonts w:ascii="Times New Roman;serif" w:hAnsi="Times New Roman;serif"/>
          <w:b w:val="false"/>
          <w:i/>
          <w:color w:val="000000"/>
          <w:sz w:val="20"/>
        </w:rPr>
        <w:t xml:space="preserve">Intangibles-Goodwill and Other – Internal-Use Software (Subtopic 350-40): Targeted Improvements to the Accounting for Internal-Use Software </w:t>
      </w:r>
      <w:r>
        <w:rPr>
          <w:rFonts w:ascii="Times New Roman;serif" w:hAnsi="Times New Roman;serif"/>
          <w:b w:val="false"/>
          <w:color w:val="000000"/>
          <w:sz w:val="20"/>
        </w:rPr>
        <w:t>removes the concept of project stages and requires the capitalization of software costs when management has committed to funding the software project and it is probable that the project will be completed. This ASU is effective for fiscal years beginning after December 15, 2027, but early adoption is permitted as of the beginning of an annual reporting period. The Company is evaluating the impact of adopting this new guidance, but does not expect that the standard will have a material impact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erif" w:hAnsi="Times New Roman;serif"/>
          <w:b/>
          <w:color w:val="000000"/>
          <w:sz w:val="20"/>
        </w:rPr>
      </w:pPr>
      <w:r>
        <w:rPr>
          <w:rFonts w:ascii="Times New Roman;serif" w:hAnsi="Times New Roman;serif"/>
          <w:b/>
          <w:color w:val="000000"/>
          <w:sz w:val="20"/>
        </w:rPr>
        <w:t>2.    Discontinued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previously entered into a stock purchase agreement with Fleming Intermediate Holdings LLC, a Cayman Islands limited liability company (“Fleming”) pursuant to which Fleming agreed to purchase from the Company all of the common shares of JRG Reinsurance Company Ltd. (“JRG Re”). The sale of JRG Re, which previously comprised the remaining operations of the former Casualty Reinsurance segment, closed on April 16, 2024, and resulted in the disposition of the Company's casualty reinsurance business and related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determined that the sale of JRG Re represented a strategic shift that had a major effect on its operations. Accordingly, expenses incurred related to the sale of JRG Re have been presented as losses on disposal within discontinued operations for all periods presented in this interim report on Form 10-Q.</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loss on disposal of $221,000 and $370,000, respectively, reflects litigation and other costs related to the sale of JRG Re net of a tax benefit. For the three months ended June 30, 2025, the loss on disposal of $361,000 reflects litigation and other costs related to the sale of JRG Re. For the six months ended June 30, 2025, the loss on disposal of $1.8 million included a final downward adjustment to the closing date purchase price plus interest of $523,000 and litigation and other costs related to the sale of JRG Re of $1.3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3.    Investments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available-for-sale fixed maturity securities are summarized as follows:</w:t>
      </w:r>
    </w:p>
    <w:tbl>
      <w:tblPr>
        <w:tblW w:w="10205" w:type="dxa"/>
        <w:jc w:val="left"/>
        <w:tblInd w:w="0" w:type="dxa"/>
        <w:tblLayout w:type="fixed"/>
        <w:tblCellMar>
          <w:top w:w="28" w:type="dxa"/>
          <w:left w:w="28" w:type="dxa"/>
          <w:bottom w:w="28" w:type="dxa"/>
          <w:right w:w="28" w:type="dxa"/>
        </w:tblCellMar>
      </w:tblPr>
      <w:tblGrid>
        <w:gridCol w:w="1679"/>
        <w:gridCol w:w="1472"/>
        <w:gridCol w:w="1301"/>
        <w:gridCol w:w="211"/>
        <w:gridCol w:w="976"/>
        <w:gridCol w:w="109"/>
        <w:gridCol w:w="109"/>
        <w:gridCol w:w="109"/>
        <w:gridCol w:w="109"/>
        <w:gridCol w:w="211"/>
        <w:gridCol w:w="721"/>
        <w:gridCol w:w="109"/>
        <w:gridCol w:w="109"/>
        <w:gridCol w:w="109"/>
        <w:gridCol w:w="109"/>
        <w:gridCol w:w="211"/>
        <w:gridCol w:w="772"/>
        <w:gridCol w:w="109"/>
        <w:gridCol w:w="109"/>
        <w:gridCol w:w="109"/>
        <w:gridCol w:w="109"/>
        <w:gridCol w:w="211"/>
        <w:gridCol w:w="976"/>
        <w:gridCol w:w="156"/>
      </w:tblGrid>
      <w:tr>
        <w:trPr/>
        <w:tc>
          <w:tcPr>
            <w:tcW w:w="167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w:t>
              <w:b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1,439,293 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29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1,448,750 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1,404,774 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amortized cost and fair value of available-for-sale investments in fixed maturity securities at June 30, 2026 are summarized, by contractual maturity, as follows:</w:t>
      </w:r>
    </w:p>
    <w:tbl>
      <w:tblPr>
        <w:tblW w:w="6308" w:type="dxa"/>
        <w:jc w:val="left"/>
        <w:tblInd w:w="0" w:type="dxa"/>
        <w:tblLayout w:type="fixed"/>
        <w:tblCellMar>
          <w:top w:w="28" w:type="dxa"/>
          <w:left w:w="28" w:type="dxa"/>
          <w:bottom w:w="28" w:type="dxa"/>
          <w:right w:w="28" w:type="dxa"/>
        </w:tblCellMar>
      </w:tblPr>
      <w:tblGrid>
        <w:gridCol w:w="1205"/>
        <w:gridCol w:w="1062"/>
        <w:gridCol w:w="1077"/>
        <w:gridCol w:w="211"/>
        <w:gridCol w:w="976"/>
        <w:gridCol w:w="109"/>
        <w:gridCol w:w="109"/>
        <w:gridCol w:w="109"/>
        <w:gridCol w:w="109"/>
        <w:gridCol w:w="211"/>
        <w:gridCol w:w="976"/>
        <w:gridCol w:w="154"/>
      </w:tblGrid>
      <w:tr>
        <w:trPr/>
        <w:tc>
          <w:tcPr>
            <w:tcW w:w="120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w:t>
              <w:b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one year through five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five years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ten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1,439,293 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Actual maturities may differ for some securities because borrowers have the right to call or prepay obligations with or without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Company’s gross unrealized losses and fair value for available-for-sale securities aggregated by investment category and the length of time that individual securities have been in a continuous unrealized loss position:</w:t>
      </w:r>
    </w:p>
    <w:tbl>
      <w:tblPr>
        <w:tblW w:w="10205" w:type="dxa"/>
        <w:jc w:val="left"/>
        <w:tblInd w:w="0" w:type="dxa"/>
        <w:tblLayout w:type="fixed"/>
        <w:tblCellMar>
          <w:top w:w="28" w:type="dxa"/>
          <w:left w:w="28" w:type="dxa"/>
          <w:bottom w:w="28" w:type="dxa"/>
          <w:right w:w="28" w:type="dxa"/>
        </w:tblCellMar>
      </w:tblPr>
      <w:tblGrid>
        <w:gridCol w:w="894"/>
        <w:gridCol w:w="668"/>
        <w:gridCol w:w="297"/>
        <w:gridCol w:w="211"/>
        <w:gridCol w:w="826"/>
        <w:gridCol w:w="109"/>
        <w:gridCol w:w="109"/>
        <w:gridCol w:w="109"/>
        <w:gridCol w:w="109"/>
        <w:gridCol w:w="211"/>
        <w:gridCol w:w="635"/>
        <w:gridCol w:w="109"/>
        <w:gridCol w:w="109"/>
        <w:gridCol w:w="109"/>
        <w:gridCol w:w="109"/>
        <w:gridCol w:w="211"/>
        <w:gridCol w:w="826"/>
        <w:gridCol w:w="109"/>
        <w:gridCol w:w="109"/>
        <w:gridCol w:w="109"/>
        <w:gridCol w:w="109"/>
        <w:gridCol w:w="211"/>
        <w:gridCol w:w="740"/>
        <w:gridCol w:w="109"/>
        <w:gridCol w:w="109"/>
        <w:gridCol w:w="109"/>
        <w:gridCol w:w="109"/>
        <w:gridCol w:w="211"/>
        <w:gridCol w:w="976"/>
        <w:gridCol w:w="109"/>
        <w:gridCol w:w="109"/>
        <w:gridCol w:w="109"/>
        <w:gridCol w:w="109"/>
        <w:gridCol w:w="211"/>
        <w:gridCol w:w="740"/>
        <w:gridCol w:w="157"/>
      </w:tblGrid>
      <w:tr>
        <w:trPr/>
        <w:tc>
          <w:tcPr>
            <w:tcW w:w="89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1,028,904 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(61,537)</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(54,055)</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held fixed maturity securities of 461 issuers that were in an unrealized loss position with a total fair value of $1,028.9 million and gross unrealized losses of $61.5 million. None of the fixed maturity securities with unrealized losses has ever missed, or been delinquent on a scheduled principal or interest payment. At June 30, 2026, 100.0% of the Company’s fixed maturity security portfolio was rated “BBB-” or better (“investment grade”) by Standard &amp; Poor’s or received an equivalent rating from another nationally recognized rating agency.</w:t>
      </w:r>
    </w:p>
    <w:p>
      <w:pPr>
        <w:pStyle w:val="TextBody"/>
        <w:bidi w:val="0"/>
        <w:spacing w:lineRule="auto" w:line="288" w:before="0" w:after="120"/>
        <w:ind w:left="0" w:right="0" w:firstLine="360"/>
        <w:jc w:val="both"/>
        <w:rPr/>
      </w:pPr>
      <w:r>
        <w:rPr>
          <w:rFonts w:ascii="Times New Roman;serif" w:hAnsi="Times New Roman;serif"/>
          <w:b w:val="false"/>
          <w:color w:val="231F20"/>
          <w:sz w:val="20"/>
        </w:rPr>
        <w:t>The Company periodically reviews its available-for-sale fixed maturities to determine whether any unrealized losses exist that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Times New Roman;serif" w:hAnsi="Times New Roman;serif"/>
          <w:b w:val="false"/>
          <w:color w:val="000000"/>
          <w:sz w:val="20"/>
        </w:rPr>
        <w:t>et realized and unrealized gains (losses) on investments</w:t>
      </w:r>
      <w:r>
        <w:rPr>
          <w:rFonts w:ascii="Times New Roman;serif" w:hAnsi="Times New Roman;serif"/>
          <w:b w:val="false"/>
          <w:color w:val="231F20"/>
          <w:sz w:val="20"/>
        </w:rPr>
        <w:t>. Unrealized losses that are not credit-related are recognized in other comprehensive income.</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June 30, 2026, December 31, 2025, or June 30, 2025. For securities in an unrealized loss position at June 30, 2026, management does not intend to sell the securities, and </w:t>
      </w:r>
      <w:r>
        <w:rPr>
          <w:rFonts w:ascii="Times New Roman;serif" w:hAnsi="Times New Roman;serif"/>
          <w:b w:val="false"/>
          <w:color w:val="231F20"/>
          <w:sz w:val="20"/>
        </w:rPr>
        <w:t>it is not “more likely than not” that the Company will be required to sell these securities before a recovery in their value to their amortized cost basis occurs.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elected the fair value option to account for bank loan participations. Under the fair value option, bank loan participations are measured at fair value, and changes in unrealized gains and losses in bank loan participations are reported in the income statement as net realized and unrealized gains (losses) on investments. Applying the fair value option to the bank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loan portfolio increases volatility in the Company's financial statements, but management believes it is less subjective and less burdensome to implement and maintain than ASU 2016-13, which would have otherwise been required. </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At June 30, 2026, the Company's bank loan portfolio had an aggregate fair value of $156.7 million and unpaid principal of </w:t>
      </w:r>
      <w:r>
        <w:rPr>
          <w:rFonts w:ascii="Times New Roman;serif" w:hAnsi="Times New Roman;serif"/>
          <w:b w:val="false"/>
          <w:color w:val="000000"/>
          <w:sz w:val="20"/>
        </w:rPr>
        <w:t xml:space="preserve">$165.4 million. </w:t>
      </w:r>
      <w:r>
        <w:rPr>
          <w:rFonts w:ascii="Times New Roman;serif" w:hAnsi="Times New Roman;serif"/>
          <w:b w:val="false"/>
          <w:color w:val="231F20"/>
          <w:sz w:val="20"/>
        </w:rPr>
        <w:t>Investment income on bank loan participations included in net investment income was $3.0 million</w:t>
      </w:r>
      <w:r>
        <w:rPr>
          <w:color w:val="000000"/>
        </w:rPr>
        <w:t xml:space="preserve"> </w:t>
      </w:r>
      <w:r>
        <w:rPr>
          <w:rFonts w:ascii="Times New Roman;serif" w:hAnsi="Times New Roman;serif"/>
          <w:b w:val="false"/>
          <w:color w:val="000000"/>
          <w:sz w:val="20"/>
        </w:rPr>
        <w:t>and</w:t>
      </w:r>
      <w:r>
        <w:rPr>
          <w:color w:val="231F20"/>
        </w:rPr>
        <w:t xml:space="preserve"> </w:t>
      </w:r>
      <w:r>
        <w:rPr>
          <w:rFonts w:ascii="Times New Roman;serif" w:hAnsi="Times New Roman;serif"/>
          <w:b w:val="false"/>
          <w:color w:val="231F20"/>
          <w:sz w:val="20"/>
        </w:rPr>
        <w:t xml:space="preserve">$6.0 million for the </w:t>
      </w:r>
      <w:r>
        <w:rPr>
          <w:rFonts w:ascii="Times New Roman;serif" w:hAnsi="Times New Roman;serif"/>
          <w:b w:val="false"/>
          <w:color w:val="000000"/>
          <w:sz w:val="20"/>
        </w:rPr>
        <w:t>three and six</w:t>
      </w:r>
      <w:r>
        <w:rPr>
          <w:color w:val="231F20"/>
        </w:rPr>
        <w:t xml:space="preserve"> </w:t>
      </w:r>
      <w:r>
        <w:rPr>
          <w:rFonts w:ascii="Times New Roman;serif" w:hAnsi="Times New Roman;serif"/>
          <w:b w:val="false"/>
          <w:color w:val="231F20"/>
          <w:sz w:val="20"/>
        </w:rPr>
        <w:t>months ended June 30, 2026, respectively (</w:t>
      </w:r>
      <w:r>
        <w:rPr>
          <w:rFonts w:ascii="Times New Roman;serif" w:hAnsi="Times New Roman;serif"/>
          <w:b w:val="false"/>
          <w:color w:val="000000"/>
          <w:sz w:val="20"/>
        </w:rPr>
        <w:t>$3.1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$6.3 million for the respective prior year periods</w:t>
      </w:r>
      <w:r>
        <w:rPr>
          <w:rFonts w:ascii="Times New Roman;serif" w:hAnsi="Times New Roman;serif"/>
          <w:b w:val="false"/>
          <w:color w:val="231F20"/>
          <w:sz w:val="20"/>
        </w:rPr>
        <w:t>).</w:t>
      </w:r>
      <w:r>
        <w:rPr>
          <w:color w:val="000000"/>
        </w:rPr>
        <w:t xml:space="preserve"> </w:t>
      </w:r>
      <w:r>
        <w:rPr>
          <w:rFonts w:ascii="Times New Roman;serif" w:hAnsi="Times New Roman;serif"/>
          <w:b w:val="false"/>
          <w:color w:val="231F20"/>
          <w:sz w:val="20"/>
        </w:rPr>
        <w:t xml:space="preserve">Net realized and unrealized gains (losses) on bank loan participations were </w:t>
      </w:r>
      <w:r>
        <w:rPr>
          <w:rFonts w:ascii="Times New Roman;serif" w:hAnsi="Times New Roman;serif"/>
          <w:b w:val="false"/>
          <w:color w:val="000000"/>
          <w:sz w:val="20"/>
        </w:rPr>
        <w:t>$262,000 and</w:t>
      </w:r>
      <w:r>
        <w:rPr>
          <w:color w:val="231F20"/>
        </w:rPr>
        <w:t xml:space="preserve"> </w:t>
      </w:r>
      <w:r>
        <w:rPr>
          <w:rFonts w:ascii="Times New Roman;serif" w:hAnsi="Times New Roman;serif"/>
          <w:b w:val="false"/>
          <w:color w:val="000000"/>
          <w:sz w:val="20"/>
        </w:rPr>
        <w:t xml:space="preserve">$(4.6) million </w:t>
      </w:r>
      <w:r>
        <w:rPr>
          <w:rFonts w:ascii="Times New Roman;serif" w:hAnsi="Times New Roman;serif"/>
          <w:b w:val="false"/>
          <w:color w:val="231F20"/>
          <w:sz w:val="20"/>
        </w:rPr>
        <w:t xml:space="preserve">for the </w:t>
      </w:r>
      <w:r>
        <w:rPr>
          <w:rFonts w:ascii="Times New Roman;serif" w:hAnsi="Times New Roman;serif"/>
          <w:b w:val="false"/>
          <w:color w:val="000000"/>
          <w:sz w:val="20"/>
        </w:rPr>
        <w:t>three and six</w:t>
      </w:r>
      <w:r>
        <w:rPr>
          <w:color w:val="231F20"/>
        </w:rPr>
        <w:t xml:space="preserve"> </w:t>
      </w:r>
      <w:r>
        <w:rPr>
          <w:rFonts w:ascii="Times New Roman;serif" w:hAnsi="Times New Roman;serif"/>
          <w:b w:val="false"/>
          <w:color w:val="231F20"/>
          <w:sz w:val="20"/>
        </w:rPr>
        <w:t xml:space="preserve">months ended June 30, 2026, respectively (net realized and unrealized gains (losses) of </w:t>
      </w:r>
      <w:r>
        <w:rPr>
          <w:rFonts w:ascii="Times New Roman;serif" w:hAnsi="Times New Roman;serif"/>
          <w:b w:val="false"/>
          <w:color w:val="000000"/>
          <w:sz w:val="20"/>
        </w:rPr>
        <w:t>$253,000</w:t>
      </w:r>
      <w:r>
        <w:rPr>
          <w:color w:val="231F20"/>
        </w:rPr>
        <w:t xml:space="preserve"> </w:t>
      </w:r>
      <w:r>
        <w:rPr>
          <w:rFonts w:ascii="Times New Roman;serif" w:hAnsi="Times New Roman;serif"/>
          <w:b w:val="false"/>
          <w:color w:val="000000"/>
          <w:sz w:val="20"/>
        </w:rPr>
        <w:t>and $(2.1) million for the respective prior year periods)</w:t>
      </w:r>
      <w:r>
        <w:rPr>
          <w:rFonts w:ascii="Times New Roman;serif" w:hAnsi="Times New Roman;serif"/>
          <w:b w:val="false"/>
          <w:color w:val="231F20"/>
          <w:sz w:val="20"/>
        </w:rPr>
        <w:t xml:space="preserve">. Management concluded that none of the net realized and unrealized losses for the </w:t>
      </w:r>
      <w:r>
        <w:rPr>
          <w:rFonts w:ascii="Times New Roman;serif" w:hAnsi="Times New Roman;serif"/>
          <w:b w:val="false"/>
          <w:color w:val="000000"/>
          <w:sz w:val="20"/>
        </w:rPr>
        <w:t>three months ended June 30, 2026 were due to credit-related impairments.</w:t>
      </w:r>
      <w:r>
        <w:rPr>
          <w:color w:val="231F20"/>
        </w:rPr>
        <w:t xml:space="preserve"> </w:t>
      </w:r>
      <w:r>
        <w:rPr>
          <w:rFonts w:ascii="Times New Roman;serif" w:hAnsi="Times New Roman;serif"/>
          <w:b w:val="false"/>
          <w:color w:val="231F20"/>
          <w:sz w:val="20"/>
        </w:rPr>
        <w:t xml:space="preserve">For the </w:t>
      </w:r>
      <w:r>
        <w:rPr>
          <w:rFonts w:ascii="Times New Roman;serif" w:hAnsi="Times New Roman;serif"/>
          <w:b w:val="false"/>
          <w:color w:val="000000"/>
          <w:sz w:val="20"/>
        </w:rPr>
        <w:t>six months ended June 30, 2026</w:t>
      </w:r>
      <w:r>
        <w:rPr>
          <w:rFonts w:ascii="Times New Roman;serif" w:hAnsi="Times New Roman;serif"/>
          <w:b w:val="false"/>
          <w:color w:val="231F20"/>
          <w:sz w:val="20"/>
        </w:rPr>
        <w:t xml:space="preserve">, management concluded that </w:t>
      </w:r>
      <w:r>
        <w:rPr>
          <w:rFonts w:ascii="Times New Roman;serif" w:hAnsi="Times New Roman;serif"/>
          <w:b w:val="false"/>
          <w:color w:val="000000"/>
          <w:sz w:val="20"/>
        </w:rPr>
        <w:t>$240,000</w:t>
      </w:r>
      <w:r>
        <w:rPr>
          <w:color w:val="231F20"/>
        </w:rPr>
        <w:t xml:space="preserve"> </w:t>
      </w:r>
      <w:r>
        <w:rPr>
          <w:rFonts w:ascii="Times New Roman;serif" w:hAnsi="Times New Roman;serif"/>
          <w:b w:val="false"/>
          <w:color w:val="231F20"/>
          <w:sz w:val="20"/>
        </w:rPr>
        <w:t>of the net realized and unrealized losses were due to credit-related impairments.</w:t>
      </w:r>
      <w:r>
        <w:rPr>
          <w:color w:val="000000"/>
        </w:rPr>
        <w:t xml:space="preserve"> </w:t>
      </w:r>
      <w:r>
        <w:rPr>
          <w:rFonts w:ascii="Times New Roman;serif" w:hAnsi="Times New Roman;serif"/>
          <w:b w:val="false"/>
          <w:color w:val="231F20"/>
          <w:sz w:val="20"/>
        </w:rPr>
        <w:t xml:space="preserve">For the </w:t>
      </w:r>
      <w:r>
        <w:rPr>
          <w:rFonts w:ascii="Times New Roman;serif" w:hAnsi="Times New Roman;serif"/>
          <w:b w:val="false"/>
          <w:color w:val="000000"/>
          <w:sz w:val="20"/>
        </w:rPr>
        <w:t>three and six months ended</w:t>
      </w:r>
      <w:r>
        <w:rPr>
          <w:color w:val="231F20"/>
        </w:rPr>
        <w:t xml:space="preserve"> </w:t>
      </w:r>
      <w:r>
        <w:rPr>
          <w:rFonts w:ascii="Times New Roman;serif" w:hAnsi="Times New Roman;serif"/>
          <w:b w:val="false"/>
          <w:color w:val="000000"/>
          <w:sz w:val="20"/>
        </w:rPr>
        <w:t xml:space="preserve">June 30, 2025, </w:t>
      </w:r>
      <w:r>
        <w:rPr>
          <w:rFonts w:ascii="Times New Roman;serif" w:hAnsi="Times New Roman;serif"/>
          <w:b w:val="false"/>
          <w:color w:val="231F20"/>
          <w:sz w:val="20"/>
        </w:rPr>
        <w:t>management concluded that none of the net realized and unrealized losses of bank loan participations were due to credit-related impairments.</w:t>
      </w:r>
      <w:r>
        <w:rPr>
          <w:color w:val="000000"/>
        </w:rPr>
        <w:t xml:space="preserve"> </w:t>
      </w:r>
      <w:r>
        <w:rPr>
          <w:rFonts w:ascii="Times New Roman;serif" w:hAnsi="Times New Roman;serif"/>
          <w:b w:val="false"/>
          <w:color w:val="231F20"/>
          <w:sz w:val="20"/>
        </w:rPr>
        <w:t>Losses due to credit-related impairments are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June 30, 2026 or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net realized and unrealized gains and losses on investments are summarized as follows:</w:t>
      </w:r>
    </w:p>
    <w:tbl>
      <w:tblPr>
        <w:tblW w:w="8850" w:type="dxa"/>
        <w:jc w:val="left"/>
        <w:tblInd w:w="0" w:type="dxa"/>
        <w:tblLayout w:type="fixed"/>
        <w:tblCellMar>
          <w:top w:w="28" w:type="dxa"/>
          <w:left w:w="28" w:type="dxa"/>
          <w:bottom w:w="28" w:type="dxa"/>
          <w:right w:w="28" w:type="dxa"/>
        </w:tblCellMar>
      </w:tblPr>
      <w:tblGrid>
        <w:gridCol w:w="1505"/>
        <w:gridCol w:w="1323"/>
        <w:gridCol w:w="1327"/>
        <w:gridCol w:w="211"/>
        <w:gridCol w:w="466"/>
        <w:gridCol w:w="109"/>
        <w:gridCol w:w="109"/>
        <w:gridCol w:w="109"/>
        <w:gridCol w:w="109"/>
        <w:gridCol w:w="211"/>
        <w:gridCol w:w="541"/>
        <w:gridCol w:w="109"/>
        <w:gridCol w:w="109"/>
        <w:gridCol w:w="109"/>
        <w:gridCol w:w="109"/>
        <w:gridCol w:w="211"/>
        <w:gridCol w:w="691"/>
        <w:gridCol w:w="109"/>
        <w:gridCol w:w="109"/>
        <w:gridCol w:w="109"/>
        <w:gridCol w:w="109"/>
        <w:gridCol w:w="211"/>
        <w:gridCol w:w="691"/>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gains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losses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gains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losses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values of bank loan participations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gains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losses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values of equity securities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and other:</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gains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losses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Realized investment gains or losses are determined on a specific identification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invests selectively in private debt and equity opportunities. These investments, which together comprise the Company’s other invested assets, are primarily focused in renewable energy, limited partnerships, and private debt.</w:t>
      </w:r>
    </w:p>
    <w:tbl>
      <w:tblPr>
        <w:tblW w:w="10155" w:type="dxa"/>
        <w:jc w:val="left"/>
        <w:tblInd w:w="0" w:type="dxa"/>
        <w:tblLayout w:type="fixed"/>
        <w:tblCellMar>
          <w:top w:w="28" w:type="dxa"/>
          <w:left w:w="28" w:type="dxa"/>
          <w:bottom w:w="28" w:type="dxa"/>
          <w:right w:w="28" w:type="dxa"/>
        </w:tblCellMar>
      </w:tblPr>
      <w:tblGrid>
        <w:gridCol w:w="864"/>
        <w:gridCol w:w="759"/>
        <w:gridCol w:w="761"/>
        <w:gridCol w:w="211"/>
        <w:gridCol w:w="721"/>
        <w:gridCol w:w="109"/>
        <w:gridCol w:w="109"/>
        <w:gridCol w:w="109"/>
        <w:gridCol w:w="109"/>
        <w:gridCol w:w="222"/>
        <w:gridCol w:w="759"/>
        <w:gridCol w:w="114"/>
        <w:gridCol w:w="109"/>
        <w:gridCol w:w="109"/>
        <w:gridCol w:w="109"/>
        <w:gridCol w:w="211"/>
        <w:gridCol w:w="466"/>
        <w:gridCol w:w="109"/>
        <w:gridCol w:w="109"/>
        <w:gridCol w:w="109"/>
        <w:gridCol w:w="109"/>
        <w:gridCol w:w="211"/>
        <w:gridCol w:w="541"/>
        <w:gridCol w:w="109"/>
        <w:gridCol w:w="109"/>
        <w:gridCol w:w="109"/>
        <w:gridCol w:w="109"/>
        <w:gridCol w:w="211"/>
        <w:gridCol w:w="616"/>
        <w:gridCol w:w="109"/>
        <w:gridCol w:w="109"/>
        <w:gridCol w:w="109"/>
        <w:gridCol w:w="109"/>
        <w:gridCol w:w="211"/>
        <w:gridCol w:w="616"/>
        <w:gridCol w:w="109"/>
        <w:gridCol w:w="109"/>
        <w:gridCol w:w="109"/>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Renewable energy LLCs </w:t>
            </w:r>
            <w:r>
              <w:rPr>
                <w:rFonts w:ascii="Times New Roman;serif" w:hAnsi="Times New Roman;serif"/>
                <w:b w:val="false"/>
                <w:i/>
                <w:color w:val="000000"/>
                <w:sz w:val="20"/>
              </w:rPr>
              <w:t>(a)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Limited partnerships </w:t>
            </w:r>
            <w:r>
              <w:rPr>
                <w:rFonts w:ascii="Times New Roman;serif" w:hAnsi="Times New Roman;serif"/>
                <w:b w:val="false"/>
                <w:i/>
                <w:color w:val="000000"/>
                <w:sz w:val="20"/>
              </w:rPr>
              <w:t>(b)</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Private Debt </w:t>
            </w:r>
            <w:r>
              <w:rPr>
                <w:rFonts w:ascii="Times New Roman;serif" w:hAnsi="Times New Roman;serif"/>
                <w:b w:val="false"/>
                <w:i/>
                <w:color w:val="000000"/>
                <w:sz w:val="20"/>
              </w:rPr>
              <w:t>(c)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43,401 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invested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64,152 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120"/>
        <w:ind w:left="0" w:right="0" w:hanging="360"/>
        <w:jc w:val="both"/>
        <w:rPr/>
      </w:pPr>
      <w:r>
        <w:rPr>
          <w:rFonts w:ascii="Times New Roman;serif" w:hAnsi="Times New Roman;serif"/>
          <w:b w:val="false"/>
          <w:color w:val="231F20"/>
          <w:sz w:val="20"/>
        </w:rPr>
        <w:t>(a)</w:t>
      </w:r>
      <w:r>
        <w:rPr>
          <w:rFonts w:ascii="Times New Roman;serif" w:hAnsi="Times New Roman;serif"/>
          <w:b w:val="false"/>
          <w:color w:val="000000"/>
          <w:sz w:val="20"/>
        </w:rPr>
        <w:t>The Company's Excess &amp; Surplus Lines segment owns equity interests ranging from 3.6% to 5.1% in various LLCs whose principal objective is capital appreciation and income generation from owning and operating renewable energy production facilities (wind and solar).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$50,000 and $48,000 in the six months ended June 30, 2026 and 2025, respectively.</w:t>
      </w:r>
    </w:p>
    <w:p>
      <w:pPr>
        <w:pStyle w:val="TextBody"/>
        <w:bidi w:val="0"/>
        <w:spacing w:lineRule="auto" w:line="276" w:before="0" w:after="120"/>
        <w:ind w:left="0" w:right="0" w:hanging="360"/>
        <w:jc w:val="both"/>
        <w:rPr/>
      </w:pPr>
      <w:r>
        <w:rPr>
          <w:rFonts w:ascii="Times New Roman;serif" w:hAnsi="Times New Roman;serif"/>
          <w:b w:val="false"/>
          <w:color w:val="000000"/>
          <w:sz w:val="20"/>
        </w:rPr>
        <w:t xml:space="preserve">(b)    The Company has invested in limited partnerships that invest in concentrated portfolios including publicly-traded small cap equities, loans of middle market private equity sponsored companies, private equity general partnership interests, commercial mortgage-backed securities, specialty private credit, and tranches of distressed home loans. </w:t>
      </w:r>
      <w:r>
        <w:rPr>
          <w:rFonts w:ascii="Times New Roman;serif" w:hAnsi="Times New Roman;serif"/>
          <w:b w:val="false"/>
          <w:color w:val="231F20"/>
          <w:sz w:val="20"/>
        </w:rPr>
        <w:t>Income f</w:t>
      </w:r>
      <w:r>
        <w:rPr>
          <w:rFonts w:ascii="Times New Roman;serif" w:hAnsi="Times New Roman;serif"/>
          <w:b w:val="false"/>
          <w:color w:val="000000"/>
          <w:sz w:val="20"/>
        </w:rPr>
        <w:t>rom the partnerships is recognized under the equity method of accounting. As of June 30, 2026, the Company’s Excess &amp; Surplus Lines segment has outstanding commitments to invest another $10.8 million in the limited partnerships.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The Company's Excess &amp; Surplus Lines segment has invested in ten notes receivable for structured private credit. Interest on two notes maturing in 2031 is fixed at 4.25% and 5.25%. Interest on two notes maturing in 2035 is fixed at 6.50% and 8.00%. Interest on three notes maturing in 2035 is fixed at 6.00%, 7.00%, and 8.00%. Interest on three notes maturing in 2064 is fixed at 6.79%, 8.04%, and 9.04%. As of June 30, 2026, the Company’s Excess &amp; Surplus Lines segment has outstanding commitments to invest another $75.3 million in these notes.</w:t>
      </w:r>
    </w:p>
    <w:p>
      <w:pPr>
        <w:pStyle w:val="TextBody"/>
        <w:bidi w:val="0"/>
        <w:spacing w:lineRule="auto" w:line="288" w:before="0" w:after="120"/>
        <w:ind w:left="0" w:right="0" w:firstLine="360"/>
        <w:jc w:val="both"/>
        <w:rPr/>
      </w:pPr>
      <w:r>
        <w:rPr>
          <w:rFonts w:ascii="Times New Roman;serif" w:hAnsi="Times New Roman;serif"/>
          <w:b w:val="false"/>
          <w:color w:val="231F20"/>
          <w:sz w:val="20"/>
        </w:rPr>
        <w:t>On</w:t>
      </w:r>
      <w:r>
        <w:rPr>
          <w:color w:val="000000"/>
        </w:rPr>
        <w:t xml:space="preserve"> </w:t>
      </w:r>
      <w:r>
        <w:rPr>
          <w:rFonts w:ascii="Times New Roman;serif" w:hAnsi="Times New Roman;serif"/>
          <w:b w:val="false"/>
          <w:color w:val="000000"/>
          <w:sz w:val="20"/>
        </w:rPr>
        <w:t xml:space="preserve">April 10, 2025, the Company entered into an investment agreement with Sixth Street, the parent of Enstar Group Limited (“Enstar”). Pursuant to the agreement, the Company's Excess &amp; Surplus Lines segment has invested $902,000 and $12.9 million within limited partnerships and collateralized notes receivable for structured private credit, respectively, as of June 30, 2026. For the three and six months ended June 30, 2026, the Company earned investment income of $120,000 and $324,000 from the investment, respectively. The Company recognized an investment loss of $80,000 for both the three and six months ended June 30, 2025. As of June 30, 2026, the Company’s Excess &amp; Surplus Lines segment has outstanding commitments to invest another $60.9 million in the limited partnerships and collateralized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4.    Goodwill and Intangible Assets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June 30, 2026 and December 31,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Goodwill is tested annually for impairment in the fourth quarter of each calendar year or more frequently if events and circumstances indicate that the carrying amount of the reporting unit including goodwill, may exceed their fair values. During the second quarter of 2026, the Company performed a quantitative goodwill impairment assessment on the James River Excess &amp; Surplus Lines reporting unit due to the substantial and sustained decline in the Company’s stock price and overall market capitalization from May 4, 2026 to June 30, 2026 and due to market conditions for excess and surplus lines impacting the reporting unit’s actual and projected results. These market conditions also decreased the valuations of some of the Company’s peer companies, resulting in lower forward valuation multiples for the peer group used in our analysis. As in prior periods, the Company used a combination of a market approach and an income approach in performing the quantitative analysis. The Company also considered the observed multiples on a sale transaction of a peer company that was completed in the second quarter of 2026. As a result of this assessment, no goodwill impairment was recorded in the second quarter of 2026. </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gross carrying amounts and accumulated amortization for each major specifically identifiable intangible asset class were as follows: </w:t>
      </w:r>
    </w:p>
    <w:tbl>
      <w:tblPr>
        <w:tblW w:w="10205" w:type="dxa"/>
        <w:jc w:val="left"/>
        <w:tblInd w:w="0" w:type="dxa"/>
        <w:tblLayout w:type="fixed"/>
        <w:tblCellMar>
          <w:top w:w="28" w:type="dxa"/>
          <w:left w:w="28" w:type="dxa"/>
          <w:bottom w:w="28" w:type="dxa"/>
          <w:right w:w="28" w:type="dxa"/>
        </w:tblCellMar>
      </w:tblPr>
      <w:tblGrid>
        <w:gridCol w:w="1414"/>
        <w:gridCol w:w="1142"/>
        <w:gridCol w:w="1149"/>
        <w:gridCol w:w="299"/>
        <w:gridCol w:w="299"/>
        <w:gridCol w:w="303"/>
        <w:gridCol w:w="109"/>
        <w:gridCol w:w="109"/>
        <w:gridCol w:w="109"/>
        <w:gridCol w:w="211"/>
        <w:gridCol w:w="721"/>
        <w:gridCol w:w="109"/>
        <w:gridCol w:w="109"/>
        <w:gridCol w:w="109"/>
        <w:gridCol w:w="109"/>
        <w:gridCol w:w="243"/>
        <w:gridCol w:w="711"/>
        <w:gridCol w:w="127"/>
        <w:gridCol w:w="109"/>
        <w:gridCol w:w="109"/>
        <w:gridCol w:w="109"/>
        <w:gridCol w:w="211"/>
        <w:gridCol w:w="721"/>
        <w:gridCol w:w="109"/>
        <w:gridCol w:w="109"/>
        <w:gridCol w:w="109"/>
        <w:gridCol w:w="109"/>
        <w:gridCol w:w="242"/>
        <w:gridCol w:w="707"/>
        <w:gridCol w:w="179"/>
      </w:tblGrid>
      <w:tr>
        <w:trPr/>
        <w:tc>
          <w:tcPr>
            <w:tcW w:w="141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licenses and authorities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not subject to amortization</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relationships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subject to amortization</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8,188 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8,188 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5.    Earnings Per Share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represents a reconciliation of the numerator and denominator of the basic and diluted earnings per common share computations contained in the condensed consolidated financial statements:</w:t>
      </w:r>
    </w:p>
    <w:tbl>
      <w:tblPr>
        <w:tblW w:w="10205" w:type="dxa"/>
        <w:jc w:val="left"/>
        <w:tblInd w:w="0" w:type="dxa"/>
        <w:tblLayout w:type="fixed"/>
        <w:tblCellMar>
          <w:top w:w="28" w:type="dxa"/>
          <w:left w:w="28" w:type="dxa"/>
          <w:bottom w:w="28" w:type="dxa"/>
          <w:right w:w="28" w:type="dxa"/>
        </w:tblCellMar>
      </w:tblPr>
      <w:tblGrid>
        <w:gridCol w:w="1646"/>
        <w:gridCol w:w="1383"/>
        <w:gridCol w:w="1388"/>
        <w:gridCol w:w="275"/>
        <w:gridCol w:w="806"/>
        <w:gridCol w:w="109"/>
        <w:gridCol w:w="109"/>
        <w:gridCol w:w="109"/>
        <w:gridCol w:w="109"/>
        <w:gridCol w:w="275"/>
        <w:gridCol w:w="806"/>
        <w:gridCol w:w="109"/>
        <w:gridCol w:w="109"/>
        <w:gridCol w:w="109"/>
        <w:gridCol w:w="109"/>
        <w:gridCol w:w="270"/>
        <w:gridCol w:w="811"/>
        <w:gridCol w:w="109"/>
        <w:gridCol w:w="109"/>
        <w:gridCol w:w="109"/>
        <w:gridCol w:w="109"/>
        <w:gridCol w:w="244"/>
        <w:gridCol w:w="837"/>
        <w:gridCol w:w="156"/>
      </w:tblGrid>
      <w:tr>
        <w:trPr/>
        <w:tc>
          <w:tcPr>
            <w:tcW w:w="164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share and per share amounts)</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Dividends on Series A preferred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available to common shareholders</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available to common shareholders</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46,319,945 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46,210,545 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45,918,697 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potential 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46,962,276 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46,726,255 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46,210,545 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46,432,481 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360"/>
        <w:jc w:val="both"/>
        <w:rPr/>
      </w:pPr>
      <w:r>
        <w:rPr>
          <w:rFonts w:ascii="Times New Roman;serif" w:hAnsi="Times New Roman;serif"/>
          <w:b w:val="false"/>
          <w:color w:val="231F20"/>
          <w:sz w:val="20"/>
        </w:rPr>
        <w:t xml:space="preserve">For the </w:t>
      </w:r>
      <w:r>
        <w:rPr>
          <w:rFonts w:ascii="Times New Roman;serif" w:hAnsi="Times New Roman;serif"/>
          <w:b w:val="false"/>
          <w:color w:val="000000"/>
          <w:sz w:val="20"/>
        </w:rPr>
        <w:t xml:space="preserve">six months ended June 30, 2026, potential common shares of 757,102 related to unvested RSUs were anti-dilutive and excluded from the calculation of diluted earnings per share. </w:t>
      </w:r>
      <w:r>
        <w:rPr>
          <w:rFonts w:ascii="Times New Roman;serif" w:hAnsi="Times New Roman;serif"/>
          <w:b w:val="false"/>
          <w:color w:val="231F20"/>
          <w:sz w:val="20"/>
        </w:rPr>
        <w:t xml:space="preserve">In addition, for all periods presented above, potential common shares of </w:t>
      </w:r>
      <w:r>
        <w:rPr>
          <w:rFonts w:ascii="Times New Roman;serif" w:hAnsi="Times New Roman;serif"/>
          <w:b w:val="false"/>
          <w:color w:val="000000"/>
          <w:sz w:val="20"/>
        </w:rPr>
        <w:t xml:space="preserve">13,521,634 related to outstanding Series A Preferred Shares </w:t>
      </w:r>
      <w:r>
        <w:rPr>
          <w:rFonts w:ascii="Times New Roman;serif" w:hAnsi="Times New Roman;serif"/>
          <w:b w:val="false"/>
          <w:color w:val="231F20"/>
          <w:sz w:val="20"/>
        </w:rPr>
        <w:t xml:space="preserve">were anti-dilutive and excluded from the </w:t>
      </w:r>
      <w:r>
        <w:rPr>
          <w:rFonts w:ascii="Times New Roman;serif" w:hAnsi="Times New Roman;serif"/>
          <w:b w:val="false"/>
          <w:color w:val="000000"/>
          <w:sz w:val="20"/>
        </w:rPr>
        <w:t>calculation of diluted earnings per common share</w:t>
      </w:r>
      <w:r>
        <w:rPr>
          <w:rFonts w:ascii="Times New Roman;serif" w:hAnsi="Times New Roman;serif"/>
          <w:b w:val="false"/>
          <w:color w:val="231F20"/>
          <w:sz w:val="20"/>
        </w:rPr>
        <w:t>. The Company applies the if-converted method for the outstanding Series A Preferred Shares in the calculation of diluted earnings per share from continuing operations. If the Series A Preferred Shares are dilutive, the dividends on the Series A Preferred Shares are added back to income from continuing operations available to common shareholders in the numerator of the calculation and the additional common shares from an assumed conversion of the Series A Preferred Shares are added in the denominator of the calculation.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6.    Reserve for Losses and Loss Adjustment Expenses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reserve balances for losses and loss adjustment expenses, net of reinsurance, to the gross amounts reported in the condensed consolidated balance sheets. Reinsurance recoverables on unpaid losses and loss adjustment expenses are presented gross of an allowance for credit losses on reinsurance balances of $1.7 million at June 30, 2026 and March 31, 2026, $1.6 million at December 31, 2025, $1.5 million at June 30, 2025 and March 31, 2025, and $1.2 million at December 31, 2024.</w:t>
      </w:r>
    </w:p>
    <w:tbl>
      <w:tblPr>
        <w:tblW w:w="10205" w:type="dxa"/>
        <w:jc w:val="left"/>
        <w:tblInd w:w="0" w:type="dxa"/>
        <w:tblLayout w:type="fixed"/>
        <w:tblCellMar>
          <w:top w:w="28" w:type="dxa"/>
          <w:left w:w="28" w:type="dxa"/>
          <w:bottom w:w="28" w:type="dxa"/>
          <w:right w:w="28" w:type="dxa"/>
        </w:tblCellMar>
      </w:tblPr>
      <w:tblGrid>
        <w:gridCol w:w="1445"/>
        <w:gridCol w:w="1270"/>
        <w:gridCol w:w="1278"/>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loss adjustment expenses net of reinsurance recoverables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Incurred losses and loss adjustment expenses net of reinsurance: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 - retroactive reinsurance impact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 - excluding retroactive reinsurance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incurred losses and loss adjustment expenses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212,666 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 Loss and loss adjustment expense payments net of reinsurance: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 and loss adjustment expense payments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202,452 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 Change in deferred reinsurance gain - retroactive reinsurance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loss adjustment expenses net of reinsurance recoverables at end of period</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1,089,181 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1,089,181 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Reinsurance recoverables on unpaid losses and loss adjustment expenses at end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1,987,317 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loss adjustment expenses gross of reinsurance recoverables on unpaid losses and loss adjustment expenses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3,090,045 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3,076,498 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3,090,045 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3,076,498 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Company experienced $569,000 of net adverse reserve development in the three months ended June 30, 2026 on the reserve for losses and loss adjustment expenses held at December 31, 2025 (excluding adverse prior year development subject to deferral under retroactive reinsurance accounting - see </w:t>
      </w:r>
      <w:r>
        <w:rPr>
          <w:rFonts w:ascii="Times New Roman;serif" w:hAnsi="Times New Roman;serif"/>
          <w:b w:val="false"/>
          <w:i/>
          <w:color w:val="000000"/>
          <w:sz w:val="20"/>
        </w:rPr>
        <w:t xml:space="preserve">Loss Portfolio Transfers and Adverse Development Covers </w:t>
      </w:r>
      <w:r>
        <w:rPr>
          <w:rFonts w:ascii="Times New Roman;serif" w:hAnsi="Times New Roman;serif"/>
          <w:b w:val="false"/>
          <w:color w:val="000000"/>
          <w:sz w:val="20"/>
        </w:rPr>
        <w:t>below). This reserve development included $275,000 of net adverse development in the Excess &amp; Surplus Lines segment and $294,000 of net adverse development in the Specialty Admitted Insurance segment.</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Company experienced $3.0 million of net adverse reserve development in the three months ended June 30, 2025 on the reserve for losses and loss adjustment expenses held at December 31, 2024 (excluding adverse prior year development subject to deferral under retroactive reinsurance accounting - see </w:t>
      </w:r>
      <w:r>
        <w:rPr>
          <w:rFonts w:ascii="Times New Roman;serif" w:hAnsi="Times New Roman;serif"/>
          <w:b w:val="false"/>
          <w:i/>
          <w:color w:val="000000"/>
          <w:sz w:val="20"/>
        </w:rPr>
        <w:t xml:space="preserve">Loss Portfolio Transfers and Adverse Development Covers </w:t>
      </w:r>
      <w:r>
        <w:rPr>
          <w:rFonts w:ascii="Times New Roman;serif" w:hAnsi="Times New Roman;serif"/>
          <w:b w:val="false"/>
          <w:color w:val="000000"/>
          <w:sz w:val="20"/>
        </w:rPr>
        <w:t>below). This reserve development included $2.3 million of net adverse development in the Excess &amp; Surplus Lines segment and $700,000 of net adverse development in the Specialty Admitted Insurance segment.</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Company experienced $404,000 of net adverse reserve development in the six months ended June 30, 2026 on the reserve for losses and loss adjustment expenses held at December 31, 2025 (excluding adverse prior year development subject to deferral under retroactive reinsurance accounting - see </w:t>
      </w:r>
      <w:r>
        <w:rPr>
          <w:rFonts w:ascii="Times New Roman;serif" w:hAnsi="Times New Roman;serif"/>
          <w:b w:val="false"/>
          <w:i/>
          <w:color w:val="000000"/>
          <w:sz w:val="20"/>
        </w:rPr>
        <w:t xml:space="preserve">Loss Portfolio Transfers and Adverse Development Covers </w:t>
      </w:r>
      <w:r>
        <w:rPr>
          <w:rFonts w:ascii="Times New Roman;serif" w:hAnsi="Times New Roman;serif"/>
          <w:b w:val="false"/>
          <w:color w:val="000000"/>
          <w:sz w:val="20"/>
        </w:rPr>
        <w:t>below). This reserve development included $175,000 of net adverse development in the Excess &amp; Surplus Lines segment and $229,000 of net adverse development in the Specialty Admitted Insurance segment.</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Company experienced $2.9 million of net adverse reserve development in the six months ended June 30, 2025 on the reserve for losses and loss adjustment expenses held at December 31, 2024 (excluding adverse prior year development subject to deferral under retroactive reinsurance accounting - see </w:t>
      </w:r>
      <w:r>
        <w:rPr>
          <w:rFonts w:ascii="Times New Roman;serif" w:hAnsi="Times New Roman;serif"/>
          <w:b w:val="false"/>
          <w:i/>
          <w:color w:val="000000"/>
          <w:sz w:val="20"/>
        </w:rPr>
        <w:t xml:space="preserve">Loss Portfolio Transfers and Adverse Development Covers </w:t>
      </w:r>
      <w:r>
        <w:rPr>
          <w:rFonts w:ascii="Times New Roman;serif" w:hAnsi="Times New Roman;serif"/>
          <w:b w:val="false"/>
          <w:color w:val="000000"/>
          <w:sz w:val="20"/>
        </w:rPr>
        <w:t xml:space="preserve">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This reserve development included $2.3 million of net adverse development in the Excess &amp; Surplus Lines segment and $579,000 of net adverse development in the Specialty Admitted Insurance segment.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Loss Portfolio Transfers and Adverse Development Covers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Loss portfolio transfers and adverse development covers are forms of retroactive reinsurance utilized by the Company to transfer losses and loss adjustment expenses and associated risk of adverse development on covered subject business, as defined in the respective agreements, to an assuming reinsurer in exchange for a reinsurance premium. This reinsurance can bring economic finality (up to the limit of such agreements, if applicable) on the subject risks when they no longer meet the Company's risk appetite or are no longer aligned with the Company's risk management guidelines.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Commercial Auto Loss Portfolio Transfer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27, 2021, James River Insurance and James River Casualty Company (together, “James River”) entered into a loss portfolio transfer transaction (the “Commercial Auto LPT”) with Aleka Insurance, Inc. (“Aleka”), a captive insurance company affiliate of Rasier LLC, to reinsure substantially all of the Excess &amp;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 The cumulative amounts ceded under the loss portfolio transfer was $451.4 million as of both June 30, 2026 and December 31, 2025.</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Combined Loss Portfolio Transfer and Adverse Development Cover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 2024, James River entered into a Combined Loss Portfolio Transfer and Adverse Development Cover Reinsurance Contract (the “E&amp;S ADC”) with State National Insurance Company, Inc. (“State National”). The transaction closed upon signing.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E&amp;S ADC was effective January 1, 2024 (the “Effective Date”) and applies to James River’s Excess &amp; Surplus Lines segment casualty portfolio losses attaching to premium earned during 2010-2023 (both years inclusive), excluding, among others, losses related to commercial auto policies issued to a former large insured or its affiliates (the “Subject Business”). Pursuant to the E&amp;S ADC, (a) State National reinsures 85% of losses paid on and after the Effective Date in respect of the Subject Business in excess of $716.6 million up to an aggregate limit of $467.1 million (with State National’s share of the aggregate limit being $397.0 million) in exchange for a reinsurance premium paid by James River equal to $313.2 million, and (b) James River continues to manage claims and to manage and collect the benefit of other existing third-party reinsurance on the Subject Business, which third-party reinsurance inures to the benefit of the E&amp;S ADC. Additional adverse development of $35.0 million (net of the Company's 15% retention) recognized on the subject business of the E&amp;S ADC in the year ended December 31, 2025 exhausted the remaining limit of the E&amp;S ADC.</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Adverse Development Cover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11, 2024, Enstar, through its subsidiary Cavello Bay Reinsurance Limited (“Cavello Bay”), entered into an adverse development cover agreement with James River (“E&amp;S Top Up ADC”), pursuant to which, in exchange for a premium of $52.8 million (less an amount equal to the federal excise tax payable on the premium), Cavello Bay reinsures, effective January 1, 2024, 100% of the losses associated with James River’s Excess &amp; Surplus Lines segment casualty portfolio losses attaching to premium earned during 2010-2023 (both years inclusive). The E&amp;S Top Up ADC excludes losses related to commercial auto policies issued to a former large insured or its affiliates and is subject to a retention by James River of $1,183.7 million (the limit of the E&amp;S ADC executed on July 2, 2024) and up to an aggregate limit of $75.0 million. The E&amp;S Top Up ADC closed on December 23, 2024. The Company recognized a $52.8 million reduction in pre-tax income in connection with the adverse development cover upon closing. In 2025, $51.4 million of adverse development was ceded to the E&amp;S Top Up ADC, reducing the aggregate limit remaining on the E&amp;S Top Up ADC to $23.6 million at December 31, 2025. In the six months ended June 30, 2026, an additional $23.6 million of adverse development was ceded to the E&amp;S Top Up ADC, exhausting the remaining limit of the E&amp;S Top Up ADC. Of the $23.6 million, $22.2 million was subject to deferral under retroactive reinsurance accounting.</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Retroactive Reinsurance Accounting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periodically reevaluates the remaining reserves subject to the Commercial Auto LPT, the E&amp;S ADC, and the E&amp;S Top Up ADC, and when recognized adverse prior year development on the subject business causes the cumulative amounts ceded under the agreements to exceed the consideration paid, the agreements move into a gain position subject to deferral under retroactive reinsurance accounting. Gains are deferred under retroactive reinsurance accounting and recognized in earnings in proportion to actual paid recoveries under the agreements using the recovery method. While the deferral of gains can introduce volatility in the Company's operating results in the short-term, over the life of the contract, we would expect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economic impact to the Company as long as the counterparty performs under the contract. The impact of retroactive reinsurance accounting is not indicative of the Company's current and ongoing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retroactive reinsurance accounting for the Commercial Auto LPT, the E&amp;S ADC, and the E&amp;S Top Up ADC for the three and six months ended June 30, 2026 and 2025, respectively.</w:t>
      </w:r>
    </w:p>
    <w:tbl>
      <w:tblPr>
        <w:tblW w:w="10205" w:type="dxa"/>
        <w:jc w:val="left"/>
        <w:tblInd w:w="0" w:type="dxa"/>
        <w:tblLayout w:type="fixed"/>
        <w:tblCellMar>
          <w:top w:w="28" w:type="dxa"/>
          <w:left w:w="28" w:type="dxa"/>
          <w:bottom w:w="28" w:type="dxa"/>
          <w:right w:w="28" w:type="dxa"/>
        </w:tblCellMar>
      </w:tblPr>
      <w:tblGrid>
        <w:gridCol w:w="1740"/>
        <w:gridCol w:w="1528"/>
        <w:gridCol w:w="1536"/>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5"/>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Commercial Auto LPT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Adverse prior year development ceded on subject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E&amp;S ADC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Adverse prior year development ceded on subject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E&amp;S Top Up ADC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Adverse prior year development ceded on subject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Adverse prior year development ceded on subject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65,281 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7.    Other Comprehensive (Loss) Income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other comprehensive (loss) income:</w:t>
      </w:r>
    </w:p>
    <w:tbl>
      <w:tblPr>
        <w:tblW w:w="10205" w:type="dxa"/>
        <w:jc w:val="left"/>
        <w:tblInd w:w="0" w:type="dxa"/>
        <w:tblLayout w:type="fixed"/>
        <w:tblCellMar>
          <w:top w:w="28" w:type="dxa"/>
          <w:left w:w="28" w:type="dxa"/>
          <w:bottom w:w="28" w:type="dxa"/>
          <w:right w:w="28" w:type="dxa"/>
        </w:tblCellMar>
      </w:tblPr>
      <w:tblGrid>
        <w:gridCol w:w="1924"/>
        <w:gridCol w:w="1586"/>
        <w:gridCol w:w="1597"/>
        <w:gridCol w:w="211"/>
        <w:gridCol w:w="674"/>
        <w:gridCol w:w="109"/>
        <w:gridCol w:w="109"/>
        <w:gridCol w:w="109"/>
        <w:gridCol w:w="109"/>
        <w:gridCol w:w="211"/>
        <w:gridCol w:w="616"/>
        <w:gridCol w:w="109"/>
        <w:gridCol w:w="109"/>
        <w:gridCol w:w="109"/>
        <w:gridCol w:w="109"/>
        <w:gridCol w:w="211"/>
        <w:gridCol w:w="779"/>
        <w:gridCol w:w="109"/>
        <w:gridCol w:w="109"/>
        <w:gridCol w:w="109"/>
        <w:gridCol w:w="109"/>
        <w:gridCol w:w="211"/>
        <w:gridCol w:w="721"/>
        <w:gridCol w:w="156"/>
      </w:tblGrid>
      <w:tr>
        <w:trPr/>
        <w:tc>
          <w:tcPr>
            <w:tcW w:w="1924"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gains arising during the period, before U.S.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income taxes</w:t>
            </w:r>
          </w:p>
        </w:tc>
        <w:tc>
          <w:tcPr>
            <w:tcW w:w="8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gains arising during the period, net of U.S. income taxes</w:t>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w:t>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 gains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income taxes</w:t>
            </w:r>
          </w:p>
        </w:tc>
        <w:tc>
          <w:tcPr>
            <w:tcW w:w="8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investment (losses) gains realized in net income</w:t>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19,249 </w:t>
            </w:r>
          </w:p>
        </w:tc>
        <w:tc>
          <w:tcPr>
            <w:tcW w:w="1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net realized investment (losses) gains on available-for-sale fixed maturities disclosed above, the Company also recognized net realized and unrealized investment gains (losses) on its investments in bank loan participations and equity securities in the respective periods. Refer to Note 3 for disclosure of these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8.       Contingent Liabilities</w: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involved in various legal proceedings, including commercial matters and litigation regarding insurance claims which arise in the ordinary course of business. In addition, the Company is involved from time to time in legal actions which seek extra-contractual damages, punitive damages or penalties, including claims alleging bad faith in the handling of insurance claims. The Company believes that the outcome of such matters, individually and in the aggregate, is not reasonably likely to have a material adverse effect on the Company's consolidated financial position, results of operations or cash flows.</w:t>
      </w:r>
    </w:p>
    <w:p>
      <w:pPr>
        <w:pStyle w:val="TextBody"/>
        <w:bidi w:val="0"/>
        <w:spacing w:lineRule="auto" w:line="288" w:before="0" w:after="120"/>
        <w:ind w:left="0" w:right="0" w:firstLine="360"/>
        <w:jc w:val="both"/>
        <w:rPr/>
      </w:pPr>
      <w:r>
        <w:rPr>
          <w:rFonts w:ascii="Times New Roman;serif" w:hAnsi="Times New Roman;serif"/>
          <w:b w:val="false"/>
          <w:color w:val="000000"/>
          <w:sz w:val="20"/>
        </w:rPr>
        <w:t>On March 11, 2024, the Company filed a complaint in the Supreme Court of the State of New York, New York County, Commercial Division against Fleming relating to the Stock Purchase Agreement dated November 8, 2023 between the Company and Fleming (the “Stock Purchase Agreement”), pursuant to which Fleming agreed to purchase all of the outstanding common shares of JRG Re (the “Transaction”). The complaint alleged that Fleming breached the Stock Purchase Agreement by its refusal to close the Transaction on March 1, 2024 as required under the terms of the Stock Purchase Agreement, and sought specific performance of Fleming’s obligation to complete the Transaction and an award of damages. The Company subsequently filed a motion for preliminary injunction to require Fleming to fulfill its contractual obligation to close the Transaction.</w:t>
      </w:r>
      <w:r>
        <w:rPr>
          <w:color w:val="000000"/>
        </w:rPr>
        <w:t xml:space="preserve"> </w:t>
      </w:r>
      <w:r>
        <w:rPr>
          <w:rFonts w:ascii="Times New Roman;serif" w:hAnsi="Times New Roman;serif"/>
          <w:b w:val="false"/>
          <w:color w:val="000000"/>
          <w:sz w:val="20"/>
        </w:rPr>
        <w:t>On April 6, 2024, the Court granted the Company’s motion, pursuant to which the Transaction closed on April 16, 2024. On May 9, 2024, the Company filed an amended complaint (the “Amended Complaint”) seeking, among other things, specific performance and damages suffered as a result of Fleming's breach of the Stock Purchase Agreement. On June 6, 2024, Fleming filed a motion to dismiss the Amended Complaint, which the court granted in part and denied in part on June 13, 2026. The court granted Fleming’s motion to dismiss the Company’s claim for specific performance and claims for consequential damages, but permitted the Company’s claims for direct damages for breach of contract to proceed.</w:t>
      </w:r>
      <w:r>
        <w:rPr>
          <w:color w:val="000000"/>
        </w:rPr>
        <w:t xml:space="preserve"> </w:t>
      </w:r>
      <w:r>
        <w:rPr>
          <w:rFonts w:ascii="Times New Roman;serif" w:hAnsi="Times New Roman;serif"/>
          <w:b w:val="false"/>
          <w:color w:val="000000"/>
          <w:sz w:val="20"/>
        </w:rPr>
        <w:t>Fleming’s deadline to answer the Amended Complaint is September 8, 2026.</w:t>
      </w:r>
    </w:p>
    <w:p>
      <w:pPr>
        <w:pStyle w:val="TextBody"/>
        <w:bidi w:val="0"/>
        <w:spacing w:lineRule="auto" w:line="288" w:before="0" w:after="120"/>
        <w:ind w:left="0" w:right="0" w:firstLine="360"/>
        <w:jc w:val="both"/>
        <w:rPr/>
      </w:pPr>
      <w:r>
        <w:rPr>
          <w:rFonts w:ascii="Times New Roman;serif" w:hAnsi="Times New Roman;serif"/>
          <w:b w:val="false"/>
          <w:color w:val="000000"/>
          <w:sz w:val="20"/>
        </w:rPr>
        <w:t>On July 15, 2024, Fleming filed a lawsuit in the U.S. District Court, Southern District of New York against JRG Holdings and certain of its officers, asserting claims under Sections 10(b) and 20(a) of the Securities Exchange Act of 1934, common law fraud, and breaches of contract, and seeking unspecified monetary damages, including compensatory, consequential and punitive damages, all associated with Fleming's purchase of JRG Re pursuant to the Stock Purchase Agreement. On July 31, 2024, Fleming filed an amended complaint, on September 13, 2024, the Company filed a motion to dismiss the amended complaint, and on October 18, 2024 Fleming filed a second amended complaint. On November 15, 2024, the Company filed a motion to dismiss the second amended complaint, which the court granted on July 17, 2025.</w:t>
      </w:r>
      <w:r>
        <w:rPr>
          <w:color w:val="000000"/>
        </w:rPr>
        <w:t xml:space="preserve"> </w:t>
      </w:r>
      <w:r>
        <w:rPr>
          <w:rFonts w:ascii="Times New Roman;serif" w:hAnsi="Times New Roman;serif"/>
          <w:b w:val="false"/>
          <w:color w:val="000000"/>
          <w:sz w:val="20"/>
        </w:rPr>
        <w:t xml:space="preserve">On August 14, 2025, Fleming filed a motion for reconsideration, which the court denied on December 2, 2025. On December 22, 2025 Fleming filed a notice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appeal to the United States Court of Appeals for the Second Circuit. Fleming filed its opening appellate brief on March 13, 2026, the Company filed its response brief on June 12, 2026, and Fleming filed its reply brief on July 6, 2026. The Company believes that it has substantial defenses and intends to vigorously defend this lawsuit.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Amounts Recoverable from Reinsurers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insurance segments remain liable to policyholders if its reinsurers are unable to meet their contractual obligations under applicable reinsurance agreements. The Company establishes an allowance for credit losses for its current estimate of uncollectible reinsurance recoverables. At June 30, 2026, the allowance for credit losses on reinsurance recoverables was $1.7 million.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the Company is subject to credit risk with regard to insurance companies who act as reinsurers for us in such arrangements. The Company requires collateral, in the form of a trust arrangement or letter of credit, to secure the obligations of the insurance entity for whom it is fronting.</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Amounts Recoverable from an Indemnifying Party and Reinsurer on Legacy Commercial Auto Book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In addition, on September 27, 2021, James River entered into the Commercial Auto LPT with Aleka to reinsure substantially all of the Rasier Commercial Auto Policies for which James River is not otherwise indemnified by Rasier under the Indemnity Agreements.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of Rasier and Aleka is required to post collateral equal to 102% of James River's estimate of the respective party's obligations in trusts pursuant to the terms of the Indemnity Agreements and the Commercial Auto LPT, respectively. At June 30, 2026, the total balance of collateral securing Rasier's obligations under the Indemnity Agreements was $19.5 million and Aleka's obligations under the Commercial Auto LPT were $8.2 million. At June 30, 2026, the total reinsurance recoverables under the Commercial Auto LPT was $7.7 million.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trust account collateralizing the Indemnity Agreements (the “Indemnity Trust”), funds withdrawn from the trust account collateralizing Commercial Auto LPT (the “LPT Trust”), and its own funds, in each case in an amount equal to the pro rata portion of the required Loss Fund Trust balance attributable to the Indemnity Agreements, the Commercial Auto LPT and James River’s existing third party reinsurance agreements, respectively. At June 30, 2026, the balance in the Loss Fund Trust was $8.6 million, including $5.3 million representing collateral supporting Rasier’s obligations under the Indemnity Agreements and $2.2 million representing collateral supporting Aleka’s obligations under the Commercial Auto LPT. Funds posted to the Loss Fund Trust are classified as restricted cash equivalents on the Company's balance sheet.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the collateral balances. In addition, the Company has credit exposure if its estimates of future losses and loss adjustment expenses and other amounts recoverable under the Indemnity Agreements and the Commercial Auto LPT, which are the basis for establishing the collateral balances, are lower than actual amounts paid or payable. The amount of the Company's credit exposure in any of these instances could be material. To mitigate these risks, the Company closely and frequently monitors its exposure compared to the collateral held, and requests additional collateral in accordance with the terms of the Commercial Auto LPT and Indemnity Agreements when its analysis indicates that it has uncollateralized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9.    Segment Information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continuing operations are comprised of three reportable segments, two of which are separately managed business units and the third (“Corporate and Other”) includes the Company’s remaining operations. The Excess &amp; Surplus Lines segment primarily offers commercial excess and surplus lines liability and excess property insurance products. The Specialty Admitted Insurance segment offers specialty admitted and nonadmitted fronting and program business and, prior to the sale of the Company's renewal rights in 2023, workers’ compensation insurance coverage. The Corporate and Other segment consists of certain management and treasury activities of James River Group and JRG Holdings including public company expenses, expenses for our Board of Directors, long-term incentive compensation for the full Company, interest expense associated with senior debt and Junior Subordinated Debt, and investment income. The accounting policies of the reportable segments are the same as those described in the summary of significant accounting policies. Prior to entering into a definitive agreement to sell JRG Re on November 8, 2023, JRG Re was considered a reportable segment (the “Casualty Reinsurance” segment). After entering into the agreement to sell JRG Re, the Company no longer considers Casualty Reinsurance to be a reportable segment, but instead it is reported as discontinued operations. The segment information below excludes discontinued operations for all periods presented.</w:t>
      </w:r>
    </w:p>
    <w:p>
      <w:pPr>
        <w:pStyle w:val="TextBody"/>
        <w:bidi w:val="0"/>
        <w:spacing w:lineRule="auto" w:line="288" w:before="0" w:after="120"/>
        <w:ind w:left="0" w:right="0" w:firstLine="405"/>
        <w:jc w:val="both"/>
        <w:rPr/>
      </w:pPr>
      <w:r>
        <w:rPr>
          <w:rFonts w:ascii="Times New Roman;serif" w:hAnsi="Times New Roman;serif"/>
          <w:b w:val="false"/>
          <w:color w:val="000000"/>
          <w:sz w:val="20"/>
        </w:rPr>
        <w:t xml:space="preserve">Segment profit (loss) is measured by underwriting profit (loss), which is generally defined as net earned premiums and gross fee income (in specific instances when the Company is not retaining insurance risk) in “other income” in the Consolidated Statements of Income (Loss) and Comprehensive Income (Loss) less loss and loss adjustment expenses on business not subject to deferral under retroactive reinsurance accounting (see </w:t>
      </w:r>
      <w:r>
        <w:rPr>
          <w:rFonts w:ascii="Times New Roman;serif" w:hAnsi="Times New Roman;serif"/>
          <w:b w:val="false"/>
          <w:i/>
          <w:color w:val="000000"/>
          <w:sz w:val="20"/>
        </w:rPr>
        <w:t xml:space="preserve">Retroactive Reinsurance Accounting </w:t>
      </w:r>
      <w:r>
        <w:rPr>
          <w:rFonts w:ascii="Times New Roman;serif" w:hAnsi="Times New Roman;serif"/>
          <w:b w:val="false"/>
          <w:color w:val="000000"/>
          <w:sz w:val="20"/>
        </w:rPr>
        <w:t>in</w:t>
      </w:r>
      <w:r>
        <w:rPr>
          <w:color w:val="000000"/>
        </w:rPr>
        <w:t xml:space="preserve"> </w:t>
      </w:r>
      <w:r>
        <w:rPr>
          <w:rFonts w:ascii="Times New Roman;serif" w:hAnsi="Times New Roman;serif"/>
          <w:b w:val="false"/>
          <w:i/>
          <w:color w:val="000000"/>
          <w:sz w:val="20"/>
        </w:rPr>
        <w:t>Note 6 - Reserve for Losses and Loss Adjustment Expenses</w:t>
      </w:r>
      <w:r>
        <w:rPr>
          <w:rFonts w:ascii="Times New Roman;serif" w:hAnsi="Times New Roman;serif"/>
          <w:b w:val="false"/>
          <w:color w:val="000000"/>
          <w:sz w:val="20"/>
        </w:rPr>
        <w:t>) and other operating expenses. Other operating expenses include the underwriting, acquisition, and insurance expenses of the operating segments and, for consolidated underwriting profit, the expenses of the Corporate and Other segment. Other operating expenses for the Corporate and Other segment include personnel costs associated with the holding companies, professional fees, long-term incentive compensation (including share-based compensation) for the Company, public company expenses and various other corporate expenses. Net commissions in the table below are net of amounts deferred as deferred policy acquisition costs. Employee compensation includes both cash and share-based compensation, as well as employer expenses related to payroll taxes and benefits, and is net of amounts allocated to losses and loss adjustment expenses and amounts deferred. All other operating expenses include, amongst other expenses, costs for insurance, outside professional fees including legal, audit, and consulting, office rent, bad debt expense, and taxes, licenses and fees on business written. Segment results are reported prior to the effects of intercompany pooling agreements and intercompany reinsurance agreements. All gross written premiums and net earned premiums for all periods presented were generated from policies issued to U.S. based insureds. Segment revenues for each reportable segment include net earned premiums, net investment income, and realized and unrealized (losses) gains on investments.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(“CEO”) has final authority over segment resource allocation decisions and performance assessment, and consequently, is identified as the Chief Operating Decision Maker (“CODM”). The CEO considers segment underwriting profit (loss) in the annual budget and forecasting process, and in monthly financial reviews of actual segment results compared to budget and prior year periods in order to assess segment performance and make strategic operating decisions regarding the business written by the segments, the allocation of capital and personnel to the segments, and compensation for segment employees. The segment information presented below aligns with the information that is presented regularly to the CEO.</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segment results:</w:t>
      </w:r>
    </w:p>
    <w:tbl>
      <w:tblPr>
        <w:tblW w:w="10205" w:type="dxa"/>
        <w:jc w:val="left"/>
        <w:tblInd w:w="0" w:type="dxa"/>
        <w:tblLayout w:type="fixed"/>
        <w:tblCellMar>
          <w:top w:w="28" w:type="dxa"/>
          <w:left w:w="28" w:type="dxa"/>
          <w:bottom w:w="28" w:type="dxa"/>
          <w:right w:w="28" w:type="dxa"/>
        </w:tblCellMar>
      </w:tblPr>
      <w:tblGrid>
        <w:gridCol w:w="1842"/>
        <w:gridCol w:w="1562"/>
        <w:gridCol w:w="1569"/>
        <w:gridCol w:w="211"/>
        <w:gridCol w:w="826"/>
        <w:gridCol w:w="109"/>
        <w:gridCol w:w="109"/>
        <w:gridCol w:w="109"/>
        <w:gridCol w:w="109"/>
        <w:gridCol w:w="211"/>
        <w:gridCol w:w="721"/>
        <w:gridCol w:w="109"/>
        <w:gridCol w:w="109"/>
        <w:gridCol w:w="109"/>
        <w:gridCol w:w="109"/>
        <w:gridCol w:w="253"/>
        <w:gridCol w:w="487"/>
        <w:gridCol w:w="131"/>
        <w:gridCol w:w="109"/>
        <w:gridCol w:w="109"/>
        <w:gridCol w:w="109"/>
        <w:gridCol w:w="211"/>
        <w:gridCol w:w="826"/>
        <w:gridCol w:w="156"/>
      </w:tblGrid>
      <w:tr>
        <w:trPr/>
        <w:tc>
          <w:tcPr>
            <w:tcW w:w="184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&amp;</w:t>
              <w:br/>
              <w:t>Surplus</w:t>
              <w:br/>
              <w:t>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Specialty</w:t>
              <w:br/>
              <w:t>Admitted</w:t>
              <w:b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w:t>
              <w:b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and for the Three Months Ended June 30, 2026</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losses and loss adjustment expense - retroactive reinsurance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excluding retroactive reinsurance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92,178 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81"/>
        <w:gridCol w:w="1493"/>
        <w:gridCol w:w="1498"/>
        <w:gridCol w:w="211"/>
        <w:gridCol w:w="826"/>
        <w:gridCol w:w="109"/>
        <w:gridCol w:w="109"/>
        <w:gridCol w:w="109"/>
        <w:gridCol w:w="109"/>
        <w:gridCol w:w="220"/>
        <w:gridCol w:w="756"/>
        <w:gridCol w:w="109"/>
        <w:gridCol w:w="109"/>
        <w:gridCol w:w="109"/>
        <w:gridCol w:w="109"/>
        <w:gridCol w:w="253"/>
        <w:gridCol w:w="487"/>
        <w:gridCol w:w="131"/>
        <w:gridCol w:w="109"/>
        <w:gridCol w:w="109"/>
        <w:gridCol w:w="109"/>
        <w:gridCol w:w="211"/>
        <w:gridCol w:w="826"/>
        <w:gridCol w:w="313"/>
      </w:tblGrid>
      <w:tr>
        <w:trPr/>
        <w:tc>
          <w:tcPr>
            <w:tcW w:w="178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&amp;</w:t>
              <w:br/>
              <w:t>Surplus</w:t>
              <w:br/>
              <w:t>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Specialty</w:t>
              <w:br/>
              <w:t>Admitted</w:t>
              <w:b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w:t>
              <w:b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14,823 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20,839 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7,449 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47,201 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profit (loss)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(7,449)</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155,337 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161,344 </w:t>
            </w:r>
          </w:p>
        </w:tc>
        <w:tc>
          <w:tcPr>
            <w:tcW w:w="3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4,773,078 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and for the Three Months Ended June 30, 2025</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378,003 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152,609 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losses and loss adjustment expense - retroactive reinsurance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excluding retroactive reinsurance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103,902 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12,563 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23,422 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47,471 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profit (loss)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158,320 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3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174,843 </w:t>
            </w:r>
          </w:p>
        </w:tc>
        <w:tc>
          <w:tcPr>
            <w:tcW w:w="3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5,018,322 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and for the Six Months Ended June 30, 2026</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505,272 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274,730 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207,265 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losses and loss adjustment expense - retroactive reinsurance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excluding retroactive reinsurance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186,149 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06"/>
        <w:gridCol w:w="1481"/>
        <w:gridCol w:w="1484"/>
        <w:gridCol w:w="211"/>
        <w:gridCol w:w="826"/>
        <w:gridCol w:w="109"/>
        <w:gridCol w:w="109"/>
        <w:gridCol w:w="109"/>
        <w:gridCol w:w="109"/>
        <w:gridCol w:w="211"/>
        <w:gridCol w:w="826"/>
        <w:gridCol w:w="109"/>
        <w:gridCol w:w="109"/>
        <w:gridCol w:w="109"/>
        <w:gridCol w:w="109"/>
        <w:gridCol w:w="267"/>
        <w:gridCol w:w="513"/>
        <w:gridCol w:w="131"/>
        <w:gridCol w:w="109"/>
        <w:gridCol w:w="109"/>
        <w:gridCol w:w="109"/>
        <w:gridCol w:w="211"/>
        <w:gridCol w:w="826"/>
        <w:gridCol w:w="313"/>
      </w:tblGrid>
      <w:tr>
        <w:trPr/>
        <w:tc>
          <w:tcPr>
            <w:tcW w:w="170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&amp;</w:t>
              <w:br/>
              <w:t>Surplus</w:t>
              <w:br/>
              <w:t>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Specialty</w:t>
              <w:br/>
              <w:t>Admitted</w:t>
              <w:b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w:t>
              <w:b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21"/>
            <w:tcBorders/>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28,481 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45,322 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95,252 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profit (loss)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298,768 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3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312,728 </w:t>
            </w:r>
          </w:p>
        </w:tc>
        <w:tc>
          <w:tcPr>
            <w:tcW w:w="3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4,773,078 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and for the Six Months Ended June 30, 2025</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672,364 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304,511 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212,666 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losses and loss adjustment expense - retroactive reinsurance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excluding retroactive reinsurance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205,355 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24,712 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51,083 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98,031 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profit (loss)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309,856 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3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347,132 </w:t>
            </w:r>
          </w:p>
        </w:tc>
        <w:tc>
          <w:tcPr>
            <w:tcW w:w="3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5,018,322 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underwriting profit (loss) of the operating segments by individual segment to consolidated income from continuing operations before income taxes:</w:t>
      </w:r>
    </w:p>
    <w:tbl>
      <w:tblPr>
        <w:tblW w:w="10205" w:type="dxa"/>
        <w:jc w:val="left"/>
        <w:tblInd w:w="0" w:type="dxa"/>
        <w:tblLayout w:type="fixed"/>
        <w:tblCellMar>
          <w:top w:w="28" w:type="dxa"/>
          <w:left w:w="28" w:type="dxa"/>
          <w:bottom w:w="28" w:type="dxa"/>
          <w:right w:w="28" w:type="dxa"/>
        </w:tblCellMar>
      </w:tblPr>
      <w:tblGrid>
        <w:gridCol w:w="1855"/>
        <w:gridCol w:w="1628"/>
        <w:gridCol w:w="1636"/>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55"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profit (loss) of the operating segments: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underwriting profit of operating segments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of the Corporate and Other segment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(loss) profit</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 retroactive reinsurance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losses on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23,336 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10.    Other Operating Expenses and Other Expenses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operating expenses consist of the following:</w:t>
      </w:r>
    </w:p>
    <w:tbl>
      <w:tblPr>
        <w:tblW w:w="10205" w:type="dxa"/>
        <w:jc w:val="left"/>
        <w:tblInd w:w="0" w:type="dxa"/>
        <w:tblLayout w:type="fixed"/>
        <w:tblCellMar>
          <w:top w:w="28" w:type="dxa"/>
          <w:left w:w="28" w:type="dxa"/>
          <w:bottom w:w="28" w:type="dxa"/>
          <w:right w:w="28" w:type="dxa"/>
        </w:tblCellMar>
      </w:tblPr>
      <w:tblGrid>
        <w:gridCol w:w="1816"/>
        <w:gridCol w:w="1594"/>
        <w:gridCol w:w="16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16"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policy acquisition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underwriting expenses of the operating segments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of the Corporate and Other segment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98,031 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Times New Roman;serif" w:hAnsi="Times New Roman;serif"/>
          <w:b w:val="false"/>
          <w:color w:val="000000"/>
          <w:sz w:val="20"/>
        </w:rPr>
        <w:t>Other expenses of $873,000 and $1.0 million for the three and six</w:t>
      </w:r>
      <w:r>
        <w:rPr>
          <w:color w:val="231F20"/>
        </w:rPr>
        <w:t xml:space="preserve"> </w:t>
      </w:r>
      <w:r>
        <w:rPr>
          <w:rFonts w:ascii="Times New Roman;serif" w:hAnsi="Times New Roman;serif"/>
          <w:b w:val="false"/>
          <w:color w:val="231F20"/>
          <w:sz w:val="20"/>
        </w:rPr>
        <w:t>months ended June 30, 2026</w:t>
      </w:r>
      <w:r>
        <w:rPr>
          <w:rFonts w:ascii="Times New Roman;serif" w:hAnsi="Times New Roman;serif"/>
          <w:b w:val="false"/>
          <w:color w:val="000000"/>
          <w:sz w:val="20"/>
        </w:rPr>
        <w:t>, respectively ($1.0 million and $1.6 million in the respective prior year periods), primarily consist of certain nonoperating expenses including legal and other professional fees and other expenses related to various strategic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11.    Senior Debt</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On June 12, 2025, the Company entered into a Credit Agreement (the “Credit Agreement”). The Credit Agreement replaced the Company’s </w:t>
      </w:r>
      <w:r>
        <w:rPr>
          <w:rFonts w:ascii="Times New Roman;serif" w:hAnsi="Times New Roman;serif"/>
          <w:b w:val="false"/>
          <w:color w:val="000000"/>
          <w:sz w:val="20"/>
        </w:rPr>
        <w:t>Third Amended and Restated Credit Agreement dated July 7, 2023 (the “</w:t>
      </w:r>
      <w:r>
        <w:rPr>
          <w:rFonts w:ascii="Times New Roman;serif" w:hAnsi="Times New Roman;serif"/>
          <w:b w:val="false"/>
          <w:color w:val="231F20"/>
          <w:sz w:val="20"/>
        </w:rPr>
        <w:t>Previous Credit Agreement</w:t>
      </w:r>
      <w:r>
        <w:rPr>
          <w:color w:val="000000"/>
        </w:rPr>
        <w:t>”</w:t>
      </w:r>
      <w:r>
        <w:rPr>
          <w:rFonts w:ascii="Times New Roman;serif" w:hAnsi="Times New Roman;serif"/>
          <w:b w:val="false"/>
          <w:color w:val="231F20"/>
          <w:sz w:val="20"/>
        </w:rPr>
        <w:t xml:space="preserve">), which provided for a </w:t>
      </w:r>
      <w:r>
        <w:rPr>
          <w:rFonts w:ascii="Times New Roman;serif" w:hAnsi="Times New Roman;serif"/>
          <w:b w:val="false"/>
          <w:color w:val="000000"/>
          <w:sz w:val="20"/>
        </w:rPr>
        <w:t>$212.5 million</w:t>
      </w:r>
      <w:r>
        <w:rPr>
          <w:color w:val="231F20"/>
        </w:rPr>
        <w:t xml:space="preserve"> </w:t>
      </w:r>
      <w:r>
        <w:rPr>
          <w:rFonts w:ascii="Times New Roman;serif" w:hAnsi="Times New Roman;serif"/>
          <w:b w:val="false"/>
          <w:color w:val="231F20"/>
          <w:sz w:val="20"/>
        </w:rPr>
        <w:t xml:space="preserve">unsecured revolving credit facility and a </w:t>
      </w:r>
      <w:r>
        <w:rPr>
          <w:rFonts w:ascii="Times New Roman;serif" w:hAnsi="Times New Roman;serif"/>
          <w:b w:val="false"/>
          <w:color w:val="000000"/>
          <w:sz w:val="20"/>
        </w:rPr>
        <w:t>$45.0 million</w:t>
      </w:r>
      <w:r>
        <w:rPr>
          <w:color w:val="231F20"/>
        </w:rPr>
        <w:t xml:space="preserve"> </w:t>
      </w:r>
      <w:r>
        <w:rPr>
          <w:rFonts w:ascii="Times New Roman;serif" w:hAnsi="Times New Roman;serif"/>
          <w:b w:val="false"/>
          <w:color w:val="231F20"/>
          <w:sz w:val="20"/>
        </w:rPr>
        <w:t>secured revolving credit facility.</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The Credit Agreement provides for a </w:t>
      </w:r>
      <w:r>
        <w:rPr>
          <w:rFonts w:ascii="Times New Roman;serif" w:hAnsi="Times New Roman;serif"/>
          <w:b w:val="false"/>
          <w:color w:val="000000"/>
          <w:sz w:val="20"/>
        </w:rPr>
        <w:t>$212.5 million</w:t>
      </w:r>
      <w:r>
        <w:rPr>
          <w:color w:val="231F20"/>
        </w:rPr>
        <w:t xml:space="preserve"> </w:t>
      </w:r>
      <w:r>
        <w:rPr>
          <w:rFonts w:ascii="Times New Roman;serif" w:hAnsi="Times New Roman;serif"/>
          <w:b w:val="false"/>
          <w:color w:val="231F20"/>
          <w:sz w:val="20"/>
        </w:rPr>
        <w:t>unsecured revolving credit facility available for general corporate purposes and matures on June 12, 2028. Following the sale of JRG Re, the Company no longer had a need for the secured revolving credit facility provided by the Previous Credit Agreement. The interest rates applicable to the loans under the Credit Agreement are generally based on the Secured Overnight Financing Rate (“SOFR”) plus a specified margin (</w:t>
      </w:r>
      <w:r>
        <w:rPr>
          <w:rFonts w:ascii="Times New Roman;serif" w:hAnsi="Times New Roman;serif"/>
          <w:b w:val="false"/>
          <w:color w:val="000000"/>
          <w:sz w:val="20"/>
        </w:rPr>
        <w:t xml:space="preserve">2.75% at </w:t>
      </w:r>
      <w:r>
        <w:rPr>
          <w:rFonts w:ascii="Times New Roman;serif" w:hAnsi="Times New Roman;serif"/>
          <w:b w:val="false"/>
          <w:color w:val="231F20"/>
          <w:sz w:val="20"/>
        </w:rPr>
        <w:t>June 30, 2026</w:t>
      </w:r>
      <w:r>
        <w:rPr>
          <w:rFonts w:ascii="Times New Roman;serif" w:hAnsi="Times New Roman;serif"/>
          <w:b w:val="false"/>
          <w:color w:val="000000"/>
          <w:sz w:val="20"/>
        </w:rPr>
        <w:t xml:space="preserve">) </w:t>
      </w:r>
      <w:r>
        <w:rPr>
          <w:rFonts w:ascii="Times New Roman;serif" w:hAnsi="Times New Roman;serif"/>
          <w:b w:val="false"/>
          <w:color w:val="231F20"/>
          <w:sz w:val="20"/>
        </w:rPr>
        <w:t>based on the Company’s Leverage Ratio (as defined in the Credit Agreement). In addition, the Company will pay an unused facility fee on each lender’s commitment (</w:t>
      </w:r>
      <w:r>
        <w:rPr>
          <w:rFonts w:ascii="Times New Roman;serif" w:hAnsi="Times New Roman;serif"/>
          <w:b w:val="false"/>
          <w:color w:val="000000"/>
          <w:sz w:val="20"/>
        </w:rPr>
        <w:t xml:space="preserve">0.3% at </w:t>
      </w:r>
      <w:r>
        <w:rPr>
          <w:rFonts w:ascii="Times New Roman;serif" w:hAnsi="Times New Roman;serif"/>
          <w:b w:val="false"/>
          <w:color w:val="231F20"/>
          <w:sz w:val="20"/>
        </w:rPr>
        <w:t>June 30, 2026</w:t>
      </w:r>
      <w:r>
        <w:rPr>
          <w:rFonts w:ascii="Times New Roman;serif" w:hAnsi="Times New Roman;serif"/>
          <w:b w:val="false"/>
          <w:color w:val="000000"/>
          <w:sz w:val="20"/>
        </w:rPr>
        <w:t>)</w:t>
      </w:r>
      <w:r>
        <w:rPr>
          <w:rFonts w:ascii="Times New Roman;serif" w:hAnsi="Times New Roman;serif"/>
          <w:b w:val="false"/>
          <w:color w:val="231F2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pPr>
      <w:r>
        <w:rPr>
          <w:rFonts w:ascii="Times New Roman;serif" w:hAnsi="Times New Roman;serif"/>
          <w:b w:val="false"/>
          <w:color w:val="231F20"/>
          <w:sz w:val="20"/>
        </w:rPr>
        <w:t>At</w:t>
      </w:r>
      <w:r>
        <w:rPr>
          <w:color w:val="000000"/>
        </w:rPr>
        <w:t xml:space="preserve"> </w:t>
      </w:r>
      <w:r>
        <w:rPr>
          <w:rFonts w:ascii="Times New Roman;serif" w:hAnsi="Times New Roman;serif"/>
          <w:b w:val="false"/>
          <w:color w:val="231F20"/>
          <w:sz w:val="20"/>
        </w:rPr>
        <w:t>June 30, 2026</w:t>
      </w:r>
      <w:r>
        <w:rPr>
          <w:rFonts w:ascii="Times New Roman;serif" w:hAnsi="Times New Roman;serif"/>
          <w:b w:val="false"/>
          <w:color w:val="000000"/>
          <w:sz w:val="20"/>
        </w:rPr>
        <w:t>, the Company had a drawn balance of $210.8 million outstanding under the Credit Agreement, including $25.0 million previously borrowed on January 27, 2025 under the Previous Credit Agreement which was contributed to our regulated insurance entities.</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The Credit Agreement provides for an accordion feature that permits the Company to request that one or more lenders (without the consent of the other lenders) or new financial institutions (with the consent of the Administrative Agent) provide it with increases in the credit facility of up to an aggregate of </w:t>
      </w:r>
      <w:r>
        <w:rPr>
          <w:rFonts w:ascii="Times New Roman;serif" w:hAnsi="Times New Roman;serif"/>
          <w:b w:val="false"/>
          <w:color w:val="000000"/>
          <w:sz w:val="20"/>
        </w:rPr>
        <w:t>$30.0 million</w:t>
      </w:r>
      <w:r>
        <w:rPr>
          <w:rFonts w:ascii="Times New Roman;serif" w:hAnsi="Times New Roman;serif"/>
          <w:b w:val="false"/>
          <w:color w:val="231F20"/>
          <w:sz w:val="20"/>
        </w:rPr>
        <w:t>, subject to satisfaction of certain conditions.</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The Credit Agreement contains customary representations and warranties, affirmative and negative covenants and events of default. The Credit Agreement also includes financial covenants, including a maximum leverage ratio and minimum consolidated net worth, risk-based capital ratio and financial strength rating requirements </w:t>
      </w:r>
      <w:r>
        <w:rPr>
          <w:rFonts w:ascii="Times New Roman;serif" w:hAnsi="Times New Roman;serif"/>
          <w:b w:val="false"/>
          <w:color w:val="000000"/>
          <w:sz w:val="20"/>
        </w:rPr>
        <w:t xml:space="preserve">with which the Company was in compliance at </w:t>
      </w:r>
      <w:r>
        <w:rPr>
          <w:rFonts w:ascii="Times New Roman;serif" w:hAnsi="Times New Roman;serif"/>
          <w:b w:val="false"/>
          <w:color w:val="231F20"/>
          <w:sz w:val="20"/>
        </w:rPr>
        <w:t>June 30, 2026.</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In connection with the Credit Agreement, James River Group entered into a Continuing Guaranty of Payment dated June 12, 2025 pursuant to which James River Group guarantees the payment and performance of the Company’s obligations under the Credit Agreement and other loan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12.    Fair Value Measurements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Three levels of inputs are used to measure fair value of financial instruments: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exchange price that would be received for an asset or paid to transfer a liability in the principal or most advantageous market in an orderly transaction between market participants on the measurement date.</w:t>
      </w:r>
    </w:p>
    <w:p>
      <w:pPr>
        <w:pStyle w:val="TextBody"/>
        <w:bidi w:val="0"/>
        <w:spacing w:lineRule="auto" w:line="288" w:before="0" w:after="120"/>
        <w:ind w:left="0" w:right="0" w:firstLine="405"/>
        <w:jc w:val="both"/>
        <w:rPr/>
      </w:pPr>
      <w:r>
        <w:rPr>
          <w:rFonts w:ascii="Times New Roman;serif" w:hAnsi="Times New Roman;serif"/>
          <w:b w:val="false"/>
          <w:color w:val="000000"/>
          <w:sz w:val="20"/>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Times New Roman;serif" w:hAnsi="Times New Roman;serif"/>
          <w:b w:val="false"/>
          <w:i/>
          <w:color w:val="000000"/>
          <w:sz w:val="20"/>
        </w:rPr>
        <w:t>e.g.</w:t>
      </w:r>
      <w:r>
        <w:rPr>
          <w:color w:val="000000"/>
        </w:rPr>
        <w:t xml:space="preserve"> </w:t>
      </w:r>
      <w:r>
        <w:rPr>
          <w:rFonts w:ascii="Times New Roman;serif" w:hAnsi="Times New Roman;serif"/>
          <w:b w:val="false"/>
          <w:color w:val="000000"/>
          <w:sz w:val="20"/>
        </w:rPr>
        <w:t>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2024.</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the investment manager that obtains fair values from independent pricing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 as of June 30, 2026 are summarized below:</w:t>
      </w:r>
    </w:p>
    <w:tbl>
      <w:tblPr>
        <w:tblW w:w="10205" w:type="dxa"/>
        <w:jc w:val="left"/>
        <w:tblInd w:w="0" w:type="dxa"/>
        <w:tblLayout w:type="fixed"/>
        <w:tblCellMar>
          <w:top w:w="28" w:type="dxa"/>
          <w:left w:w="28" w:type="dxa"/>
          <w:bottom w:w="28" w:type="dxa"/>
          <w:right w:w="28" w:type="dxa"/>
        </w:tblCellMar>
      </w:tblPr>
      <w:tblGrid>
        <w:gridCol w:w="1732"/>
        <w:gridCol w:w="1312"/>
        <w:gridCol w:w="1320"/>
        <w:gridCol w:w="228"/>
        <w:gridCol w:w="779"/>
        <w:gridCol w:w="11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rPr/>
        <w:tc>
          <w:tcPr>
            <w:tcW w:w="173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1,425,783 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1,439,293 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12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w:t>
            </w:r>
          </w:p>
        </w:tc>
        <w:tc>
          <w:tcPr>
            <w:tcW w:w="2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156,669 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2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15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 as of December 31, 2025 are summarized below:</w:t>
      </w:r>
    </w:p>
    <w:tbl>
      <w:tblPr>
        <w:tblW w:w="10205" w:type="dxa"/>
        <w:jc w:val="left"/>
        <w:tblInd w:w="0" w:type="dxa"/>
        <w:tblLayout w:type="fixed"/>
        <w:tblCellMar>
          <w:top w:w="28" w:type="dxa"/>
          <w:left w:w="28" w:type="dxa"/>
          <w:bottom w:w="28" w:type="dxa"/>
          <w:right w:w="28" w:type="dxa"/>
        </w:tblCellMar>
      </w:tblPr>
      <w:tblGrid>
        <w:gridCol w:w="1732"/>
        <w:gridCol w:w="1312"/>
        <w:gridCol w:w="1320"/>
        <w:gridCol w:w="228"/>
        <w:gridCol w:w="779"/>
        <w:gridCol w:w="11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rPr/>
        <w:tc>
          <w:tcPr>
            <w:tcW w:w="173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1,390,484 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1,404,774 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12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w:t>
            </w:r>
          </w:p>
        </w:tc>
        <w:tc>
          <w:tcPr>
            <w:tcW w:w="2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155,138 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2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balances of available-for-sale fixed maturity securities, equity securities, and bank loan participations measured at fair value on a recurring basis using significant unobservable inputs (Level 3) is shown below:</w:t>
      </w:r>
    </w:p>
    <w:tbl>
      <w:tblPr>
        <w:tblW w:w="7008" w:type="dxa"/>
        <w:jc w:val="center"/>
        <w:tblInd w:w="0" w:type="dxa"/>
        <w:tblLayout w:type="fixed"/>
        <w:tblCellMar>
          <w:top w:w="28" w:type="dxa"/>
          <w:left w:w="28" w:type="dxa"/>
          <w:bottom w:w="28" w:type="dxa"/>
          <w:right w:w="28" w:type="dxa"/>
        </w:tblCellMar>
      </w:tblPr>
      <w:tblGrid>
        <w:gridCol w:w="1289"/>
        <w:gridCol w:w="1130"/>
        <w:gridCol w:w="1136"/>
        <w:gridCol w:w="229"/>
        <w:gridCol w:w="277"/>
        <w:gridCol w:w="118"/>
        <w:gridCol w:w="118"/>
        <w:gridCol w:w="118"/>
        <w:gridCol w:w="118"/>
        <w:gridCol w:w="229"/>
        <w:gridCol w:w="277"/>
        <w:gridCol w:w="118"/>
        <w:gridCol w:w="109"/>
        <w:gridCol w:w="109"/>
        <w:gridCol w:w="109"/>
        <w:gridCol w:w="211"/>
        <w:gridCol w:w="256"/>
        <w:gridCol w:w="109"/>
        <w:gridCol w:w="109"/>
        <w:gridCol w:w="109"/>
        <w:gridCol w:w="109"/>
        <w:gridCol w:w="211"/>
        <w:gridCol w:w="256"/>
        <w:gridCol w:w="154"/>
      </w:tblGrid>
      <w:tr>
        <w:trPr/>
        <w:tc>
          <w:tcPr>
            <w:tcW w:w="128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out of Level 3</w:t>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in to Level 3</w:t>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calls and paydowns</w:t>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discount</w:t>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gains or losses (realized/unrealized):</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earnings</w:t>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other comprehensive income</w:t>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held one equity security at June 30, 2026, December 31, 2025, June 30, 2025, and December 31, 2024 for which the fair value was determined using significant unobservable inputs (Level 3). The fair values for the equity security (disclosed above) were obtained from our asset manager, who used an internal model to value the security.</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1 and Level 2 during the six months ended June 30, 2026 or 2025. The Company recognizes transfers between levels at the beginning of the reporting period.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June 30, 2026 and December 31, 2025, there were no investments for which external sources were unavailable to determine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values and fair values of financial instruments are summarized below:</w:t>
      </w:r>
    </w:p>
    <w:tbl>
      <w:tblPr>
        <w:tblW w:w="9840" w:type="dxa"/>
        <w:jc w:val="left"/>
        <w:tblInd w:w="0" w:type="dxa"/>
        <w:tblLayout w:type="fixed"/>
        <w:tblCellMar>
          <w:top w:w="28" w:type="dxa"/>
          <w:left w:w="28" w:type="dxa"/>
          <w:bottom w:w="28" w:type="dxa"/>
          <w:right w:w="28" w:type="dxa"/>
        </w:tblCellMar>
      </w:tblPr>
      <w:tblGrid>
        <w:gridCol w:w="1310"/>
        <w:gridCol w:w="1154"/>
        <w:gridCol w:w="116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 – notes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subordinated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of other invested assets-notes receivable, senior debt, and junior subordinated debt at June 30, 2026 and December 31, 2025 were determined by calculating the present value of expected future cash flows under the terms of the note agreements or debt agreements, as applicable, discounted at an estimated market rate of interest at June 30, 2026 and December 31, 2025, respectively. The Company also utilized an internally developed valuation model based on the spread of a comparable market index to determine the fair value of certain other invested assets-notes receivable at June 30, 2026 and December 31,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of senior debt, junior subordinated debt, and invested assets-notes receivable, classified in other invested assets, at June 30, 2026 and December 31, 2025 were determined using inputs to the valuation methodology that are unobservable (Level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13.    Series A Preferred Shares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112,500 7% Series A Perpetual Cumulative Convertible Preferred Shares, par value $0.00125 per share (the “Series A Preferred Shares”) outstanding as of June 30, 2026 and December 31, 2025. The Series A Preferred Shares were issued on March 1, 2022 and are held by GPC Partners Investments (Thames) LP (“GPC Partners”), an affiliate of Gallatin Point Capital LLC.</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Series A Preferred Shares rank senior to our common stock with respect to dividend rights and rights on the distribution of assets on any liquidation, dissolution or winding up of the affairs of the Company, upon which the holders of Series A Preferred Shares would receive the greater of the $1,000 liquidation preference per share (the “Liquidation Preference”) plus accrued and unpaid dividends, or the amount they would have received if they had converted all of their Series A Preferred Shares to common stock immediately before such liquidation, dissolution or winding up.</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the Series A Preferred Shares are entitled to a dividend at the rate of 7% of the Liquidation Preference per annum, paid in cash, in-kind in common stock or in Series A Preferred Shares, at the Company’s election. On October 1, 2029, and each five-year anniversary thereafter, the dividend rate will reset to a rate equal to the five-year U.S. treasury rate plus 5.2%, subject to a cap of 8.0%. Dividends accrue and are payable quarterly. Cash dividends of $2.0 million and $3.9 million were declared on the Series A Preferred Shares in each of the three and six-month periods ended June 30, 2026 and 2025, respectively.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Series A Preferred Shares are convertible at the option of the holders thereof at any time into common stock at a conversion price of $8.32, making the Series A Preferred Shares convertible into 13,521,634 shares of common stock. The conversion price is subject to customary anti-dilution adjustments, including cash dividends on the common stock above specified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Certificate of Designations setting forth the terms of the Series A Preferred Shares (the “Certificate of Designations”) limits the Company's ability to pay dividends to its common shareholders. If the Company pays cash dividends of more than $0.05 per share of common stock per quarter, without the consent of at least the majority of the Series A Preferred Shares then outstanding, the Company will be required to reduce the conversion price of the Series A Preferred Shares. Additionally, the payment of cash dividends in excess of $0.10 per share of common stock per quarter is not permitted if the dividends on the Series A Preferred Shares for that quarter are not paid in cash, unless the Company’s insurance subsidiaries satisfy certain capital requirements. Share dividends payable on the common stock to the Company's shareholders also trigger a reduction of the conversion price applicable to the Series A Preferred Shares. None of the triggers that would result in adjustments to the conversion price have been met at June 30, 2026.</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at any time the volume-weighted average price (“VWAP”) per share of common stock is greater than 200% of the then applicable conversion price for at least twenty (20) consecutive trading days, the Company will be able to elect to convert (a “Mandatory Conversion”) all of the outstanding Series A Preferred Shares into common stock. In the case of a Mandatory Conversion, each Series A Preferred Share then outstanding will be converted into (i) the number of shares of common stock equal to the quotient of (A) the sum of the Liquidation Preference and the accrued and unpaid dividends with respect to such Series A Preferred Share to be converted divided by (B) the conversion price of such share in effect as of the date of the Mandatory Conversion plus (ii) cash in lieu of fractional shares.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any Mandatory Conversion on or before March 1, 2027, all dividends that would have accrued from the date of the Mandatory Conversion to the later of March 1, 2027 or the last day of the eighth quarter following the date of the Mandatory Conversion, the last eight quarters of which will be discounted to present value using a discount rate of 3.5% per annum, and will be immediately payable in common stock, valued at the average of the daily VWAP of the Company’s common stock during the five (5) trading days immediately preceding the conversion.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holders of the Series A Preferred Shares may require the Company to repurchase their shares upon the occurrence of certain change of control events. Upon the occurrence of a Fundamental Change (as defined in the Certificate of Designations), each holder of outstanding Series A Preferred Shares will be permitted to, at its election, (i) effective as of immediately prior to the Fundamental Change, convert all or a portion of its Series A Preferred Shares into common stock, or (ii) require the Company to repurchase any or all of such holder’s Series A Preferred Shares at a purchase price per Series A Preferred Share equal to the Liquidation Preference of such Series A Preferred Share plus accrued and unpaid dividends plus, if the Fundamental Change repurchase occurs prior to March 1, 2027, all dividends that would have accrued up to such date, but that have not been paid. The repurchase price will be payable in cash.</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the Company may be required to repurchase all or a portion of the Series A Preferred Shares at the option of the holder upon the occurrence of certain change of control events, the Series A Preferred Shares are classified as mezzanine equity in the Company's consolidated balance sheets and recognized at their determined fair value of $133.1 million. The Series A Preferred Shares were valued using a lattice method commonly applied to value preferred shares. The Series A Preferred Shares are classified as Level 3 in the valuation hierarchy due to the presence of significant unobservable inputs.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Certificate of Designations limits transfers of the Series A Preferred Shares without the Company’s consent if, after the transfer, the transferee would hold 9.9% or more of the voting equity of the Company or, in the event of an A.M. Best downgrade of James River Insurance Company below A- (Excellent), 19.9% of the voting equity.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of the Investment Agreement, GPC Partners has the right to designate one member of the Board (the “Series A Designee”). GPC Partners designated Matthew Botein as the Series A Designee, and Mr. Botein was approved by the Board as a director with a term that expired at the 2024 annual general meeting of the Company’s shareholders. Mr. Botein was re-elected as a director at each of the 2024 and 2025 annual meetings of shareholders for a term expiring at the following year's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14.    Capital Stock and Equity Awards</w:t>
      </w:r>
    </w:p>
    <w:p>
      <w:pPr>
        <w:pStyle w:val="TextBody"/>
        <w:bidi w:val="0"/>
        <w:spacing w:lineRule="auto" w:line="268" w:before="0" w:after="120"/>
        <w:jc w:val="both"/>
        <w:rPr>
          <w:rFonts w:ascii="Times New Roman;serif" w:hAnsi="Times New Roman;serif"/>
          <w:b/>
          <w:i/>
          <w:color w:val="000000"/>
          <w:sz w:val="20"/>
        </w:rPr>
      </w:pPr>
      <w:r>
        <w:rPr>
          <w:rFonts w:ascii="Times New Roman;serif" w:hAnsi="Times New Roman;serif"/>
          <w:b/>
          <w:i/>
          <w:color w:val="000000"/>
          <w:sz w:val="20"/>
        </w:rPr>
        <w:t>Common Shares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common shares outstanding increased from 45,968,584 at December 31, 2025 to 46,239,030 at June 30, 2026, reflecting 270,446 common shares issued in the six months ended June 30, 2026 related to vesting of 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declared the following dividends on common shares during the first six months of 2026 and 2025:</w:t>
      </w:r>
    </w:p>
    <w:tbl>
      <w:tblPr>
        <w:tblW w:w="10205" w:type="dxa"/>
        <w:jc w:val="left"/>
        <w:tblInd w:w="0" w:type="dxa"/>
        <w:tblLayout w:type="fixed"/>
        <w:tblCellMar>
          <w:top w:w="28" w:type="dxa"/>
          <w:left w:w="28" w:type="dxa"/>
          <w:bottom w:w="28" w:type="dxa"/>
          <w:right w:w="28" w:type="dxa"/>
        </w:tblCellMar>
      </w:tblPr>
      <w:tblGrid>
        <w:gridCol w:w="559"/>
        <w:gridCol w:w="491"/>
        <w:gridCol w:w="494"/>
        <w:gridCol w:w="109"/>
        <w:gridCol w:w="109"/>
        <w:gridCol w:w="109"/>
        <w:gridCol w:w="538"/>
        <w:gridCol w:w="1304"/>
        <w:gridCol w:w="277"/>
        <w:gridCol w:w="109"/>
        <w:gridCol w:w="109"/>
        <w:gridCol w:w="109"/>
        <w:gridCol w:w="898"/>
        <w:gridCol w:w="898"/>
        <w:gridCol w:w="901"/>
        <w:gridCol w:w="109"/>
        <w:gridCol w:w="109"/>
        <w:gridCol w:w="109"/>
        <w:gridCol w:w="431"/>
        <w:gridCol w:w="431"/>
        <w:gridCol w:w="432"/>
        <w:gridCol w:w="109"/>
        <w:gridCol w:w="109"/>
        <w:gridCol w:w="109"/>
        <w:gridCol w:w="218"/>
        <w:gridCol w:w="857"/>
        <w:gridCol w:w="168"/>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Date of Declaration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Payable to Shareholders of Record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Amount</w:t>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969,341 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476,186 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953,598 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Included in the total dividends for the six months ended June 30, 2026 and 2025 are $45,000 and $36,000, respectively, of dividend equivalents on unvested RSUs. The balance of dividends payable on unvested RSUs was $111,000 at June 30, 2026 and $127,000 at December 31, 2025.</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shareholders have approved various equity incentive plans, including the 2014 Long Term Incentive Plan (“2014 LTIP”) and the 2014 Non-Employee Director Incentive Plan (“2014 Director Plan”) (collectively, the “Plans”). All awards issued under the Plans are issued at the discretion of the Board of Directors.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Employees are eligible to receive non-qualified stock options, incentive stock options, share appreciation rights, performance shares, restricted shares, RSUs, and other awards under the 2014 LTIP. The 2014 LTIP was amended on October 23, 2025, increasing the number of shares available for issuance under the 2014 LTIP by 1,650,000 shares. Following the amendment, the maximum number of shares available for issuance under the 2014 LTIP is 7,157,650, and at June 30, 2026, 1,360,333 shares are available for grant.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26, 2022, the Board of Directors of the Company approved a new long-term incentive plan (the “LTI Plan”) under the 2014 LTIP. The LTI Plan is designed to align compensation of designated senior officers of the Company with Company performance and shareholder interests over the long-term. Awards under the LTI Plan are made in the form of performance restricted share units (a “PRSU”) and service based restricted share units (RSUs).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Each PRSU represents a contingent right to receive one Company share of common stock based upon the level of achievement of certain performance metrics during specified three-year fiscal performance periods, with payout for achievement of threshold, target and maximum performance levels set at 50%, 100% and 200% of the target number of PRSUs, respectively. Initial PRSU awards are granted at the 100% target performance level. The Company projects the level of achievement for each award during the relevant performance period and periodically adjusts the number of outstanding awards to reflect the number of awards expected to vest.</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Non-employee directors of the Company are eligible to receive non-qualified stock options, share appreciation rights, performance shares, restricted shares, RSUs, and other awards under the 2014 Director Plan. The 2014 Director Plan was amended on October 23, 2025, increasing the number of shares available for issuance under the 2014 Director Plan by 225,000 shares. Following the amendment, the maximum number of shares available for issuance under the 2014 Director Plan is 475,000, and at June 30, 2026, 190,682 shares are available for grant.</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w:t>
      </w:r>
    </w:p>
    <w:tbl>
      <w:tblPr>
        <w:tblW w:w="7854" w:type="dxa"/>
        <w:jc w:val="left"/>
        <w:tblInd w:w="0" w:type="dxa"/>
        <w:tblLayout w:type="fixed"/>
        <w:tblCellMar>
          <w:top w:w="28" w:type="dxa"/>
          <w:left w:w="28" w:type="dxa"/>
          <w:bottom w:w="28" w:type="dxa"/>
          <w:right w:w="28" w:type="dxa"/>
        </w:tblCellMar>
      </w:tblPr>
      <w:tblGrid>
        <w:gridCol w:w="939"/>
        <w:gridCol w:w="825"/>
        <w:gridCol w:w="830"/>
        <w:gridCol w:w="488"/>
        <w:gridCol w:w="488"/>
        <w:gridCol w:w="196"/>
        <w:gridCol w:w="109"/>
        <w:gridCol w:w="109"/>
        <w:gridCol w:w="109"/>
        <w:gridCol w:w="213"/>
        <w:gridCol w:w="622"/>
        <w:gridCol w:w="110"/>
        <w:gridCol w:w="109"/>
        <w:gridCol w:w="109"/>
        <w:gridCol w:w="109"/>
        <w:gridCol w:w="488"/>
        <w:gridCol w:w="488"/>
        <w:gridCol w:w="196"/>
        <w:gridCol w:w="109"/>
        <w:gridCol w:w="109"/>
        <w:gridCol w:w="109"/>
        <w:gridCol w:w="213"/>
        <w:gridCol w:w="622"/>
        <w:gridCol w:w="15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beginning of period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1,299,644 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1,316,294 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1,321,733 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(362,216)</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(121,369)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 performance adjustment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end of period</w:t>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2,197,035 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1,723,321 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Outstanding RSUs granted to employees generally vest ratably over a three year vesting period. RSUs granted to non-employee directors generally have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generally based on the market price of the underlying shares at the date of grant. The RSUs granted in 2026 and 2025 include 372,873 and 620,108 PRSU awards, respectively. Initial PRSU awards are granted at the 100% target performance level. The Company projects the level of achievement for each award during the performance period and periodically adjusts the number of outstanding awards to reflect the number of awards expected to vest.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Compensation Expense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 based compensation expense is recognized on a straight-line basis over the vesting period. The amount of expense and related tax benefit is summarized below:</w:t>
      </w:r>
    </w:p>
    <w:tbl>
      <w:tblPr>
        <w:tblW w:w="9104" w:type="dxa"/>
        <w:jc w:val="left"/>
        <w:tblInd w:w="0" w:type="dxa"/>
        <w:tblLayout w:type="fixed"/>
        <w:tblCellMar>
          <w:top w:w="28" w:type="dxa"/>
          <w:left w:w="28" w:type="dxa"/>
          <w:bottom w:w="28" w:type="dxa"/>
          <w:right w:w="28" w:type="dxa"/>
        </w:tblCellMar>
      </w:tblPr>
      <w:tblGrid>
        <w:gridCol w:w="1625"/>
        <w:gridCol w:w="1426"/>
        <w:gridCol w:w="1433"/>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Share based compensation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U.S. tax benefit on share 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had $9.9 million of unrecognized share based compensation expense expected to be charged to earnings over a weighted-average period of 2.3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10, 2026, the Board of Directors declared a cash dividend of $0.01 per share of common stock. The dividend is payable on September 30, 2026 to shareholders of record on September 15, 2026.</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10, 2026, the Board of Directors declared a quarterly dividend on the Series A Preferred Shares. The dividend of up to $2.0 million will be payable in cash on September 30, 2026 to shareholders of record on September 15,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0" w:after="1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in this Quarterly Report on Form 10-Q, and Part I, Item 1A “Risk Factors” in our Annual Report on Form 10-K for the year ended December 31, 2025. The results of operations for the three and six months ended June 30, 2026 are not necessarily indicative of the results that may be expected for the full year ending December 31, 2026, or for any other future period. The following discussion should be read in conjunction with the unaudited condensed consolidated financial statements and the notes thereto included in Part I, Item 1 of this Quarterly Report on Form 10-Q, and in conjunction with our Annual Report on Form 10-K for the year ended December 31,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and related notes have been prepared in accordance with United States (“U.S.”) generally accepted accounting principles (“GAAP”) and include the accounts of James River Group Holdings, Inc. and its subsidiaries. Unless the context indicates or suggests otherwise, references to “the Company”, “we”, “us” and “our” refer to James River Group Holdings, Inc. and its subsidiaries.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James River Group Holdings, Inc. owns and operates a group of specialty property and casualty insurance companies focused on underwriting small and middle market casualty risks within the U.S. excess and surplus (“E&amp;S”) lines market. Our objective is to generate compelling returns on tangible common equity while limiting underwriting and investment volatility. We seek to accomplish this by earning profits from insurance underwriting and generating meaningful risk-adjusted investment returns, while managing our capital.</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report our continuing operations in three reportable segments: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Excess &amp;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Specialty Admitted Insurance segment focuses on niche classes within the standard insurance markets through its fronting business, where we retain a minority share of the risk and seek to earn fee income by allowing other carriers and producers to use our licensure, ratings, expertise and infrastructure. Through Falls Lake National and its subsidiaries, this segment has admitted licenses and the authority to write excess and surplus lines insurance in 50 states and the District of Columbia and distributes through a variety of sources, including program administrators and managing general agents;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Corporate and Other segment consists of the management, technology, and treasury activities of our holding companies, interest expense associated with our debt, and expenses of our holding companies, including public company expenses and long-term incentive compensation (including share-based compensation) for the group.</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discontinued operations include losses recognized on the disposal of JRG Reinsurance Company Ltd. (“JRG Re”). The sale of JRG Re, which previously comprised the remaining operations of the former Casualty Reinsurance segment, closed on April 16, 2024, and resulted in the disposition of the Company's casualty reinsurance business and related assets. The Company has no continued involvement with JRG Re following the sale.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We report all segment information in this ‘‘Item 2. Management’s Discussion and Analysis of Financial Condition and Results of Operations’’ prior to the effects of intercompany reinsurance, consistent with the manner in which we evaluate the operating performance of our reportable segments.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A.M. Best Company financial strength rating for our group’s insurance subsidiaries is “A-” (Excellent) with a negative outlook. This rating reflects A.M. Best’s evaluation of our insurance subsidiaries’ financial strength, operating performance and ability to meet obligations to policyholders and is not an evaluation directed towards the protection of investors. The rating for our operating insurance companies of “A-” (Excellent) is the fourth highest rating of the thirteen ratings issued by A.M. Best and is assigned to insurers that have, in A.M. Best’s opinion, an excellent ability to meet their ongoing obligations to policyholders.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strength ratings assigned by A.M. Best have an impact on the ability of our insurance subsidiaries to attract and retain agents and brokers and on the risk profiles of the submissions for insurance that our subsidiaries receive. We believe the “A-” (Excellent) ratings assigned to our insurance subsidiaries allow our Excess &amp; Surplus Lines segment to actively pursue relationships with the agents and brokers identified in its marketing plans. If we remain on negative outlook for an extended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period of time, A.M. Best may downgrade our rating, which would have a materially adverse effect on our ability to continue to write new business.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Key Metrics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discuss certain key metrics, described below, which we believe provide useful information about our business and the operational factors underlying our financial performance.</w:t>
      </w:r>
    </w:p>
    <w:p>
      <w:pPr>
        <w:pStyle w:val="TextBody"/>
        <w:bidi w:val="0"/>
        <w:spacing w:lineRule="auto" w:line="288" w:before="0" w:after="120"/>
        <w:jc w:val="both"/>
        <w:rPr/>
      </w:pPr>
      <w:r>
        <w:rPr>
          <w:rFonts w:ascii="Times New Roman;serif" w:hAnsi="Times New Roman;serif"/>
          <w:b w:val="false"/>
          <w:i/>
          <w:color w:val="000000"/>
          <w:sz w:val="20"/>
        </w:rPr>
        <w:t>Underwriting profit</w:t>
      </w:r>
      <w:r>
        <w:rPr>
          <w:color w:val="000000"/>
        </w:rPr>
        <w:t xml:space="preserve"> </w:t>
      </w:r>
      <w:r>
        <w:rPr>
          <w:rFonts w:ascii="Times New Roman;serif" w:hAnsi="Times New Roman;serif"/>
          <w:b w:val="false"/>
          <w:color w:val="000000"/>
          <w:sz w:val="20"/>
        </w:rPr>
        <w:t>is a non-GAAP measure commonly used in the property and casualty insurance industry to evaluate underwriting performance. 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the potential for underwriting profit. We define underwriting profit as net earned premiums and gross fee income (in specific instances when the Company is not retaining insurance risk) less losses and loss adjustment expenses on business from continuing operations excluding the impact of retroactive reinsurance accounting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 See “Reconciliation of Non-GAAP Measures” for a reconciliation of underwriting profit to income from continuing operations before taxes and for additional information.</w:t>
      </w:r>
    </w:p>
    <w:p>
      <w:pPr>
        <w:pStyle w:val="TextBody"/>
        <w:bidi w:val="0"/>
        <w:spacing w:lineRule="auto" w:line="288" w:before="0" w:after="120"/>
        <w:jc w:val="both"/>
        <w:rPr/>
      </w:pPr>
      <w:r>
        <w:rPr>
          <w:rFonts w:ascii="Times New Roman;serif" w:hAnsi="Times New Roman;serif"/>
          <w:b w:val="false"/>
          <w:i/>
          <w:color w:val="000000"/>
          <w:sz w:val="20"/>
        </w:rPr>
        <w:t>Loss ratio</w:t>
      </w:r>
      <w:r>
        <w:rPr>
          <w:rFonts w:ascii="Times New Roman;serif" w:hAnsi="Times New Roman;serif"/>
          <w:b w:val="false"/>
          <w:color w:val="000000"/>
          <w:sz w:val="20"/>
        </w:rPr>
        <w:t>, expressed as a percentage, is the ratio of losses and loss adjustment expenses on business from continuing operations not subject to retroactive reinsurance accounting to net earned premiums. Our definition of loss ratio may not be comparable to that of other companies. See “Underwriting Performance Ratios” for a reconciliation of underwriting ratios.</w:t>
      </w:r>
    </w:p>
    <w:p>
      <w:pPr>
        <w:pStyle w:val="TextBody"/>
        <w:bidi w:val="0"/>
        <w:spacing w:lineRule="auto" w:line="288" w:before="0" w:after="120"/>
        <w:jc w:val="both"/>
        <w:rPr/>
      </w:pPr>
      <w:r>
        <w:rPr>
          <w:rFonts w:ascii="Times New Roman;serif" w:hAnsi="Times New Roman;serif"/>
          <w:b w:val="false"/>
          <w:i/>
          <w:color w:val="000000"/>
          <w:sz w:val="20"/>
        </w:rPr>
        <w:t>Accident year loss ratio</w:t>
      </w:r>
      <w:r>
        <w:rPr>
          <w:rFonts w:ascii="Times New Roman;serif" w:hAnsi="Times New Roman;serif"/>
          <w:b w:val="false"/>
          <w:color w:val="000000"/>
          <w:sz w:val="20"/>
        </w:rPr>
        <w:t>, expressed as a percentage, is the ratio of losses and loss adjustment expenses for the current accident year (excluding development on prior accident year reserves) to net earned premiums for the current year (excluding ceded earned premium associated with adverse development covers covering prior accident years and net earned premium adjustments on certain reinsurance treaties with reinstatement premiums associated with prior years).</w:t>
      </w:r>
    </w:p>
    <w:p>
      <w:pPr>
        <w:pStyle w:val="TextBody"/>
        <w:bidi w:val="0"/>
        <w:spacing w:lineRule="auto" w:line="288" w:before="0" w:after="120"/>
        <w:jc w:val="both"/>
        <w:rPr/>
      </w:pPr>
      <w:r>
        <w:rPr>
          <w:rFonts w:ascii="Times New Roman;serif" w:hAnsi="Times New Roman;serif"/>
          <w:b w:val="false"/>
          <w:i/>
          <w:color w:val="000000"/>
          <w:sz w:val="20"/>
        </w:rPr>
        <w:t>Expense ratio</w:t>
      </w:r>
      <w:r>
        <w:rPr>
          <w:rFonts w:ascii="Times New Roman;serif" w:hAnsi="Times New Roman;serif"/>
          <w:b w:val="false"/>
          <w:color w:val="000000"/>
          <w:sz w:val="20"/>
        </w:rPr>
        <w:t>, expressed as a percentage, is the ratio of other operating expenses net of gross fee income included in other income to net earned premiums.</w:t>
      </w:r>
    </w:p>
    <w:p>
      <w:pPr>
        <w:pStyle w:val="TextBody"/>
        <w:bidi w:val="0"/>
        <w:spacing w:lineRule="auto" w:line="288" w:before="0" w:after="120"/>
        <w:jc w:val="both"/>
        <w:rPr/>
      </w:pPr>
      <w:r>
        <w:rPr>
          <w:rFonts w:ascii="Times New Roman;serif" w:hAnsi="Times New Roman;serif"/>
          <w:b w:val="false"/>
          <w:i/>
          <w:color w:val="000000"/>
          <w:sz w:val="20"/>
        </w:rPr>
        <w:t>Combined ratio</w:t>
      </w:r>
      <w:r>
        <w:rPr>
          <w:color w:val="000000"/>
        </w:rPr>
        <w:t xml:space="preserve"> </w:t>
      </w:r>
      <w:r>
        <w:rPr>
          <w:rFonts w:ascii="Times New Roman;serif" w:hAnsi="Times New Roman;serif"/>
          <w:b w:val="false"/>
          <w:color w:val="000000"/>
          <w:sz w:val="20"/>
        </w:rPr>
        <w:t>is a measure of underwriting performance calculated as the sum of the loss ratio and the expense ratio. A combined ratio of less than 100% indicates an underwriting profit, while a combined ratio greater than 100% reflects an underwriting loss. Our definition of combined ratio may not be comparable to that of other companies. See “Underwriting Performance Ratios” for a reconciliation of underwriting ratios.</w:t>
      </w:r>
    </w:p>
    <w:p>
      <w:pPr>
        <w:pStyle w:val="TextBody"/>
        <w:bidi w:val="0"/>
        <w:spacing w:lineRule="auto" w:line="288" w:before="0" w:after="120"/>
        <w:jc w:val="both"/>
        <w:rPr/>
      </w:pPr>
      <w:r>
        <w:rPr>
          <w:rFonts w:ascii="Times New Roman;serif" w:hAnsi="Times New Roman;serif"/>
          <w:b w:val="false"/>
          <w:i/>
          <w:color w:val="000000"/>
          <w:sz w:val="20"/>
        </w:rPr>
        <w:t>Adjusted net operating income</w:t>
      </w:r>
      <w:r>
        <w:rPr>
          <w:color w:val="000000"/>
        </w:rPr>
        <w:t xml:space="preserve"> </w:t>
      </w:r>
      <w:r>
        <w:rPr>
          <w:rFonts w:ascii="Times New Roman;serif" w:hAnsi="Times New Roman;serif"/>
          <w:b w:val="false"/>
          <w:color w:val="000000"/>
          <w:sz w:val="20"/>
        </w:rPr>
        <w:t>is an internal performance measure used in the management of our operations. We believe it gives our management and other users of our financial information useful insight into our results of operations and our underlying business performance. Adjusted net operating income is defined as income available to common shareholders excluding a) income (loss) from discontinued operations, b) the impact of retroactive reinsurance accounting, c) net realized and unrealized gains (losses) on investments, d) certain non-operating expenses such as professional service fees related to certain lawsuits, various strategic initiatives, and the filing of registration statements for the offering of securities, e) severance costs associated with terminated employees, f) deemed dividends recorded with the amendment of the Series A Preferred Shares, and g) the one-time tax benefit from the Domestication for business interest expenses. Adjusted net operating income is a non-GAAP measure and should not be viewed as a substitute for net income calculated in accordance with GAAP. Our definition of adjusted net operating income may not be comparable to that of other companies. See “Reconciliation of Non-GAAP Measures” for a reconciliation of income available to common shareholders to adjusted net operating income.</w:t>
      </w:r>
    </w:p>
    <w:p>
      <w:pPr>
        <w:pStyle w:val="TextBody"/>
        <w:bidi w:val="0"/>
        <w:spacing w:lineRule="auto" w:line="288" w:before="0" w:after="120"/>
        <w:jc w:val="both"/>
        <w:rPr/>
      </w:pPr>
      <w:r>
        <w:rPr>
          <w:rFonts w:ascii="Times New Roman;serif" w:hAnsi="Times New Roman;serif"/>
          <w:b w:val="false"/>
          <w:i/>
          <w:color w:val="000000"/>
          <w:sz w:val="20"/>
        </w:rPr>
        <w:t xml:space="preserve">Tangible equity </w:t>
      </w:r>
      <w:r>
        <w:rPr>
          <w:rFonts w:ascii="Times New Roman;serif" w:hAnsi="Times New Roman;serif"/>
          <w:b w:val="false"/>
          <w:color w:val="000000"/>
          <w:sz w:val="20"/>
        </w:rPr>
        <w:t>is defined as shareholders' equity plus mezzanine Series A Preferred Shares (as defined below) and the unrecognized deferred retroactive reinsurance gain less goodwill and intangible assets, net of amortization. Tangible equity is a non-GAAP measure and should not be viewed as a substitute for shareholders’ equity calculated in accordance with GAAP. Our definition of tangible equity may not be comparable to that of other companies. See “Reconciliation of Non-GAAP Measures” for a reconciliation of shareholders' equity to tangible equity.</w:t>
      </w:r>
    </w:p>
    <w:p>
      <w:pPr>
        <w:pStyle w:val="TextBody"/>
        <w:bidi w:val="0"/>
        <w:spacing w:lineRule="auto" w:line="288" w:before="0" w:after="120"/>
        <w:jc w:val="both"/>
        <w:rPr/>
      </w:pPr>
      <w:r>
        <w:rPr>
          <w:rFonts w:ascii="Times New Roman;serif" w:hAnsi="Times New Roman;serif"/>
          <w:b w:val="false"/>
          <w:i/>
          <w:color w:val="000000"/>
          <w:sz w:val="20"/>
        </w:rPr>
        <w:t xml:space="preserve">Tangible equity per share </w:t>
      </w:r>
      <w:r>
        <w:rPr>
          <w:rFonts w:ascii="Times New Roman;serif" w:hAnsi="Times New Roman;serif"/>
          <w:b w:val="false"/>
          <w:color w:val="000000"/>
          <w:sz w:val="20"/>
        </w:rPr>
        <w:t>represents tangible equity divided by the sum of total common shares outstanding plus the common shares resulting from an assumed conversion of the outstanding Series A Preferred Shares into common shares (at the conversion price effective as of the last day of the applicable period).</w:t>
      </w:r>
    </w:p>
    <w:p>
      <w:pPr>
        <w:pStyle w:val="TextBody"/>
        <w:bidi w:val="0"/>
        <w:spacing w:lineRule="auto" w:line="288" w:before="0" w:after="120"/>
        <w:jc w:val="both"/>
        <w:rPr/>
      </w:pPr>
      <w:r>
        <w:rPr>
          <w:rFonts w:ascii="Times New Roman;serif" w:hAnsi="Times New Roman;serif"/>
          <w:b w:val="false"/>
          <w:i/>
          <w:color w:val="000000"/>
          <w:sz w:val="20"/>
        </w:rPr>
        <w:t>Tangible common equity</w:t>
      </w:r>
      <w:r>
        <w:rPr>
          <w:color w:val="000000"/>
        </w:rPr>
        <w:t xml:space="preserve"> </w:t>
      </w:r>
      <w:r>
        <w:rPr>
          <w:rFonts w:ascii="Times New Roman;serif" w:hAnsi="Times New Roman;serif"/>
          <w:b w:val="false"/>
          <w:color w:val="000000"/>
          <w:sz w:val="20"/>
        </w:rPr>
        <w:t xml:space="preserve">is defined as shareholders' equity plus the unrecognized deferred retroactive reinsurance gain less goodwill and intangible assets, net of amortization. We believe tangible common equity is a good measure to evaluate the strength of our balance sheet and to compare returns relative to this measure. Key financial measures that we use to assess our longer term financial performance include the percentage growth in our tangible common equity per share and our return on tangible common equity. Tangible common equity is a non-GAAP measure and should not be viewed as a substitute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shareholders’ equity calculated in accordance with GAAP. Our definition of tangible common equity may not be comparable to that of other companies. See “Reconciliation of Non-GAAP Measures” for a reconciliation of shareholders' equity to tangible common equity.</w:t>
      </w:r>
    </w:p>
    <w:p>
      <w:pPr>
        <w:pStyle w:val="TextBody"/>
        <w:bidi w:val="0"/>
        <w:spacing w:lineRule="auto" w:line="288" w:before="0" w:after="120"/>
        <w:jc w:val="both"/>
        <w:rPr/>
      </w:pPr>
      <w:r>
        <w:rPr>
          <w:rFonts w:ascii="Times New Roman;serif" w:hAnsi="Times New Roman;serif"/>
          <w:b w:val="false"/>
          <w:i/>
          <w:color w:val="000000"/>
          <w:sz w:val="20"/>
        </w:rPr>
        <w:t>Tangible common equity per share</w:t>
      </w:r>
      <w:r>
        <w:rPr>
          <w:color w:val="000000"/>
        </w:rPr>
        <w:t xml:space="preserve"> </w:t>
      </w:r>
      <w:r>
        <w:rPr>
          <w:rFonts w:ascii="Times New Roman;serif" w:hAnsi="Times New Roman;serif"/>
          <w:b w:val="false"/>
          <w:color w:val="000000"/>
          <w:sz w:val="20"/>
        </w:rPr>
        <w:t>represents tangible common equity divided by the total shares of common stock outstanding.</w:t>
      </w:r>
    </w:p>
    <w:p>
      <w:pPr>
        <w:pStyle w:val="TextBody"/>
        <w:bidi w:val="0"/>
        <w:spacing w:lineRule="auto" w:line="288" w:before="0" w:after="120"/>
        <w:jc w:val="both"/>
        <w:rPr/>
      </w:pPr>
      <w:r>
        <w:rPr>
          <w:rFonts w:ascii="Times New Roman;serif" w:hAnsi="Times New Roman;serif"/>
          <w:b w:val="false"/>
          <w:i/>
          <w:color w:val="000000"/>
          <w:sz w:val="20"/>
        </w:rPr>
        <w:t>Adjusted net operating return on tangible common equity</w:t>
      </w:r>
      <w:r>
        <w:rPr>
          <w:color w:val="000000"/>
        </w:rPr>
        <w:t xml:space="preserve"> </w:t>
      </w:r>
      <w:r>
        <w:rPr>
          <w:rFonts w:ascii="Times New Roman;serif" w:hAnsi="Times New Roman;serif"/>
          <w:b w:val="false"/>
          <w:color w:val="000000"/>
          <w:sz w:val="20"/>
        </w:rPr>
        <w:t>is defined as annualized adjusted net operating income expressed as a percentage of the average quarterly tangible common equity balances in the respective period.</w:t>
      </w:r>
    </w:p>
    <w:p>
      <w:pPr>
        <w:pStyle w:val="TextBody"/>
        <w:bidi w:val="0"/>
        <w:spacing w:lineRule="auto" w:line="288" w:before="0" w:after="120"/>
        <w:jc w:val="both"/>
        <w:rPr/>
      </w:pPr>
      <w:r>
        <w:rPr>
          <w:rFonts w:ascii="Times New Roman;serif" w:hAnsi="Times New Roman;serif"/>
          <w:b w:val="false"/>
          <w:i/>
          <w:color w:val="000000"/>
          <w:sz w:val="20"/>
        </w:rPr>
        <w:t>Net retention</w:t>
      </w:r>
      <w:r>
        <w:rPr>
          <w:color w:val="000000"/>
        </w:rPr>
        <w:t xml:space="preserve"> </w:t>
      </w:r>
      <w:r>
        <w:rPr>
          <w:rFonts w:ascii="Times New Roman;serif" w:hAnsi="Times New Roman;serif"/>
          <w:b w:val="false"/>
          <w:color w:val="000000"/>
          <w:sz w:val="20"/>
        </w:rPr>
        <w:t>is defined as the ratio of net written premiums to gross written premiums.</w:t>
      </w:r>
    </w:p>
    <w:p>
      <w:pPr>
        <w:pStyle w:val="TextBody"/>
        <w:bidi w:val="0"/>
        <w:spacing w:lineRule="auto" w:line="288" w:before="0" w:after="120"/>
        <w:jc w:val="both"/>
        <w:rPr/>
      </w:pPr>
      <w:r>
        <w:rPr>
          <w:rFonts w:ascii="Times New Roman;serif" w:hAnsi="Times New Roman;serif"/>
          <w:b w:val="false"/>
          <w:i/>
          <w:color w:val="000000"/>
          <w:sz w:val="20"/>
        </w:rPr>
        <w:t>Gross investment yield</w:t>
      </w:r>
      <w:r>
        <w:rPr>
          <w:color w:val="000000"/>
        </w:rPr>
        <w:t xml:space="preserve"> </w:t>
      </w:r>
      <w:r>
        <w:rPr>
          <w:rFonts w:ascii="Times New Roman;serif" w:hAnsi="Times New Roman;serif"/>
          <w:b w:val="false"/>
          <w:color w:val="000000"/>
          <w:sz w:val="20"/>
        </w:rPr>
        <w:t>is annualized investment income before any deductions for fees and expenses, expressed as a percentage of the average beginning and ending carrying values of those investments during the period.</w:t>
      </w:r>
    </w:p>
    <w:p>
      <w:pPr>
        <w:pStyle w:val="TextBody"/>
        <w:bidi w:val="0"/>
        <w:spacing w:lineRule="auto" w:line="288" w:before="0" w:after="120"/>
        <w:ind w:left="0" w:right="0" w:firstLine="360"/>
        <w:jc w:val="both"/>
        <w:rPr/>
      </w:pPr>
      <w:r>
        <w:rPr>
          <w:rFonts w:ascii="Times New Roman;serif" w:hAnsi="Times New Roman;serif"/>
          <w:b w:val="false"/>
          <w:color w:val="000000"/>
          <w:sz w:val="20"/>
        </w:rPr>
        <w:t>Unless specified otherwise, all references to our defined metrics above in this “Item 2. Management’s Discussion and Analysis of Financial Condition and Results of Operations”</w:t>
      </w:r>
      <w:r>
        <w:rPr>
          <w:color w:val="000000"/>
        </w:rPr>
        <w:t xml:space="preserve"> </w:t>
      </w:r>
      <w:r>
        <w:rPr>
          <w:rFonts w:ascii="Times New Roman;serif" w:hAnsi="Times New Roman;serif"/>
          <w:b w:val="false"/>
          <w:color w:val="000000"/>
          <w:sz w:val="20"/>
        </w:rPr>
        <w:t>are for our business from continuing operations excluding the impact of retroactive reinsurance accounting. Management believes that the lack of economic impact of retroactive reinsurance accounting makes the presentation of our key metrics on business excluding the impact of retroactive reinsurance accounting helpful to the users of our financial information. See “Underwriting Performance Ratios” and “Reconciliation of Non-GAAP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most critical accounting policies involve significant estimates and include those used in determining the reserve for losses and loss adjustment expenses and investment valuation and impairment. For a detailed discussion of each of these policies, refer to our Annual Report on Form 10-K for the year ended December 31, 2025. There have been no significant changes to any of these policies during the current year.</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Recent Strategic Actions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Domestication of James River Group Holdings, Inc. (“JRG Holdings”)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7, 2025, we changed our jurisdiction of incorporation from Bermuda to Delaware, and we refer to this change as the “Domestication”. On the effective date, our common shares issued and outstanding immediately prior to the effective time of the Domestication automatically converted by operation of law into an equivalent number of shares of common stock of James River Group Holdings, Inc., a Delaware corporation. The Company recognized a one-time tax benefit of $14.1 million related to business interest expense effective with the Domestication. The Domestication is expected to lower the Company’s effective tax rate, as holding company expenses and interest expense (previously incurred in Bermuda and ineligible for U.S. tax deduction) will receive a U.S. tax deduction in future periods, as well as bring additional operating efficiencies. In connection with the Domestication, the Company dissolved James River Group Holdings UK Limited, its prior UK intermediate holding company, effective December 23,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w:t>
      </w:r>
    </w:p>
    <w:tbl>
      <w:tblPr>
        <w:tblW w:w="10237" w:type="dxa"/>
        <w:jc w:val="left"/>
        <w:tblInd w:w="0" w:type="dxa"/>
        <w:tblLayout w:type="fixed"/>
        <w:tblCellMar>
          <w:top w:w="28" w:type="dxa"/>
          <w:left w:w="28" w:type="dxa"/>
          <w:bottom w:w="28" w:type="dxa"/>
          <w:right w:w="28" w:type="dxa"/>
        </w:tblCellMar>
      </w:tblPr>
      <w:tblGrid>
        <w:gridCol w:w="617"/>
        <w:gridCol w:w="291"/>
        <w:gridCol w:w="293"/>
        <w:gridCol w:w="211"/>
        <w:gridCol w:w="826"/>
        <w:gridCol w:w="271"/>
        <w:gridCol w:w="109"/>
        <w:gridCol w:w="109"/>
        <w:gridCol w:w="109"/>
        <w:gridCol w:w="211"/>
        <w:gridCol w:w="826"/>
        <w:gridCol w:w="271"/>
        <w:gridCol w:w="109"/>
        <w:gridCol w:w="109"/>
        <w:gridCol w:w="109"/>
        <w:gridCol w:w="263"/>
        <w:gridCol w:w="263"/>
        <w:gridCol w:w="483"/>
        <w:gridCol w:w="109"/>
        <w:gridCol w:w="109"/>
        <w:gridCol w:w="109"/>
        <w:gridCol w:w="211"/>
        <w:gridCol w:w="826"/>
        <w:gridCol w:w="271"/>
        <w:gridCol w:w="109"/>
        <w:gridCol w:w="109"/>
        <w:gridCol w:w="109"/>
        <w:gridCol w:w="211"/>
        <w:gridCol w:w="826"/>
        <w:gridCol w:w="271"/>
        <w:gridCol w:w="109"/>
        <w:gridCol w:w="109"/>
        <w:gridCol w:w="109"/>
        <w:gridCol w:w="308"/>
        <w:gridCol w:w="308"/>
        <w:gridCol w:w="544"/>
      </w:tblGrid>
      <w:tr>
        <w:trPr/>
        <w:tc>
          <w:tcPr>
            <w:tcW w:w="6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(28.9)</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(24.9)</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retention</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148,398 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175,990 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(15.7)</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268,496 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303,946 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(11.7)</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139,018 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152,609 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274,730 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304,511 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(9.8)</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excluding retroactive reinsurance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(92,178)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(11.3)</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(186,149)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(9.4)</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Underwriting (loss) profit </w:t>
            </w:r>
            <w:r>
              <w:rPr>
                <w:rFonts w:ascii="Times New Roman;serif" w:hAnsi="Times New Roman;serif"/>
                <w:b w:val="false"/>
                <w:color w:val="000000"/>
                <w:sz w:val="16"/>
              </w:rPr>
              <w:t>(1), (2)</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 retroactive reinsurance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188.8 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gains (losses) on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226.9 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(38.9)</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53.1 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 on continuing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(16.6)</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(79.2)</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34.5 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Series A Preferred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available to common shareholders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58.8 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net operating income </w:t>
            </w:r>
            <w:r>
              <w:rPr>
                <w:rFonts w:ascii="Times New Roman;serif" w:hAnsi="Times New Roman;serif"/>
                <w:b w:val="false"/>
                <w:color w:val="000000"/>
                <w:sz w:val="16"/>
              </w:rPr>
              <w:t>(1)</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(14.3)</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15,830 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20,795 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(23.9)</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Ratios:</w:t>
            </w:r>
          </w:p>
        </w:tc>
        <w:tc>
          <w:tcPr>
            <w:tcW w:w="130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Accident year loss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(1)Underwriting profit and adjusted net operating income are non-GAAP measures. See “Reconciliation of Non-GAAP Measures.”</w:t>
      </w:r>
    </w:p>
    <w:p>
      <w:pPr>
        <w:pStyle w:val="TextBody"/>
        <w:bidi w:val="0"/>
        <w:spacing w:lineRule="auto" w:line="288" w:before="0" w:after="240"/>
        <w:ind w:left="0" w:right="0" w:hanging="360"/>
        <w:jc w:val="left"/>
        <w:rPr/>
      </w:pPr>
      <w:r>
        <w:rPr>
          <w:rFonts w:ascii="Times New Roman;serif" w:hAnsi="Times New Roman;serif"/>
          <w:b w:val="false"/>
          <w:i/>
          <w:color w:val="000000"/>
          <w:sz w:val="20"/>
        </w:rPr>
        <w:t>(2)Included in underwriting results for the three and six months ended June 30, 2026 is gross fee income of $977,000</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$2.5 million, respectively ($3.9 million</w:t>
      </w:r>
      <w:r>
        <w:rPr>
          <w:color w:val="000000"/>
        </w:rPr>
        <w:t xml:space="preserve"> </w:t>
      </w:r>
      <w:r>
        <w:rPr>
          <w:rFonts w:ascii="Times New Roman;serif" w:hAnsi="Times New Roman;serif"/>
          <w:b w:val="false"/>
          <w:i/>
          <w:color w:val="000000"/>
          <w:sz w:val="20"/>
        </w:rPr>
        <w:t>and $8.3 million in the respective prior year periods).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Three Months Ended June 30, 2026 and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produced net income from continuing operations of $6.6 million for the three months ended June 30, 2026 compared to $5.1 million for the three months ended June 30, 2025. Adjusted net operating income was $10.0 million and $11.7 million in the respective periods.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Underwriting results were a loss of $327,000 (combined ratio of 100.2%) for the three months ended June 30, 2026 compared to an underwriting profit of $2.1 million (combined ratio of 98.6%) for the three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Underwriting results for the respective periods include $552,000 and $2.7 million of premium adjustments associated with prior years including reinstatement premiums in the Excess &amp; Surplus Lines segment which reduced net written and net earned premiums, and underwriting profit. The impact of the premium adjustments was a 0.4 and 1.7 percentage point increase in our combined ratios in the respective periods.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loss ratio for the three months ended June 30, 2026 was 1.8 percentage points lower than the prior year period primarily due to net reserve development on prior accident years (excluding adverse prior year development that is subject to deferral under retroactive reinsurance accounting - see discussion below) that was $569,000 or 0.4 percentage points adverse in the three months ended June 30, 2026 compared to $3.0 million or 2.0 percentage points adverse in the three months ended June 30, 2025. Premium adjustments associated with prior years including reinstatement premium in the Excess and Surplus Lines segment increased the respective loss ratios by 0.3 and 1.2 percentage points.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expense ratio increased from 30.5% in the prior year period to 33.9% in the current year period due to the 8.9% decline in net earned premiums, largely driven by the non-renewal of several programs in the Specialty Admitted segment, and lower ceding commissions in the Excess &amp; Surplus Lines segment as we are retaining a greater percentage of the business we are writing in the segment. General and administrative expenses for the total Company were down $2.5 million compared to the prior year period including a $2.3 million decline in the Specialty Admitted Insurance segment where we are closely managing expenses.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Investment income for the three months ended June 30, 2026 was $239,000 or 1.2% below the prior year period driven by lower income from our private investments. Net realized and unrealized gains on investments of $999,000 for the three months ended June 30, 2026 included $947,000 of net realized and unrealized gains on equity securities (majority preferred stock). This compares to net realized and unrealized losses of $352,000 for the three months ended June 30, 2025 which included $253,000 of net realized and unrealized gains on bank loan participations offset by $605,000 of net realized and unrealized losses on equity securities (see </w:t>
      </w:r>
      <w:r>
        <w:rPr>
          <w:rFonts w:ascii="Times New Roman;serif" w:hAnsi="Times New Roman;serif"/>
          <w:b w:val="false"/>
          <w:i/>
          <w:color w:val="000000"/>
          <w:sz w:val="20"/>
        </w:rPr>
        <w:t>Investing Results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loss from discontinued operations of $221,000 and $361,000 for the three months ended June 30, 2026 and 2025, respectively, reflects litigation and other costs related to the sale of JRG 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net operating income declined from the prior year period due to the lower underwriting results. Growth in tangible common equity of 2.8% in the current year quarter was largely driven by net income, partially offset by unrealized losses on fixed maturities in other comprehensive income due to increases in interest rates. Our 9.8% adjusted net operating return on tangible common equity for the three months ended June 30, 2026 compares to a 14.0% return for the three months ended June 30, 2025.</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Six Months Ended June 30, 2026 and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reported a net loss from continuing operations of $2.2 million for the six months ended June 30, 2026. This compares to net income from continuing operations of $16.1 million for the six months ended June 30, 2025. Adjusted net operating income was $15.8 million and $20.8 million in the respective periods.</w:t>
      </w:r>
    </w:p>
    <w:p>
      <w:pPr>
        <w:pStyle w:val="TextBody"/>
        <w:bidi w:val="0"/>
        <w:spacing w:lineRule="auto" w:line="288" w:before="0" w:after="120"/>
        <w:ind w:left="0" w:right="0" w:firstLine="360"/>
        <w:jc w:val="both"/>
        <w:rPr/>
      </w:pPr>
      <w:r>
        <w:rPr>
          <w:rFonts w:ascii="Times New Roman;serif" w:hAnsi="Times New Roman;serif"/>
          <w:b w:val="false"/>
          <w:color w:val="000000"/>
          <w:sz w:val="20"/>
        </w:rPr>
        <w:t>Underwriting results were a loss of $6.5 million (combined ratio of 102.4%) for the six months ended June 30, 2026 compared to an underwriting profit of $2.8 million (combined ratio of 99.1%) for the six months ended June 30, 2025. Underwriting results for the respective periods include $7.2 million and $5.8 million of premium adjustments associated with prior years including reinstatement premiums in the Excess &amp; Surplus Lines segment which reduced net written and net earned premiums, and underwriting profit. The impact of the premium adjustments was a 2.6 and 1.9 percentage point increase in our combined ratios in the respective periods. The premium adjustments in the current year were primarily reinstatement premiums driven by one large claim ceded to a $9.0 million excess of $2.0 million treaty in the three months ended March 31, 2026. There were no reinstatement premiums associated with this treaty in the three months ended June 30, 2026. As of June 30, 2026</w:t>
      </w:r>
      <w:r>
        <w:rPr>
          <w:rFonts w:ascii="Times New Roman;serif" w:hAnsi="Times New Roman;serif"/>
          <w:b w:val="false"/>
          <w:i/>
          <w:color w:val="000000"/>
          <w:sz w:val="20"/>
        </w:rPr>
        <w:t xml:space="preserve">, </w:t>
      </w:r>
      <w:r>
        <w:rPr>
          <w:rFonts w:ascii="Times New Roman;serif" w:hAnsi="Times New Roman;serif"/>
          <w:b w:val="false"/>
          <w:color w:val="000000"/>
          <w:sz w:val="20"/>
        </w:rPr>
        <w:t>the Company has less than $10.0 million of remaining exposure to additional reinstatement premiums on the treaty.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loss ratio for the six months ended June 30, 2026 was comparable to the prior year. Net reserve development on prior accident years (excluding adverse prior year development that is subject to deferral under retroactive reinsurance accounting - see discussion below) was $404,000 or 0.1 percentage points adverse in the six months ended June 30, 2026 compared to $2.9 million or 1.0 percentage points adverse in the six months ended June 30, 2025. Premium adjustments associated with prior years including reinstatement premium in the Excess and Surplus Lines segment increased the respective loss ratios by 1.8 and 1.2 percentage points. The current year loss ratio also benefited from segment mix with the Excess and Surplus Lines segment representing 98.0% of consolidated net earned premiums in the six months ended June 30, 2026 compared to 91.4% in the six months ended June 30,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expense ratio increased from 31.7% in the prior year to 34.6% in the current year due to the 9.8% decline in net earned premiums, largely driven by the non-renewal of several programs in the Specialty Admitted segment, and lower ceding commissions in the Excess &amp; Surplus Lines segment as we are retaining a greater percentage of the business we are writing in the segment. General and administrative expenses for the total Company were down $6.5 million compared to the prior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including a $5.1 million decline in the Specialty Admitted Insurance segment where we are closely managing expenses. Premium adjustments associated with prior years including reinstatement premium in the Excess and Surplus Lines segment increased the respective expense ratios by 0.8 and 0.7 percentage points.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Investment income increased by $1.1 million or 2.7% in the six months ended June 30, 2026 compared to the same period in the prior year driven by higher income from fixed maturities due to an increased allocation to structured securities in the second half of 2025 and higher average balances, and our private investments, reflecting growth in our structured private credit investments, both of which were partially offset by lower yields elsewhere in the portfolio. Net realized and unrealized losses on investments of $5.6 million for the six months ended June 30, 2026 include $4.6 million and $823,000 of net realized and unrealized losses on bank loan participations and equity securities (majority preferred stock), respectively. This compares to net realized and unrealized losses of $1.7 million for the six months ended June 30, 2025 which included $2.1 million of net realized and unrealized losses on bank loan participations, partially offset by $313,000 of net realized and unrealized gains on equity securities (see </w:t>
      </w:r>
      <w:r>
        <w:rPr>
          <w:rFonts w:ascii="Times New Roman;serif" w:hAnsi="Times New Roman;serif"/>
          <w:b w:val="false"/>
          <w:i/>
          <w:color w:val="000000"/>
          <w:sz w:val="20"/>
        </w:rPr>
        <w:t>Investing Results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net loss from discontinued operations of $370,000 represented litigation and other costs related to the sale of JRG Re. For the six months ended June 30, 2025, the net loss from discontinued operations of $1.8 million included a final downward adjustment to the closing date purchase price plus interest of $523,000 and $1.3 million of litigation and other costs related to the sale of JRG 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net operating income declined from the prior year due to the lower underwriting results, partially offset by higher investment income. Tangible common equity grew by 1.4% in the six months ended June 30, 2026 and our adjusted net operating return on tangible common equity of 7.7% for the six months ended June 30, 2026 compares to a 12.8% return for the six months ended June 30, 2025.</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Loss Portfolio Transfers and Adverse Development Covers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Loss portfolio transfers and adverse development covers are forms of retroactive reinsurance utilized by the Company to transfer losses and loss adjustment expenses and associated risk of adverse development on covered subject business, as defined in the respective agreements, to an assuming reinsurer in exchange for a reinsurance premium. This reinsurance can bring economic finality (up to the limit of such agreements, if applicable) on the subject risks when they no longer meet the Company's risk appetite or are no longer aligned with the Company's risk management guidelines.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Commercial Auto Loss Portfolio Transfer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27, 2021, James River Insurance and James River Casualty Company (together, “James River”) entered into a loss portfolio transfer transaction (the “Commercial Auto LPT”) with Aleka Insurance, Inc. (“Aleka”), a captive insurance company affiliate of Rasier LLC, to reinsure substantially all of the Excess &amp;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 The cumulative amounts ceded under the loss portfolio transfer was $451.4 million as of both June 30, 2026 and December 31, 2025.</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Combined Loss Portfolio Transfer and Adverse Development Cover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 2024, James River entered into a Combined Loss Portfolio Transfer and Adverse Development Cover Reinsurance Contract (the “E&amp;S ADC”) with State National Insurance Company, Inc. (“State National”). The transaction closed upon signing.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E&amp;S ADC was effective January 1, 2024 (the “Effective Date”) and applies to James River’s Excess &amp; Surplus Lines segment casualty portfolio losses attaching to premium earned during 2010-2023 (both years inclusive), excluding, among others, losses related to commercial auto policies issued to a former large insured or its affiliates (the “Subject Business”). Pursuant to the E&amp;S ADC, (a) State National reinsures 85% of losses paid on and after the Effective Date in respect of the Subject Business in excess of $716.6 million up to an aggregate limit of $467.1 million (with State National’s share of the aggregate limit being $397.0 million) in exchange for a reinsurance premium paid by James River equal to $313.2 million, and (b) James River continues to manage claims and to manage and collect the benefit of other existing third-party reinsurance on the Subject Business, which third-party reinsurance inures to the benefit of the E&amp;S ADC. Additional adverse development of $35.0 million (net of the Company's 15% retention) recognized on the subject business of the E&amp;S ADC in the year ended December 31, 2025 exhausted the remaining limit of the E&amp;S ADC.</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Adverse Development Cover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11, 2024, Enstar, through its subsidiary Cavello Bay Reinsurance Limited (“Cavello Bay”), entered into an adverse development cover agreement with James River (“E&amp;S Top Up ADC”), pursuant to which, in exchange for a premium of $52.8 million (less an amount equal to the federal excise tax payable on the premium), Cavello Bay reinsures, effective January 1, 2024, 100% of the losses associated with James River’s Excess &amp; Surplus Lines segment casualty portfolio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attaching to premium earned during 2010-2023 (both years inclusive). The E&amp;S Top Up ADC excludes losses related to commercial auto policies issued to a former large insured or its affiliates and is subject to a retention by James River of $1,183.7 million (the limit of the E&amp;S ADC executed on July 2, 2024) and up to an aggregate limit of $75.0 million. The E&amp;S Top Up ADC closed on December 23, 2024. The Company recognized a $52.8 million reduction in pre-tax income in connection with the adverse development cover upon closing. In 2025, $51.4 million of adverse development was ceded to the E&amp;S Top Up ADC, reducing the aggregate limit remaining on the E&amp;S Top Up ADC to $23.6 million at December 31, 2025. In the six months ended June 30, 2026, an additional $23.6 million of adverse development was ceded to the E&amp;S Top Up ADC, exhausting the remaining limit of the E&amp;S Top Up ADC. Of the $23.6 million, $22.2 million was subject to deferral under retroactive reinsurance accounting.</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Retroactive Reinsurance Accounting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periodically reevaluates the remaining reserves subject to the Commercial Auto LPT, the E&amp;S ADC, and the E&amp;S Top Up ADC, and when recognized adverse prior year development on the subject business causes the cumulative amounts ceded under the agreements to exceed the consideration paid, the agreements move into a gain position subject to retroactive reinsurance accounting under GAAP. Gains are deferred under retroactive reinsurance accounting and recognized in earnings in proportion to actual paid recoveries under the agreements using the recovery method. While the deferral of gains can introduce volatility in the Company's operating results in the short-term, over the life of the contract, we would expect no economic impact to the Company as long as the counterparty performs under the contract. The impact of retroactive reinsurance accounting is not indicative of the Company's current and ongoing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retroactive reinsurance accounting for the Commercial Auto LPT, the E&amp;S ADC, and the E&amp;S Top Up ADC for the three and six months ended June 30, 2026 and 2025, respectively.</w:t>
      </w:r>
    </w:p>
    <w:tbl>
      <w:tblPr>
        <w:tblW w:w="10205" w:type="dxa"/>
        <w:jc w:val="left"/>
        <w:tblInd w:w="0" w:type="dxa"/>
        <w:tblLayout w:type="fixed"/>
        <w:tblCellMar>
          <w:top w:w="28" w:type="dxa"/>
          <w:left w:w="28" w:type="dxa"/>
          <w:bottom w:w="28" w:type="dxa"/>
          <w:right w:w="28" w:type="dxa"/>
        </w:tblCellMar>
      </w:tblPr>
      <w:tblGrid>
        <w:gridCol w:w="1740"/>
        <w:gridCol w:w="1528"/>
        <w:gridCol w:w="1536"/>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5"/>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Commercial Auto LPT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Adverse prior year development ceded on subject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E&amp;S ADC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Adverse prior year development ceded on subject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E&amp;S Top Up ADC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Adverse prior year development ceded on subject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Adverse prior year development ceded on subject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65,281 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Premiums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Insurance premiums are earned ratably over the terms of our insurance policies, generally twelve months. The following table summarizes the change in premium volume by component and business segment:</w:t>
      </w:r>
    </w:p>
    <w:tbl>
      <w:tblPr>
        <w:tblW w:w="10205" w:type="dxa"/>
        <w:jc w:val="left"/>
        <w:tblInd w:w="0" w:type="dxa"/>
        <w:tblLayout w:type="fixed"/>
        <w:tblCellMar>
          <w:top w:w="28" w:type="dxa"/>
          <w:left w:w="28" w:type="dxa"/>
          <w:bottom w:w="28" w:type="dxa"/>
          <w:right w:w="28" w:type="dxa"/>
        </w:tblCellMar>
      </w:tblPr>
      <w:tblGrid>
        <w:gridCol w:w="670"/>
        <w:gridCol w:w="581"/>
        <w:gridCol w:w="585"/>
        <w:gridCol w:w="211"/>
        <w:gridCol w:w="826"/>
        <w:gridCol w:w="109"/>
        <w:gridCol w:w="109"/>
        <w:gridCol w:w="109"/>
        <w:gridCol w:w="109"/>
        <w:gridCol w:w="211"/>
        <w:gridCol w:w="826"/>
        <w:gridCol w:w="109"/>
        <w:gridCol w:w="109"/>
        <w:gridCol w:w="109"/>
        <w:gridCol w:w="109"/>
        <w:gridCol w:w="280"/>
        <w:gridCol w:w="280"/>
        <w:gridCol w:w="483"/>
        <w:gridCol w:w="109"/>
        <w:gridCol w:w="109"/>
        <w:gridCol w:w="109"/>
        <w:gridCol w:w="211"/>
        <w:gridCol w:w="826"/>
        <w:gridCol w:w="109"/>
        <w:gridCol w:w="109"/>
        <w:gridCol w:w="109"/>
        <w:gridCol w:w="109"/>
        <w:gridCol w:w="211"/>
        <w:gridCol w:w="826"/>
        <w:gridCol w:w="109"/>
        <w:gridCol w:w="109"/>
        <w:gridCol w:w="109"/>
        <w:gridCol w:w="109"/>
        <w:gridCol w:w="280"/>
        <w:gridCol w:w="280"/>
        <w:gridCol w:w="547"/>
      </w:tblGrid>
      <w:tr>
        <w:trPr/>
        <w:tc>
          <w:tcPr>
            <w:tcW w:w="67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(16.7)</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(10.0)</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(75.9)</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(73.0)</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(24.9)</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(11.4)</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(5.5)</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(92.1)</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(90.3)</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(15.7)</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(11.7)</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(84.8)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(78.6)</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(9.8)</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written premiums for the Excess &amp; Surplus Lines segment (which represents 93.0% and 91.5% of our consolidated gross written premiums in the three and six months ended June 30, 2026, respectively) were down 16.7% and 10.0% compared to the three and six month prior year periods, respectively. Markets are extremely competitive and we remain focused on our underwriting guidelines, prioritizing profitable growth in small to medium sized accounts. Submissions, quotes, and renewal rates continued to grow compared to the prior year periods. The number of bound policies as a percentage of business quoted, however, dropped compared to the prior year periods due to increased competition. The change in gross written premiums by primary underwriting division is shown below:</w:t>
      </w:r>
    </w:p>
    <w:tbl>
      <w:tblPr>
        <w:tblW w:w="10205" w:type="dxa"/>
        <w:jc w:val="center"/>
        <w:tblInd w:w="0" w:type="dxa"/>
        <w:tblLayout w:type="fixed"/>
        <w:tblCellMar>
          <w:top w:w="28" w:type="dxa"/>
          <w:left w:w="28" w:type="dxa"/>
          <w:bottom w:w="28" w:type="dxa"/>
          <w:right w:w="28" w:type="dxa"/>
        </w:tblCellMar>
      </w:tblPr>
      <w:tblGrid>
        <w:gridCol w:w="741"/>
        <w:gridCol w:w="648"/>
        <w:gridCol w:w="490"/>
        <w:gridCol w:w="211"/>
        <w:gridCol w:w="826"/>
        <w:gridCol w:w="109"/>
        <w:gridCol w:w="109"/>
        <w:gridCol w:w="109"/>
        <w:gridCol w:w="109"/>
        <w:gridCol w:w="211"/>
        <w:gridCol w:w="826"/>
        <w:gridCol w:w="109"/>
        <w:gridCol w:w="109"/>
        <w:gridCol w:w="109"/>
        <w:gridCol w:w="109"/>
        <w:gridCol w:w="268"/>
        <w:gridCol w:w="270"/>
        <w:gridCol w:w="483"/>
        <w:gridCol w:w="109"/>
        <w:gridCol w:w="109"/>
        <w:gridCol w:w="109"/>
        <w:gridCol w:w="211"/>
        <w:gridCol w:w="826"/>
        <w:gridCol w:w="109"/>
        <w:gridCol w:w="109"/>
        <w:gridCol w:w="109"/>
        <w:gridCol w:w="109"/>
        <w:gridCol w:w="211"/>
        <w:gridCol w:w="826"/>
        <w:gridCol w:w="109"/>
        <w:gridCol w:w="109"/>
        <w:gridCol w:w="109"/>
        <w:gridCol w:w="109"/>
        <w:gridCol w:w="269"/>
        <w:gridCol w:w="269"/>
        <w:gridCol w:w="548"/>
      </w:tblGrid>
      <w:tr>
        <w:trPr/>
        <w:tc>
          <w:tcPr>
            <w:tcW w:w="74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Casualty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3.1 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Primary Casualty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(29.1)</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(19.7)</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Manufacturers &amp; Contractors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(17.4)</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(5.5)</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Property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(17.1)</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(22.8)</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 gross written premium</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(16.7)</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(10.0)</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written premiums for the Specialty Admitted Insurance segment (which represents 7.0% and 8.5% of our consolidated gross written premiums in the three and six months ended June 30, 2026, respectively) declined 75.9% and 73.0% from the three and six month prior year periods, respectively, reflecting non-renewals of programs. The segment currently has four active programs.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Net Retention</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net premium retention is summarized by segment as follows:</w:t>
      </w:r>
    </w:p>
    <w:tbl>
      <w:tblPr>
        <w:tblW w:w="6941" w:type="dxa"/>
        <w:jc w:val="left"/>
        <w:tblInd w:w="0" w:type="dxa"/>
        <w:tblLayout w:type="fixed"/>
        <w:tblCellMar>
          <w:top w:w="28" w:type="dxa"/>
          <w:left w:w="28" w:type="dxa"/>
          <w:bottom w:w="28" w:type="dxa"/>
          <w:right w:w="28" w:type="dxa"/>
        </w:tblCellMar>
      </w:tblPr>
      <w:tblGrid>
        <w:gridCol w:w="912"/>
        <w:gridCol w:w="801"/>
        <w:gridCol w:w="806"/>
        <w:gridCol w:w="255"/>
        <w:gridCol w:w="256"/>
        <w:gridCol w:w="333"/>
        <w:gridCol w:w="134"/>
        <w:gridCol w:w="134"/>
        <w:gridCol w:w="134"/>
        <w:gridCol w:w="255"/>
        <w:gridCol w:w="256"/>
        <w:gridCol w:w="333"/>
        <w:gridCol w:w="109"/>
        <w:gridCol w:w="109"/>
        <w:gridCol w:w="109"/>
        <w:gridCol w:w="255"/>
        <w:gridCol w:w="256"/>
        <w:gridCol w:w="292"/>
        <w:gridCol w:w="117"/>
        <w:gridCol w:w="117"/>
        <w:gridCol w:w="117"/>
        <w:gridCol w:w="255"/>
        <w:gridCol w:w="256"/>
        <w:gridCol w:w="340"/>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premium retention for the Excess &amp; Surplus Lines segment increased in the current year periods due to changes made in our reinsurance coverage to retain more of the business we write. The segment retention was also impacted by premium adjustments associated with prior years including reinstatement premium ($552,000 and $7.2 million in the three and six months ended June 30, 2026, respectively, compared to $2.7 million and $5.8 million in the respective prior year periods) which reduced net written premiums and the net retention ratio in both periods.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lower net premium retention for the Specialty Admitted Insurance segment in 2026 reflects our focus on low net retentions, the impact of certain non-renewals in our fronting business, and changes in reinsurance as coverages renew.</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Segment Results</w:t>
      </w:r>
    </w:p>
    <w:p>
      <w:pPr>
        <w:pStyle w:val="TextBody"/>
        <w:bidi w:val="0"/>
        <w:spacing w:lineRule="auto" w:line="288" w:before="180" w:after="120"/>
        <w:jc w:val="left"/>
        <w:rPr>
          <w:rFonts w:ascii="Times New Roman;serif" w:hAnsi="Times New Roman;serif"/>
          <w:b w:val="false"/>
          <w:i/>
          <w:color w:val="000000"/>
          <w:sz w:val="20"/>
        </w:rPr>
      </w:pPr>
      <w:r>
        <w:rPr>
          <w:rFonts w:ascii="Times New Roman;serif" w:hAnsi="Times New Roman;serif"/>
          <w:b w:val="false"/>
          <w:i/>
          <w:color w:val="000000"/>
          <w:sz w:val="20"/>
        </w:rPr>
        <w:t>Excess &amp; Surplus Lines Segment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Results for the Excess &amp; Surplus Lines segment are as follows:</w:t>
      </w:r>
    </w:p>
    <w:tbl>
      <w:tblPr>
        <w:tblW w:w="10205" w:type="dxa"/>
        <w:jc w:val="left"/>
        <w:tblInd w:w="0" w:type="dxa"/>
        <w:tblLayout w:type="fixed"/>
        <w:tblCellMar>
          <w:top w:w="28" w:type="dxa"/>
          <w:left w:w="28" w:type="dxa"/>
          <w:bottom w:w="28" w:type="dxa"/>
          <w:right w:w="28" w:type="dxa"/>
        </w:tblCellMar>
      </w:tblPr>
      <w:tblGrid>
        <w:gridCol w:w="635"/>
        <w:gridCol w:w="310"/>
        <w:gridCol w:w="312"/>
        <w:gridCol w:w="211"/>
        <w:gridCol w:w="826"/>
        <w:gridCol w:w="271"/>
        <w:gridCol w:w="109"/>
        <w:gridCol w:w="109"/>
        <w:gridCol w:w="109"/>
        <w:gridCol w:w="211"/>
        <w:gridCol w:w="826"/>
        <w:gridCol w:w="271"/>
        <w:gridCol w:w="109"/>
        <w:gridCol w:w="109"/>
        <w:gridCol w:w="109"/>
        <w:gridCol w:w="263"/>
        <w:gridCol w:w="263"/>
        <w:gridCol w:w="483"/>
        <w:gridCol w:w="109"/>
        <w:gridCol w:w="109"/>
        <w:gridCol w:w="109"/>
        <w:gridCol w:w="211"/>
        <w:gridCol w:w="826"/>
        <w:gridCol w:w="271"/>
        <w:gridCol w:w="109"/>
        <w:gridCol w:w="109"/>
        <w:gridCol w:w="109"/>
        <w:gridCol w:w="211"/>
        <w:gridCol w:w="826"/>
        <w:gridCol w:w="271"/>
        <w:gridCol w:w="109"/>
        <w:gridCol w:w="109"/>
        <w:gridCol w:w="109"/>
        <w:gridCol w:w="263"/>
        <w:gridCol w:w="263"/>
        <w:gridCol w:w="546"/>
      </w:tblGrid>
      <w:tr>
        <w:trPr/>
        <w:tc>
          <w:tcPr>
            <w:tcW w:w="63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(16.7)</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(10.0)</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147,657 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166,645 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(11.4)</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266,342 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281,724 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(5.5)</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137,306 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141,370 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269,132 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278,398 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excluding retroactive reinsurance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(4.4)</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3.9 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Underwriting profit </w:t>
            </w:r>
            <w:r>
              <w:rPr>
                <w:rFonts w:ascii="Times New Roman;serif" w:hAnsi="Times New Roman;serif"/>
                <w:b w:val="false"/>
                <w:i/>
                <w:color w:val="000000"/>
                <w:sz w:val="16"/>
              </w:rPr>
              <w:t>(1)</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(15.2)</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(37.6)</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Ratios:</w:t>
            </w:r>
          </w:p>
        </w:tc>
        <w:tc>
          <w:tcPr>
            <w:tcW w:w="130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Accident year loss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(1)Underwriting Profit is a non-GAAP Measure. See “Reconciliation of Non-GAAP Measures.”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Excess &amp; Surplus Lines segment produced underwriting profits of $9.9 million and $11.7 million (combined ratios of 92.8% and 91.7%) in the three months ended June 30, 2026 and 2025, respectively. The underwriting results in the respective periods were impacted by $552,000 and $2.7 million of premium adjustments associated with prior years including reinstatement premium which reduced net written and net earned premiums, and underwriting profit. The premium adjustments increased the segment combined ratio by 0.4 and 1.7 percentage points in the respective quarters.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loss ratio for the three months ended June 30, 2026 decreased from the prior year quarter primarily due to net reserve development on prior accident years (excluding adverse prior year development that is subject to deferral under retroactive reinsurance accounting - see discussion above) that was $275,000 or 0.2 percentage points and $2.3 million or 1.6 percentage points adverse in the three months ended June 30, 2026 and 2025, respectively, and the impact of premium adjustments (an additional 0.3 and 1.2 percentage points in the respective periods), partially offset by a higher current accident year loss ratio in the current year period.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expense ratio increased from 25.3% in the prior year quarter to 27.4% in the current quarter primarily reflecting the decrease in net earned premiums and lower ceding commissions (we are retaining a greater percentage of the business we write in the segment in the current year), partially offset by premium adjustments which represented a 0.1 and 0.5 percentage point increase in the segment expense ratio in the respective periods.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the Excess &amp; Surplus Lines segment produced underwriting profits of $14.6 million and $23.4 million (combined ratios of 94.6% and 91.6%), respectively. The underwriting results in the respective periods were impacted by $7.2 million and $5.8 million of premium adjustments associated with prior years including reinstatement premium which reduced net written and net earned premiums, and underwriting profit. The premium adjustments increased the segment combined ratio by 2.5 and 1.9 percentage points in the respective periods.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loss ratio for the six months ended June 30, 2026 increased from the prior year due to a higher current accident year loss ratio and the impact of premium adjustments (an additional 1.7 points and 1.3 points in the respective periods). Net reserve development on prior accident years (excluding adverse prior year development that is subject to deferral under retroactive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reinsurance accounting - see discussion above) was $175,000 or 0.1 percentage points and $2.3 million or 0.8 percentage points adverse in the six months ended June 30, 2026 and 2025, respectively.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expense ratio increased from 26.0% in the prior year to 28.0% in the current year primarily reflecting the lower net earned premium and lower ceding commissions as we are retaining a greater percentage of the business we write in the segment in the current year. The premium adjustments represented a 0.8 and 0.6 percentage point increase in the segment expense ratio in the respective periods.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Specialty Admitted Insurance Segment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Results for the Specialty Admitted Insurance segment are as follows:</w:t>
      </w:r>
    </w:p>
    <w:tbl>
      <w:tblPr>
        <w:tblW w:w="10205" w:type="dxa"/>
        <w:jc w:val="left"/>
        <w:tblInd w:w="0" w:type="dxa"/>
        <w:tblLayout w:type="fixed"/>
        <w:tblCellMar>
          <w:top w:w="28" w:type="dxa"/>
          <w:left w:w="28" w:type="dxa"/>
          <w:bottom w:w="28" w:type="dxa"/>
          <w:right w:w="28" w:type="dxa"/>
        </w:tblCellMar>
      </w:tblPr>
      <w:tblGrid>
        <w:gridCol w:w="857"/>
        <w:gridCol w:w="620"/>
        <w:gridCol w:w="625"/>
        <w:gridCol w:w="211"/>
        <w:gridCol w:w="721"/>
        <w:gridCol w:w="109"/>
        <w:gridCol w:w="109"/>
        <w:gridCol w:w="109"/>
        <w:gridCol w:w="109"/>
        <w:gridCol w:w="211"/>
        <w:gridCol w:w="721"/>
        <w:gridCol w:w="109"/>
        <w:gridCol w:w="109"/>
        <w:gridCol w:w="109"/>
        <w:gridCol w:w="109"/>
        <w:gridCol w:w="277"/>
        <w:gridCol w:w="277"/>
        <w:gridCol w:w="483"/>
        <w:gridCol w:w="109"/>
        <w:gridCol w:w="109"/>
        <w:gridCol w:w="109"/>
        <w:gridCol w:w="211"/>
        <w:gridCol w:w="721"/>
        <w:gridCol w:w="109"/>
        <w:gridCol w:w="109"/>
        <w:gridCol w:w="109"/>
        <w:gridCol w:w="109"/>
        <w:gridCol w:w="211"/>
        <w:gridCol w:w="826"/>
        <w:gridCol w:w="109"/>
        <w:gridCol w:w="109"/>
        <w:gridCol w:w="109"/>
        <w:gridCol w:w="109"/>
        <w:gridCol w:w="308"/>
        <w:gridCol w:w="308"/>
        <w:gridCol w:w="546"/>
      </w:tblGrid>
      <w:tr>
        <w:trPr/>
        <w:tc>
          <w:tcPr>
            <w:tcW w:w="85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(75.9)</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(73.0)</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(92.1)</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(90.3)</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(84.8)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(78.6)</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(75.9)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(70.0)</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(19.7)</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(34.0)</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Underwriting loss</w:t>
            </w:r>
            <w:r>
              <w:rPr>
                <w:color w:val="000000"/>
              </w:rPr>
              <w:t xml:space="preserve"> </w:t>
            </w:r>
            <w:r>
              <w:rPr>
                <w:rFonts w:ascii="Times New Roman;serif" w:hAnsi="Times New Roman;serif"/>
                <w:b w:val="false"/>
                <w:i/>
                <w:color w:val="000000"/>
                <w:sz w:val="16"/>
              </w:rPr>
              <w:t>(1), (2)</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97.5 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166.5 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0" w:after="6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(1)Underwriting Loss is a non-GAAP Measure. See “Reconciliation of Non-GAAP Measures.”</w:t>
      </w:r>
    </w:p>
    <w:p>
      <w:pPr>
        <w:pStyle w:val="TextBody"/>
        <w:bidi w:val="0"/>
        <w:spacing w:lineRule="auto" w:line="288" w:before="0" w:after="120"/>
        <w:ind w:left="0" w:right="0" w:hanging="360"/>
        <w:jc w:val="left"/>
        <w:rPr/>
      </w:pPr>
      <w:r>
        <w:rPr>
          <w:rFonts w:ascii="Times New Roman;serif" w:hAnsi="Times New Roman;serif"/>
          <w:b w:val="false"/>
          <w:i/>
          <w:color w:val="000000"/>
          <w:sz w:val="20"/>
        </w:rPr>
        <w:t>(2)Underwriting results include gross fee income of $977,000</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$2.5 million for the three and six months ended June 30, 2026, respectively ($3.9 million and $8.3 million in the respective prior year periods).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Specialty Admitted Insurance segment reported underwriting losses of $2.8 million and $4.6 million for the three and six months ended June 30, 2026, respectively, compared to underwriting losses of $1.4 million and $1.7 million in the respective prior year periods. Lower written and earned premium volumes in 2026 reflect our selective approach to new fronting opportunities and the non-renewal of several programs. Net development in our loss estimates for prior accident years was $294,000 and $229,000 adverse in the three and six months ended June 30, 2026, respectively, compared to $700,000 and $579,000 adverse in the respective prior year periods. We are closely managing expenses for the segment. Underwriting expenses decreased 19.7% and 34.0% from the respective three and six month prior year periods driven by decreased compensation and other general and administrative expenses, partially offset by decreases in net ceding commissions.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Corporate and Other Segment</w:t>
      </w:r>
    </w:p>
    <w:p>
      <w:pPr>
        <w:pStyle w:val="TextBody"/>
        <w:bidi w:val="0"/>
        <w:spacing w:lineRule="auto" w:line="288" w:before="0" w:after="120"/>
        <w:ind w:left="0" w:right="0" w:firstLine="360"/>
        <w:jc w:val="both"/>
        <w:rPr/>
      </w:pPr>
      <w:r>
        <w:rPr>
          <w:rFonts w:ascii="Times New Roman;serif" w:hAnsi="Times New Roman;serif"/>
          <w:b w:val="false"/>
          <w:color w:val="000000"/>
          <w:sz w:val="20"/>
        </w:rPr>
        <w:t>Other operating expenses for the Corporate and Other segment include personnel costs associated with the holding companies, professional fees, long-term incentive compensation (including share-based compensation) for the full Company, public company expenses and various other corporate expenses. The expenses are included in our calculation of consolidated underwriting profit, and in our consolidated expense ratio and combined ratio. Total operating expenses of the Corporate and Other segment were $7.4 million and $16.5 million for the three and six months ended</w:t>
      </w:r>
      <w:r>
        <w:rPr>
          <w:color w:val="000000"/>
        </w:rPr>
        <w:t xml:space="preserve"> </w:t>
      </w:r>
      <w:r>
        <w:rPr>
          <w:rFonts w:ascii="Times New Roman;serif" w:hAnsi="Times New Roman;serif"/>
          <w:b w:val="false"/>
          <w:color w:val="000000"/>
          <w:sz w:val="20"/>
        </w:rPr>
        <w:t>June 30, 2026, respectively, down from $8.2 million and $18.9 million in the respective prior year periods due to lower compensation expenses.</w:t>
      </w:r>
    </w:p>
    <w:p>
      <w:pPr>
        <w:pStyle w:val="TextBody"/>
        <w:bidi w:val="0"/>
        <w:spacing w:lineRule="auto" w:line="288" w:before="100" w:after="120"/>
        <w:jc w:val="left"/>
        <w:rPr>
          <w:rFonts w:ascii="Times New Roman;serif" w:hAnsi="Times New Roman;serif"/>
          <w:b/>
          <w:i/>
          <w:color w:val="000000"/>
          <w:sz w:val="20"/>
        </w:rPr>
      </w:pPr>
      <w:r>
        <w:rPr>
          <w:rFonts w:ascii="Times New Roman;serif" w:hAnsi="Times New Roman;serif"/>
          <w:b/>
          <w:i/>
          <w:color w:val="000000"/>
          <w:sz w:val="20"/>
        </w:rPr>
        <w:t>Investing Results</w:t>
      </w:r>
    </w:p>
    <w:p>
      <w:pPr>
        <w:pStyle w:val="TextBody"/>
        <w:bidi w:val="0"/>
        <w:spacing w:lineRule="auto" w:line="288" w:before="0" w:after="120"/>
        <w:ind w:left="0" w:right="0" w:firstLine="360"/>
        <w:jc w:val="both"/>
        <w:rPr/>
      </w:pPr>
      <w:r>
        <w:rPr>
          <w:rFonts w:ascii="Times New Roman;serif" w:hAnsi="Times New Roman;serif"/>
          <w:b w:val="false"/>
          <w:color w:val="000000"/>
          <w:sz w:val="20"/>
        </w:rPr>
        <w:t>Net investment income was $20.3 million and $41.6 million for the three and six months ended</w:t>
      </w:r>
      <w:r>
        <w:rPr>
          <w:color w:val="000000"/>
        </w:rPr>
        <w:t xml:space="preserve"> </w:t>
      </w:r>
      <w:r>
        <w:rPr>
          <w:rFonts w:ascii="Times New Roman;serif" w:hAnsi="Times New Roman;serif"/>
          <w:b w:val="false"/>
          <w:color w:val="000000"/>
          <w:sz w:val="20"/>
        </w:rPr>
        <w:t>June 30, 2026, respectively ($20.5 million and $40.5 million in the respective prior year periods). The Company's private investments generated income of $334,000 and $2.1 million for the three and six months ended</w:t>
      </w:r>
      <w:r>
        <w:rPr>
          <w:color w:val="000000"/>
        </w:rPr>
        <w:t xml:space="preserve"> </w:t>
      </w:r>
      <w:r>
        <w:rPr>
          <w:rFonts w:ascii="Times New Roman;serif" w:hAnsi="Times New Roman;serif"/>
          <w:b w:val="false"/>
          <w:color w:val="000000"/>
          <w:sz w:val="20"/>
        </w:rPr>
        <w:t>June 30, 2026, respectively (income of $986,000 and $1.2 million in the respective prior periods). Excluding private investments, our net investment income for the three and six months ended June 30, 2026 increased 0.3% and 2.1%, respectively, from the prior year period principally due to allocations of capital to higher yielding fixed maturities. The average duration of our portfolio excluding restricted cash equivalents was 3.6 years at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Major categories of the Company’s net investment income are summarized as follows:</w:t>
      </w:r>
    </w:p>
    <w:tbl>
      <w:tblPr>
        <w:tblW w:w="10205" w:type="dxa"/>
        <w:jc w:val="left"/>
        <w:tblInd w:w="0" w:type="dxa"/>
        <w:tblLayout w:type="fixed"/>
        <w:tblCellMar>
          <w:top w:w="28" w:type="dxa"/>
          <w:left w:w="28" w:type="dxa"/>
          <w:bottom w:w="28" w:type="dxa"/>
          <w:right w:w="28" w:type="dxa"/>
        </w:tblCellMar>
      </w:tblPr>
      <w:tblGrid>
        <w:gridCol w:w="1880"/>
        <w:gridCol w:w="1564"/>
        <w:gridCol w:w="156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8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restricted cash equivalents and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40,524 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annualized gross investment yields:</w:t>
      </w:r>
    </w:p>
    <w:tbl>
      <w:tblPr>
        <w:tblW w:w="6132" w:type="dxa"/>
        <w:jc w:val="left"/>
        <w:tblInd w:w="0" w:type="dxa"/>
        <w:tblLayout w:type="fixed"/>
        <w:tblCellMar>
          <w:top w:w="28" w:type="dxa"/>
          <w:left w:w="28" w:type="dxa"/>
          <w:bottom w:w="28" w:type="dxa"/>
          <w:right w:w="28" w:type="dxa"/>
        </w:tblCellMar>
      </w:tblPr>
      <w:tblGrid>
        <w:gridCol w:w="772"/>
        <w:gridCol w:w="678"/>
        <w:gridCol w:w="680"/>
        <w:gridCol w:w="203"/>
        <w:gridCol w:w="203"/>
        <w:gridCol w:w="333"/>
        <w:gridCol w:w="134"/>
        <w:gridCol w:w="134"/>
        <w:gridCol w:w="134"/>
        <w:gridCol w:w="203"/>
        <w:gridCol w:w="203"/>
        <w:gridCol w:w="333"/>
        <w:gridCol w:w="109"/>
        <w:gridCol w:w="109"/>
        <w:gridCol w:w="109"/>
        <w:gridCol w:w="203"/>
        <w:gridCol w:w="203"/>
        <w:gridCol w:w="292"/>
        <w:gridCol w:w="117"/>
        <w:gridCol w:w="117"/>
        <w:gridCol w:w="117"/>
        <w:gridCol w:w="203"/>
        <w:gridCol w:w="203"/>
        <w:gridCol w:w="340"/>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invested assets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 our total cash and invested assets of $1,939.2 million at June 30, 2026 (excluding restricted cash equivalents), $195.6 million represents the cash and cash equivalents portion of the portfolio. The majority of the portfolio, or $1,439.3 million, is comprised of fixed maturity securities that are classified as available-for-sale and carried at fair value with unrealized gains and losses on these securities reported, net of applicable taxes, as a separate component of accumulated comprehensive income (loss). Also included in our investments are $156.7 million of bank loan participations, $73.6 million of equity securities (majority preferred stock), $4.0 million of short-term investments, and $70.0 million of other invested assets.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facilities, and similar loans and investments. </w:t>
      </w:r>
      <w:r>
        <w:rPr>
          <w:rFonts w:ascii="Times New Roman;serif" w:hAnsi="Times New Roman;serif"/>
          <w:b w:val="false"/>
          <w:color w:val="231F20"/>
          <w:sz w:val="20"/>
        </w:rPr>
        <w:t xml:space="preserve">Bank loan participations are measured at fair value pursuant to the Company's election of the fair value option, and changes in unrealized gains and losses in bank loan participations are reported in our income statement as net realized and unrealized gains (losses) on investments. </w:t>
      </w:r>
      <w:r>
        <w:rPr>
          <w:rFonts w:ascii="Times New Roman;serif" w:hAnsi="Times New Roman;serif"/>
          <w:b w:val="false"/>
          <w:color w:val="000000"/>
          <w:sz w:val="20"/>
        </w:rPr>
        <w:t>At June 30, 2026 and December 31, 2025, the fair market value of these securities was $156.7 million and $155.1 million, respectively.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recognized net realized and unrealized investment losses of $5.6 million ($999,000 of net realized and unrealized investment gains for three months ended June 30, 2026), including $2.5 million of net unrealized losses on bank loan participations, $1.0 million of net unrealized losses for the change in the fair value of equity securities (majority preferred stock), $2.1 million of net realized investment losses on the sale of bank loan participations, $209,000 of net investment gains on the sale of equity securities (majority preferred stock), and $175,000 of net realized investment losses on the sale of fixed maturity securities.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the Company recognized net realized and unrealized investment losses of $1.7 million ($352,000 of net realized and unrealized investment losses for the three months ended June 30, 2025), including $767,000 of net unrealized gains on bank loan participations, $68,000 of net unrealized gains for the change in the fair value of equity securities, $2.8 million of net realized investment losses on the sale of bank loan participations, $245,000 of net realized investment gains on the sale of equity securities, and $25,000 of net realized investment gains on the sale of fixed maturity securities.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conjunction with its outside investment managers, the Company performs quarterly reviews of all securities within its investment portfolio to determine whether any impairment has occurred. As a result of this review, management concluded that there were no credit-related impairments of fixed maturity securities at June 30, 2026, December 31, 2025, or June 30, 2025. At June 30, 2026, 100.0% of the Company’s fixed maturity security portfolio was rated “BBB-” or better (“investment grade”)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pPr>
      <w:r>
        <w:rPr>
          <w:rFonts w:ascii="Times New Roman;serif" w:hAnsi="Times New Roman;serif"/>
          <w:b w:val="false"/>
          <w:color w:val="000000"/>
          <w:sz w:val="20"/>
        </w:rPr>
        <w:t xml:space="preserve">Standard &amp; Poor’s or received an equivalent rating from another nationally recognized rating agency. </w:t>
      </w:r>
      <w:r>
        <w:rPr>
          <w:rFonts w:ascii="Times New Roman;serif" w:hAnsi="Times New Roman;serif"/>
          <w:b w:val="false"/>
          <w:color w:val="231F20"/>
          <w:sz w:val="20"/>
        </w:rPr>
        <w:t>Management does not intend to sell available-for-sale securities in an unrealized loss position, and it is not “more likely than not” that the Company will be required to sell these securities before a recovery in their value to their amortized cost basis occurs.</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amortized cost and fair value of our available-for-sale fixed maturity securities were as follows:</w:t>
      </w:r>
    </w:p>
    <w:tbl>
      <w:tblPr>
        <w:tblW w:w="10393" w:type="dxa"/>
        <w:jc w:val="left"/>
        <w:tblInd w:w="0" w:type="dxa"/>
        <w:tblLayout w:type="fixed"/>
        <w:tblCellMar>
          <w:top w:w="28" w:type="dxa"/>
          <w:left w:w="28" w:type="dxa"/>
          <w:bottom w:w="28" w:type="dxa"/>
          <w:right w:w="28" w:type="dxa"/>
        </w:tblCellMar>
      </w:tblPr>
      <w:tblGrid>
        <w:gridCol w:w="1117"/>
        <w:gridCol w:w="296"/>
        <w:gridCol w:w="298"/>
        <w:gridCol w:w="211"/>
        <w:gridCol w:w="976"/>
        <w:gridCol w:w="109"/>
        <w:gridCol w:w="109"/>
        <w:gridCol w:w="109"/>
        <w:gridCol w:w="109"/>
        <w:gridCol w:w="211"/>
        <w:gridCol w:w="976"/>
        <w:gridCol w:w="109"/>
        <w:gridCol w:w="109"/>
        <w:gridCol w:w="109"/>
        <w:gridCol w:w="109"/>
        <w:gridCol w:w="307"/>
        <w:gridCol w:w="309"/>
        <w:gridCol w:w="292"/>
        <w:gridCol w:w="109"/>
        <w:gridCol w:w="109"/>
        <w:gridCol w:w="109"/>
        <w:gridCol w:w="211"/>
        <w:gridCol w:w="976"/>
        <w:gridCol w:w="109"/>
        <w:gridCol w:w="109"/>
        <w:gridCol w:w="109"/>
        <w:gridCol w:w="109"/>
        <w:gridCol w:w="211"/>
        <w:gridCol w:w="976"/>
        <w:gridCol w:w="109"/>
        <w:gridCol w:w="109"/>
        <w:gridCol w:w="109"/>
        <w:gridCol w:w="109"/>
        <w:gridCol w:w="307"/>
        <w:gridCol w:w="309"/>
        <w:gridCol w:w="339"/>
      </w:tblGrid>
      <w:tr>
        <w:trPr/>
        <w:tc>
          <w:tcPr>
            <w:tcW w:w="111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br/>
              <w:t>Fair Value</w:t>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33.7 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43.9 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41.1 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8.6 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100.0 </w:t>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1,448,750 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100.0 </w:t>
            </w:r>
          </w:p>
        </w:tc>
        <w:tc>
          <w:tcPr>
            <w:tcW w:w="3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before="0" w:after="0"/>
        <w:jc w:val="left"/>
        <w:rPr/>
      </w:pPr>
      <w:r>
        <w:rPr/>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following table sets forth the composition of the Company’s portfolio of available-for-sale fixed maturity securities by rating as of </w:t>
      </w:r>
      <w:r>
        <w:rPr>
          <w:rFonts w:ascii="Times New Roman;serif" w:hAnsi="Times New Roman;serif"/>
          <w:b w:val="false"/>
          <w:color w:val="231F20"/>
          <w:sz w:val="20"/>
        </w:rPr>
        <w:t>June 30, 2026</w:t>
      </w:r>
      <w:r>
        <w:rPr>
          <w:rFonts w:ascii="Times New Roman;serif" w:hAnsi="Times New Roman;serif"/>
          <w:b w:val="false"/>
          <w:color w:val="000000"/>
          <w:sz w:val="20"/>
        </w:rPr>
        <w:t>:</w:t>
      </w:r>
    </w:p>
    <w:tbl>
      <w:tblPr>
        <w:tblW w:w="6234" w:type="dxa"/>
        <w:jc w:val="left"/>
        <w:tblInd w:w="0" w:type="dxa"/>
        <w:tblLayout w:type="fixed"/>
        <w:tblCellMar>
          <w:top w:w="28" w:type="dxa"/>
          <w:left w:w="28" w:type="dxa"/>
          <w:bottom w:w="28" w:type="dxa"/>
          <w:right w:w="28" w:type="dxa"/>
        </w:tblCellMar>
      </w:tblPr>
      <w:tblGrid>
        <w:gridCol w:w="1242"/>
        <w:gridCol w:w="1094"/>
        <w:gridCol w:w="1098"/>
        <w:gridCol w:w="211"/>
        <w:gridCol w:w="976"/>
        <w:gridCol w:w="109"/>
        <w:gridCol w:w="109"/>
        <w:gridCol w:w="109"/>
        <w:gridCol w:w="109"/>
        <w:gridCol w:w="307"/>
        <w:gridCol w:w="309"/>
        <w:gridCol w:w="561"/>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Standard &amp; Poor’s or Equivalent Designation</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343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AAA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BBB</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amortized cost and fair value of our available-for-sale investments in fixed maturity securities summarized by contractual maturity are as follows:</w:t>
      </w:r>
    </w:p>
    <w:tbl>
      <w:tblPr>
        <w:tblW w:w="7804" w:type="dxa"/>
        <w:jc w:val="left"/>
        <w:tblInd w:w="0" w:type="dxa"/>
        <w:tblLayout w:type="fixed"/>
        <w:tblCellMar>
          <w:top w:w="28" w:type="dxa"/>
          <w:left w:w="28" w:type="dxa"/>
          <w:bottom w:w="28" w:type="dxa"/>
          <w:right w:w="28" w:type="dxa"/>
        </w:tblCellMar>
      </w:tblPr>
      <w:tblGrid>
        <w:gridCol w:w="1210"/>
        <w:gridCol w:w="1060"/>
        <w:gridCol w:w="1075"/>
        <w:gridCol w:w="211"/>
        <w:gridCol w:w="976"/>
        <w:gridCol w:w="109"/>
        <w:gridCol w:w="109"/>
        <w:gridCol w:w="109"/>
        <w:gridCol w:w="109"/>
        <w:gridCol w:w="211"/>
        <w:gridCol w:w="976"/>
        <w:gridCol w:w="109"/>
        <w:gridCol w:w="109"/>
        <w:gridCol w:w="109"/>
        <w:gridCol w:w="109"/>
        <w:gridCol w:w="308"/>
        <w:gridCol w:w="308"/>
        <w:gridCol w:w="597"/>
      </w:tblGrid>
      <w:tr>
        <w:trPr/>
        <w:tc>
          <w:tcPr>
            <w:tcW w:w="12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 Value</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year or less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4.3 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one year through five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30.8 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five years through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15.8 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9.2 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32.1 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7.8 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100.0 </w:t>
            </w:r>
          </w:p>
        </w:tc>
        <w:tc>
          <w:tcPr>
            <w:tcW w:w="5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Other Income and Expense</w:t>
      </w:r>
    </w:p>
    <w:p>
      <w:pPr>
        <w:pStyle w:val="TextBody"/>
        <w:bidi w:val="0"/>
        <w:spacing w:lineRule="auto" w:line="288" w:before="10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and (expense) included the following:</w:t>
      </w:r>
    </w:p>
    <w:tbl>
      <w:tblPr>
        <w:tblW w:w="9225" w:type="dxa"/>
        <w:jc w:val="left"/>
        <w:tblInd w:w="0" w:type="dxa"/>
        <w:tblLayout w:type="fixed"/>
        <w:tblCellMar>
          <w:top w:w="28" w:type="dxa"/>
          <w:left w:w="28" w:type="dxa"/>
          <w:bottom w:w="28" w:type="dxa"/>
          <w:right w:w="28" w:type="dxa"/>
        </w:tblCellMar>
      </w:tblPr>
      <w:tblGrid>
        <w:gridCol w:w="1559"/>
        <w:gridCol w:w="1371"/>
        <w:gridCol w:w="1375"/>
        <w:gridCol w:w="211"/>
        <w:gridCol w:w="54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15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incentive rebates - Excess and Surplus Lines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miscellaneous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Times New Roman;serif" w:hAnsi="Times New Roman;serif"/>
          <w:b w:val="false"/>
          <w:color w:val="231F20"/>
          <w:sz w:val="20"/>
        </w:rPr>
        <w:t>The n</w:t>
      </w:r>
      <w:r>
        <w:rPr>
          <w:rFonts w:ascii="Times New Roman;serif" w:hAnsi="Times New Roman;serif"/>
          <w:b w:val="false"/>
          <w:color w:val="000000"/>
          <w:sz w:val="20"/>
        </w:rPr>
        <w:t>on-operating expenses above primarily consist of legal and other professional fees and other expenses related to various strategic initiatives and litigation that the Company is involved in, as well as employee severance costs.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20"/>
        <w:ind w:left="0" w:right="0" w:firstLine="360"/>
        <w:jc w:val="both"/>
        <w:rPr/>
      </w:pPr>
      <w:r>
        <w:rPr>
          <w:rFonts w:ascii="Times New Roman;serif" w:hAnsi="Times New Roman;serif"/>
          <w:b w:val="false"/>
          <w:color w:val="000000"/>
          <w:sz w:val="20"/>
        </w:rPr>
        <w:t>Interest expense was $5.6 million and $11.2 million for the three and six</w:t>
      </w:r>
      <w:r>
        <w:rPr>
          <w:color w:val="231F20"/>
        </w:rPr>
        <w:t xml:space="preserve"> </w:t>
      </w:r>
      <w:r>
        <w:rPr>
          <w:rFonts w:ascii="Times New Roman;serif" w:hAnsi="Times New Roman;serif"/>
          <w:b w:val="false"/>
          <w:color w:val="231F20"/>
          <w:sz w:val="20"/>
        </w:rPr>
        <w:t>months ended June 30, 2026, respectively (</w:t>
      </w:r>
      <w:r>
        <w:rPr>
          <w:rFonts w:ascii="Times New Roman;serif" w:hAnsi="Times New Roman;serif"/>
          <w:b w:val="false"/>
          <w:color w:val="000000"/>
          <w:sz w:val="20"/>
        </w:rPr>
        <w:t>$5.8 million</w:t>
      </w:r>
      <w:r>
        <w:rPr>
          <w:color w:val="231F20"/>
        </w:rPr>
        <w:t xml:space="preserve"> </w:t>
      </w:r>
      <w:r>
        <w:rPr>
          <w:rFonts w:ascii="Times New Roman;serif" w:hAnsi="Times New Roman;serif"/>
          <w:b w:val="false"/>
          <w:color w:val="000000"/>
          <w:sz w:val="20"/>
        </w:rPr>
        <w:t>and $11.3 million in the respective prior year periods)</w:t>
      </w:r>
      <w:r>
        <w:rPr>
          <w:rFonts w:ascii="Times New Roman;serif" w:hAnsi="Times New Roman;serif"/>
          <w:b w:val="false"/>
          <w:color w:val="231F20"/>
          <w:sz w:val="20"/>
        </w:rPr>
        <w:t>.</w:t>
      </w:r>
      <w:r>
        <w:rPr>
          <w:color w:val="000000"/>
        </w:rPr>
        <w:t xml:space="preserve"> </w:t>
      </w:r>
      <w:r>
        <w:rPr>
          <w:rFonts w:ascii="Times New Roman;serif" w:hAnsi="Times New Roman;serif"/>
          <w:b w:val="false"/>
          <w:color w:val="000000"/>
          <w:sz w:val="20"/>
        </w:rPr>
        <w:t>See “—Liquidity and Capital Resources—Sources and Uses of Funds” for more information regarding our senior bank debt facilities and trust preferred securities.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Amortization of Intangibles and Impairment of Intangible Assets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Company recorded $91,000 of amortization of intangible assets in each of the three months ended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000000"/>
          <w:sz w:val="20"/>
        </w:rPr>
        <w:t xml:space="preserve">and 2025 ($182,000 in each of the six months ended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000000"/>
          <w:sz w:val="20"/>
        </w:rPr>
        <w:t>and 2025).</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Goodwill and Impairment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tested annually for impairment in the fourth quarter of each calendar year or more frequently if events and circumstances indicate that the carrying amount of the reporting unit including goodwill, may exceed their fair values. During the second quarter of 2026, the Company performed a quantitative goodwill impairment assessment on the James River Excess &amp; Surplus Lines reporting unit due to the substantial and sustained decline in the Company’s stock price and overall market capitalization from May 4, 2026 to June 30, 2026 and due to market conditions for excess and surplus lines impacting the reporting unit’s actual and projected results. These market conditions also decreased the valuations of some of the Company’s peer companies, resulting in lower forward valuation multiples for the peer group used in our analysis. As in prior periods, the Company used a combination of a market approach and an income approach in performing the quantitative analysis. The Company also considered the observed multiples on a sale transaction of a peer company that was completed in the second quarter of 2026. No goodwill impairment was recorded in the second quarter of 2026. However, the quantitative testing performed in the second quarter of 2026 showed that the fair value of the James River Excess &amp; Surplus Lines reporting unit exceeded the carrying value by less than 3% as of June 30, 2026. This represented a significant reduction in the amount that the fair value of the reporting unit exceeded its carrying value from our previous quantitative analysis performed at October 1, 2025. Continued adverse market conditions that have, or could reasonably be expected to have, additional negative impacts on our actual and projected results could necessitate additional impairment testing in the future, which could result in goodwill impairments in future quarters.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Company’s U.S. federal income tax expense differs from the amount computed by applying the federal statutory income tax rate of 21% to income before taxes primarily due to interest income on tax-advantaged state and municipal securities, dividends received income, and excess tax benefits and expenses on share based compensation. Prior to the Company's domestication from Bermuda to the U.S. on November 7, 2025, the Company's effective tax rate was impacted by the relative mix of income from continuing operations reported by country and the statutory tax rates of 0% and 21% imposed by Bermuda and the U.S., respectively. The Company did not receive a U.S. tax deduction for losses in Bermuda in the prior year periods resulting from Bermuda holding company expenses and interest expense. For the three and six months ended June 30, 2026, our effective tax rate on income (loss) from continuing operations was 21.8% and 0.9%, respectively (30.1% and 31.0% in the respective prior year periods). The effective tax rate of 0.9% for the six months ended June 30, 2026 was below the federal statutory income tax rate of 21% primarily because of excess tax expenses on share based compensation of $356,000 during the period.</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deferred tax asset of $11.9 million at June 30, 2026 associated with unrealized losses in the Company’s available-for-sale fixed maturity securities portfolio. The unrealized losses are attributable to changes in market interest rates and other economic factors rather than credit-related factors of the issuers. The Company does not intend to sell available-for-sale debt securities in an unrealized loss position, and it is not “more likely than not” that the Company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required to sell these securities before a recovery in their fair value to their amortized cost basis occurs. The Company’s hold to recovery assertion related to investments in an unrealized loss position is considered a tax planning strategy. Both the cash generated by the Company from operating activities and the unused capacity on the Company’s unsecured revolving credit facilities reduce the likelihood of having to sell debt securities in an unrealized loss position. As a result, the Company has concluded that no valuation allowance is required for the deferred tax asset associated with unrealized losses on its investments at June 30, 2026.</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Company also has a deferred tax asset of $14.1 million at June 30, 2026 associated with the effects of our 2025 domestication on the business interest expense deduction. The carryforward period for this tax benefit is unlimited and does not expire, but the annual utilization on the consolidated U.S. federal income tax return is limited to the separate company (in this case, our ultimate holding company) that generated the benefit. The Company has developed tax planning strategies that we believe are prudent and feasible to increase the utilization of the carryforward in future tax years. These strategies include reducing interest expense and increasing investment income and overall pre-tax income - both at that specific entity (the ultimate holding company). As a result, the Company has concluded that no valuation allowance is required for the deferred tax asset at June 30, 2026.</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Reserves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indicator of reserve strength that we monitor is the percentage of our gross and net loss reserves that are comprised of incurred but not reported (“IBNR”) reserves.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gross reserve for losses and loss adjustment expenses at June 30, 2026 was $3,090.0 million. Of this amount, 75.7% relates to amounts that are IBNR. This amount was 75.9% at December 31, 2025. The Company’s gross reserves for losses and loss adjustment expenses by segment are summarized as follows:</w:t>
      </w:r>
    </w:p>
    <w:tbl>
      <w:tblPr>
        <w:tblW w:w="6956" w:type="dxa"/>
        <w:jc w:val="left"/>
        <w:tblInd w:w="0" w:type="dxa"/>
        <w:tblLayout w:type="fixed"/>
        <w:tblCellMar>
          <w:top w:w="28" w:type="dxa"/>
          <w:left w:w="28" w:type="dxa"/>
          <w:bottom w:w="28" w:type="dxa"/>
          <w:right w:w="28" w:type="dxa"/>
        </w:tblCellMar>
      </w:tblPr>
      <w:tblGrid>
        <w:gridCol w:w="912"/>
        <w:gridCol w:w="801"/>
        <w:gridCol w:w="806"/>
        <w:gridCol w:w="211"/>
        <w:gridCol w:w="826"/>
        <w:gridCol w:w="109"/>
        <w:gridCol w:w="109"/>
        <w:gridCol w:w="109"/>
        <w:gridCol w:w="109"/>
        <w:gridCol w:w="211"/>
        <w:gridCol w:w="976"/>
        <w:gridCol w:w="109"/>
        <w:gridCol w:w="109"/>
        <w:gridCol w:w="109"/>
        <w:gridCol w:w="109"/>
        <w:gridCol w:w="211"/>
        <w:gridCol w:w="976"/>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 Reserves at June 30, 2026</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IBNR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751,165 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2,338,880 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3,090,045 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the amount of net reserves (prior to the $1.7 million allowance for uncollectible reinsurance recoverables) of $1,056.3 million that related to IBNR was 81.1%. This amount was 73.5% at December 31, 2025. The Company’s net reserves for losses and loss adjustment expenses by segment are summarized as follows:</w:t>
      </w:r>
    </w:p>
    <w:tbl>
      <w:tblPr>
        <w:tblW w:w="6806" w:type="dxa"/>
        <w:jc w:val="left"/>
        <w:tblInd w:w="0" w:type="dxa"/>
        <w:tblLayout w:type="fixed"/>
        <w:tblCellMar>
          <w:top w:w="28" w:type="dxa"/>
          <w:left w:w="28" w:type="dxa"/>
          <w:bottom w:w="28" w:type="dxa"/>
          <w:right w:w="28" w:type="dxa"/>
        </w:tblCellMar>
      </w:tblPr>
      <w:tblGrid>
        <w:gridCol w:w="912"/>
        <w:gridCol w:w="801"/>
        <w:gridCol w:w="806"/>
        <w:gridCol w:w="211"/>
        <w:gridCol w:w="826"/>
        <w:gridCol w:w="109"/>
        <w:gridCol w:w="109"/>
        <w:gridCol w:w="109"/>
        <w:gridCol w:w="109"/>
        <w:gridCol w:w="211"/>
        <w:gridCol w:w="826"/>
        <w:gridCol w:w="109"/>
        <w:gridCol w:w="109"/>
        <w:gridCol w:w="109"/>
        <w:gridCol w:w="109"/>
        <w:gridCol w:w="211"/>
        <w:gridCol w:w="976"/>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Reserves at June 30, 2026</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IBNR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856,853 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1,056,296 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Sources and Uses of Funds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Our sources of funds consist primarily of premiums written, investment income, reinsurance recoveries, proceeds from sales and redemptions of investments, borrowings on our credit facilities, and the issuance of common shares and Series A Preferred Shares. We use operating cash flows primarily to pay operating expenses, losses and loss adjustment expenses, reinsurance premiums, and income taxes. Cash flow from operations may differ substantially from net income. The potential for a large claim under an insurance contract means that substantial and unpredictable payments may need to be made within relatively short periods of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w:t>
      </w:r>
    </w:p>
    <w:tbl>
      <w:tblPr>
        <w:tblW w:w="8093" w:type="dxa"/>
        <w:jc w:val="left"/>
        <w:tblInd w:w="0" w:type="dxa"/>
        <w:tblLayout w:type="fixed"/>
        <w:tblCellMar>
          <w:top w:w="28" w:type="dxa"/>
          <w:left w:w="28" w:type="dxa"/>
          <w:bottom w:w="28" w:type="dxa"/>
          <w:right w:w="28" w:type="dxa"/>
        </w:tblCellMar>
      </w:tblPr>
      <w:tblGrid>
        <w:gridCol w:w="1950"/>
        <w:gridCol w:w="1712"/>
        <w:gridCol w:w="1722"/>
        <w:gridCol w:w="211"/>
        <w:gridCol w:w="796"/>
        <w:gridCol w:w="109"/>
        <w:gridCol w:w="109"/>
        <w:gridCol w:w="109"/>
        <w:gridCol w:w="109"/>
        <w:gridCol w:w="211"/>
        <w:gridCol w:w="901"/>
        <w:gridCol w:w="154"/>
      </w:tblGrid>
      <w:tr>
        <w:trPr/>
        <w:tc>
          <w:tcPr>
            <w:tcW w:w="1950"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provided by (used in):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 (excluding restricted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and cash equivalents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(142,304)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restricted cash equivalents (operating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 equivalents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(141,688)</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operating activities excluding restricted cash equivalents was $5.9 million for the six months ended June 30, 2026. This compares to cash used in operating activities excluding restricted cash equivalents of $26.9 million for the six months ended June 30, 2025. Both periods reflect lower premium collections in the Specialty Admitted Insurance segment due to the non-renewal of several programs. The prior year period was also negatively impacted by timing of reinsurance settlements.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was $53.8 million and $133.7 million for the six months ended June 30, 2026 and 2025, respectively, reflecting the Company's efforts to enhance the yield in our investment portfolio by investing available cash and cash equivalents into higher yielding investments. Cash and cash equivalents excluding restricted cash equivalents represented 10.1% and 11.4% of total cash and invested assets at June 30, 2026 and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of $5.6 million for the six months ended June 30, 2026 includes $985,000 of dividends paid to common shareholders, $3.9 million of dividends paid on the Series A Preferred Shares, and $677,000 of payroll taxes withheld and remitted on net settlement of RSUs. Cash provided by financing activities of $18.3 million for the six months ended June 30, 2025 includes a $25.0 million borrowing under the Previous Credit Agreement (as defined below), $1.1 million of dividends paid to common shareholders, $3.9 million of dividends paid on the Series A Preferred Shares, and $550,000 of payroll taxes withheld and remitted on net settlement of RSUs.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activity in restricted cash equivalents for the six months ended June 30, 2026 and 2025 relates to a former insured, per the terms of a collateral trust. See </w:t>
      </w:r>
      <w:r>
        <w:rPr>
          <w:rFonts w:ascii="Times New Roman;serif" w:hAnsi="Times New Roman;serif"/>
          <w:b w:val="false"/>
          <w:i/>
          <w:color w:val="000000"/>
          <w:sz w:val="20"/>
        </w:rPr>
        <w:t xml:space="preserve">Amounts Recoverable from an Indemnifying Party and Reinsurer on Legacy Commercial Auto Book </w:t>
      </w:r>
      <w:r>
        <w:rPr>
          <w:rFonts w:ascii="Times New Roman;serif" w:hAnsi="Times New Roman;serif"/>
          <w:b w:val="false"/>
          <w:color w:val="000000"/>
          <w:sz w:val="20"/>
        </w:rPr>
        <w:t>below.</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Our operations are conducted by our wholly-owned subsidiaries. Accordingly, our holding companies may receive cash through loans from banks, issuance of equity and debt securities, corporate service fees, dividends received from our subsidiaries, or through payments from our subsidiaries pursuant to our consolidated tax allocation agreement.</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payment of dividends by our subsidiaries to us is limited by statute. In general, the laws and regulations applicable to our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On March 31, 2026, James River Insurance paid a $30.0 million dividend to its parent, James River Group. The remaining amount of dividends available to our holding companies from our insurance subsidiaries during 2026 without regulatory approval is $66.1 million.</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Holders of the Series A Preferred Shares are entitled to a dividend at the rate of 7% of the $1,000 liquidation preference per share (the “Liquidation Preference”) per annum, paid in cash, in-kind in common stock or in Series A Preferred Shares, at our election. On October 1, 2029, and each five-year anniversary thereafter, the dividend rate will reset to a rate equal to the five-year U.S. treasury rate plus 5.2%, provided, that the dividend rate shall not exceed 8.0%. Dividends accrue and are payable quarterly. Cash dividends of $3.9 million were paid in each of the six months ended June 30, 2026 and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our holding companies had $16.6 million of cash and invested assets, comprised of cash and cash equivalents of $16.2 million and other invested assets of $369,000, which are not subject to regulatory restrictions.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Credit Agreements</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On June 12, 2025, the Company entered into a Credit Agreement (the “Credit Agreement”). The Credit Agreement replaced the Company’s </w:t>
      </w:r>
      <w:r>
        <w:rPr>
          <w:rFonts w:ascii="Times New Roman;serif" w:hAnsi="Times New Roman;serif"/>
          <w:b w:val="false"/>
          <w:color w:val="000000"/>
          <w:sz w:val="20"/>
        </w:rPr>
        <w:t>Third Amended and Restated Credit Agreement dated July 7, 2023 (the “</w:t>
      </w:r>
      <w:r>
        <w:rPr>
          <w:rFonts w:ascii="Times New Roman;serif" w:hAnsi="Times New Roman;serif"/>
          <w:b w:val="false"/>
          <w:color w:val="231F20"/>
          <w:sz w:val="20"/>
        </w:rPr>
        <w:t>Previous Credit Agreement</w:t>
      </w:r>
      <w:r>
        <w:rPr>
          <w:color w:val="000000"/>
        </w:rPr>
        <w:t>”</w:t>
      </w:r>
      <w:r>
        <w:rPr>
          <w:rFonts w:ascii="Times New Roman;serif" w:hAnsi="Times New Roman;serif"/>
          <w:b w:val="false"/>
          <w:color w:val="231F20"/>
          <w:sz w:val="20"/>
        </w:rPr>
        <w:t xml:space="preserve">), which provided for a </w:t>
      </w:r>
      <w:r>
        <w:rPr>
          <w:rFonts w:ascii="Times New Roman;serif" w:hAnsi="Times New Roman;serif"/>
          <w:b w:val="false"/>
          <w:color w:val="000000"/>
          <w:sz w:val="20"/>
        </w:rPr>
        <w:t>$212.5 million</w:t>
      </w:r>
      <w:r>
        <w:rPr>
          <w:color w:val="231F20"/>
        </w:rPr>
        <w:t xml:space="preserve"> </w:t>
      </w:r>
      <w:r>
        <w:rPr>
          <w:rFonts w:ascii="Times New Roman;serif" w:hAnsi="Times New Roman;serif"/>
          <w:b w:val="false"/>
          <w:color w:val="231F20"/>
          <w:sz w:val="20"/>
        </w:rPr>
        <w:t xml:space="preserve">unsecured revolving credit facility and a </w:t>
      </w:r>
      <w:r>
        <w:rPr>
          <w:rFonts w:ascii="Times New Roman;serif" w:hAnsi="Times New Roman;serif"/>
          <w:b w:val="false"/>
          <w:color w:val="000000"/>
          <w:sz w:val="20"/>
        </w:rPr>
        <w:t>$45.0 million</w:t>
      </w:r>
      <w:r>
        <w:rPr>
          <w:color w:val="231F20"/>
        </w:rPr>
        <w:t xml:space="preserve"> </w:t>
      </w:r>
      <w:r>
        <w:rPr>
          <w:rFonts w:ascii="Times New Roman;serif" w:hAnsi="Times New Roman;serif"/>
          <w:b w:val="false"/>
          <w:color w:val="231F20"/>
          <w:sz w:val="20"/>
        </w:rPr>
        <w:t>secured revolving credit facility.</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The Credit Agreement provides for a </w:t>
      </w:r>
      <w:r>
        <w:rPr>
          <w:rFonts w:ascii="Times New Roman;serif" w:hAnsi="Times New Roman;serif"/>
          <w:b w:val="false"/>
          <w:color w:val="000000"/>
          <w:sz w:val="20"/>
        </w:rPr>
        <w:t>$212.5 million</w:t>
      </w:r>
      <w:r>
        <w:rPr>
          <w:color w:val="231F20"/>
        </w:rPr>
        <w:t xml:space="preserve"> </w:t>
      </w:r>
      <w:r>
        <w:rPr>
          <w:rFonts w:ascii="Times New Roman;serif" w:hAnsi="Times New Roman;serif"/>
          <w:b w:val="false"/>
          <w:color w:val="231F20"/>
          <w:sz w:val="20"/>
        </w:rPr>
        <w:t>unsecured revolving credit facility available for general corporate purposes and matures on June 12, 2028. Following the sale of JRG Re, the Company no longer had a need for the secured revolving credit facility provided by the Previous Credit Agreement. The interest rates applicable to the loans under the Credit Agreement are generally based on the Secured Overnight Financing Rate (“SOFR”) plus a specified margin (</w:t>
      </w:r>
      <w:r>
        <w:rPr>
          <w:rFonts w:ascii="Times New Roman;serif" w:hAnsi="Times New Roman;serif"/>
          <w:b w:val="false"/>
          <w:color w:val="000000"/>
          <w:sz w:val="20"/>
        </w:rPr>
        <w:t xml:space="preserve">2.75% at </w:t>
      </w:r>
      <w:r>
        <w:rPr>
          <w:rFonts w:ascii="Times New Roman;serif" w:hAnsi="Times New Roman;serif"/>
          <w:b w:val="false"/>
          <w:color w:val="231F20"/>
          <w:sz w:val="20"/>
        </w:rPr>
        <w:t>June 30, 2026</w:t>
      </w:r>
      <w:r>
        <w:rPr>
          <w:rFonts w:ascii="Times New Roman;serif" w:hAnsi="Times New Roman;serif"/>
          <w:b w:val="false"/>
          <w:color w:val="000000"/>
          <w:sz w:val="20"/>
        </w:rPr>
        <w:t xml:space="preserve">) </w:t>
      </w:r>
      <w:r>
        <w:rPr>
          <w:rFonts w:ascii="Times New Roman;serif" w:hAnsi="Times New Roman;serif"/>
          <w:b w:val="false"/>
          <w:color w:val="231F20"/>
          <w:sz w:val="20"/>
        </w:rPr>
        <w:t>based on the Company’s Leverage Ratio (as defined in the Credit Agreement). In addition, the Company will pay an unused facility fee on each lender’s commitment (</w:t>
      </w:r>
      <w:r>
        <w:rPr>
          <w:rFonts w:ascii="Times New Roman;serif" w:hAnsi="Times New Roman;serif"/>
          <w:b w:val="false"/>
          <w:color w:val="000000"/>
          <w:sz w:val="20"/>
        </w:rPr>
        <w:t xml:space="preserve">0.3% at </w:t>
      </w:r>
      <w:r>
        <w:rPr>
          <w:rFonts w:ascii="Times New Roman;serif" w:hAnsi="Times New Roman;serif"/>
          <w:b w:val="false"/>
          <w:color w:val="231F20"/>
          <w:sz w:val="20"/>
        </w:rPr>
        <w:t>June 30, 2026</w:t>
      </w:r>
      <w:r>
        <w:rPr>
          <w:rFonts w:ascii="Times New Roman;serif" w:hAnsi="Times New Roman;serif"/>
          <w:b w:val="false"/>
          <w:color w:val="000000"/>
          <w:sz w:val="20"/>
        </w:rPr>
        <w:t>)</w:t>
      </w:r>
      <w:r>
        <w:rPr>
          <w:rFonts w:ascii="Times New Roman;serif" w:hAnsi="Times New Roman;serif"/>
          <w:b w:val="false"/>
          <w:color w:val="231F20"/>
          <w:sz w:val="20"/>
        </w:rPr>
        <w:t>.</w:t>
      </w:r>
    </w:p>
    <w:p>
      <w:pPr>
        <w:pStyle w:val="TextBody"/>
        <w:bidi w:val="0"/>
        <w:spacing w:lineRule="auto" w:line="288" w:before="0" w:after="120"/>
        <w:ind w:left="0" w:right="0" w:firstLine="360"/>
        <w:jc w:val="both"/>
        <w:rPr/>
      </w:pPr>
      <w:r>
        <w:rPr>
          <w:rFonts w:ascii="Times New Roman;serif" w:hAnsi="Times New Roman;serif"/>
          <w:b w:val="false"/>
          <w:color w:val="231F20"/>
          <w:sz w:val="20"/>
        </w:rPr>
        <w:t>At</w:t>
      </w:r>
      <w:r>
        <w:rPr>
          <w:color w:val="000000"/>
        </w:rPr>
        <w:t xml:space="preserve"> </w:t>
      </w:r>
      <w:r>
        <w:rPr>
          <w:rFonts w:ascii="Times New Roman;serif" w:hAnsi="Times New Roman;serif"/>
          <w:b w:val="false"/>
          <w:color w:val="231F20"/>
          <w:sz w:val="20"/>
        </w:rPr>
        <w:t>June 30, 2026</w:t>
      </w:r>
      <w:r>
        <w:rPr>
          <w:rFonts w:ascii="Times New Roman;serif" w:hAnsi="Times New Roman;serif"/>
          <w:b w:val="false"/>
          <w:color w:val="000000"/>
          <w:sz w:val="20"/>
        </w:rPr>
        <w:t>, the Company had a drawn balance of $210.8 million outstanding under the Credit Agreement, including $25.0 million previously borrowed on January 27, 2025 under the Previous Credit Agreement which was contributed to our regulated insurance entities.</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The Credit Agreement provides for an accordion feature that permits the Company to request that one or more lenders (without the consent of the other lenders) or new financial institutions (with the consent of the Administrative Agent) provide it with increases in the credit facility of up to an aggregate of </w:t>
      </w:r>
      <w:r>
        <w:rPr>
          <w:rFonts w:ascii="Times New Roman;serif" w:hAnsi="Times New Roman;serif"/>
          <w:b w:val="false"/>
          <w:color w:val="000000"/>
          <w:sz w:val="20"/>
        </w:rPr>
        <w:t>$30.0 million</w:t>
      </w:r>
      <w:r>
        <w:rPr>
          <w:rFonts w:ascii="Times New Roman;serif" w:hAnsi="Times New Roman;serif"/>
          <w:b w:val="false"/>
          <w:color w:val="231F20"/>
          <w:sz w:val="20"/>
        </w:rPr>
        <w:t>, subject to satisfaction of certain conditions.</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The Credit Agreement contains customary representations and warranties, affirmative and negative covenants and events of default. The Credit Agreement also includes financial covenants, including a maximum leverage ratio and minimum consolidated net worth, risk-based capital ratio and financial strength rating requirements </w:t>
      </w:r>
      <w:r>
        <w:rPr>
          <w:rFonts w:ascii="Times New Roman;serif" w:hAnsi="Times New Roman;serif"/>
          <w:b w:val="false"/>
          <w:color w:val="000000"/>
          <w:sz w:val="20"/>
        </w:rPr>
        <w:t xml:space="preserve">with which the Company was in compliance at </w:t>
      </w:r>
      <w:r>
        <w:rPr>
          <w:rFonts w:ascii="Times New Roman;serif" w:hAnsi="Times New Roman;serif"/>
          <w:b w:val="false"/>
          <w:color w:val="231F20"/>
          <w:sz w:val="20"/>
        </w:rPr>
        <w:t>June 30, 2026.</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In connection with the Credit Agreement, James River Group entered into a Continuing Guaranty of Payment dated June 12, 2025 pursuant to which James River Group guarantees the payment and performance of the Company’s obligations under the Credit Agreement and other loan documents.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Senior Debt and Trust Preferred Securities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26, 2004, we issued $15.0 million of senior debt due April 29, 2034. The senior debt is not redeemable by the holder or subject to sinking fund requirements. Interest accrues quarterly and is payable in arrears at a floating rate per annum equal to the 3-month SOFR plus 4.11%. This senior debt is redeemable at par prior to its stated maturity at our option in whole or in part. The terms of the senior debt contain certain covenants, with which we are in compliance at June 30, 2026, and which, among other things, restrict our ability to issue senior indebtedness secured by James River Group’s common stock or its subsidiaries’ capital stock or to issue shares of its subsidiaries’ capital stock.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nature and terms of the junior subordinated debt and trust preferred securities outstanding at June 30, 2026 (including the Company’s repurchases of a portion of these trust preferred securities):</w:t>
      </w:r>
    </w:p>
    <w:tbl>
      <w:tblPr>
        <w:tblW w:w="10205" w:type="dxa"/>
        <w:jc w:val="left"/>
        <w:tblInd w:w="0" w:type="dxa"/>
        <w:tblLayout w:type="fixed"/>
        <w:tblCellMar>
          <w:top w:w="28" w:type="dxa"/>
          <w:left w:w="28" w:type="dxa"/>
          <w:bottom w:w="28" w:type="dxa"/>
          <w:right w:w="28" w:type="dxa"/>
        </w:tblCellMar>
      </w:tblPr>
      <w:tblGrid>
        <w:gridCol w:w="1180"/>
        <w:gridCol w:w="889"/>
        <w:gridCol w:w="902"/>
        <w:gridCol w:w="364"/>
        <w:gridCol w:w="364"/>
        <w:gridCol w:w="339"/>
        <w:gridCol w:w="109"/>
        <w:gridCol w:w="109"/>
        <w:gridCol w:w="109"/>
        <w:gridCol w:w="494"/>
        <w:gridCol w:w="416"/>
        <w:gridCol w:w="367"/>
        <w:gridCol w:w="109"/>
        <w:gridCol w:w="109"/>
        <w:gridCol w:w="109"/>
        <w:gridCol w:w="364"/>
        <w:gridCol w:w="364"/>
        <w:gridCol w:w="339"/>
        <w:gridCol w:w="109"/>
        <w:gridCol w:w="109"/>
        <w:gridCol w:w="109"/>
        <w:gridCol w:w="494"/>
        <w:gridCol w:w="416"/>
        <w:gridCol w:w="367"/>
        <w:gridCol w:w="109"/>
        <w:gridCol w:w="109"/>
        <w:gridCol w:w="109"/>
        <w:gridCol w:w="398"/>
        <w:gridCol w:w="350"/>
        <w:gridCol w:w="490"/>
      </w:tblGrid>
      <w:tr>
        <w:trPr/>
        <w:tc>
          <w:tcPr>
            <w:tcW w:w="118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James River</w:t>
              <w:br/>
              <w:t>Capital</w:t>
              <w:br/>
              <w:t>Trust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James River</w:t>
              <w:br/>
              <w:t>Capital</w:t>
              <w:br/>
              <w:t>Trust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James River</w:t>
              <w:br/>
              <w:t>Capital</w:t>
              <w:br/>
              <w:t>Trust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James River</w:t>
              <w:br/>
              <w:t>Capital</w:t>
              <w:br/>
              <w:t>Trust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Franklin</w:t>
              <w:br/>
              <w:t>Holdings II</w:t>
              <w:br/>
              <w:t>(Bermuda)</w:t>
              <w:br/>
              <w:t>Capital</w:t>
              <w:br/>
              <w:t>Trust I</w:t>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Issue date</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26, 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15, 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15,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11,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10, 2008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Principal amount of trust preferred securities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$30,000</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Principal amount of junior subordinated debt</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$30,928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Carrying amount of junior subordinated debt net of repurchases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$15,928</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Maturity date of junior subordinated debt, unless accelerated earlier</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24,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15,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15,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15, 2037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15, 2038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common stock</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$928</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per annum</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Three-Month</w:t>
              <w:br/>
              <w:t>SOFR plus</w:t>
              <w:b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Three-Month</w:t>
              <w:br/>
              <w:t>SOFR plus</w:t>
              <w:b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Three-Month</w:t>
              <w:br/>
              <w:t>SOFR plus</w:t>
              <w:b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Three-Month</w:t>
              <w:br/>
              <w:t>SOFR plus</w:t>
              <w:b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Three-Month</w:t>
              <w:br/>
              <w:t>SOFR plus</w:t>
              <w:br/>
              <w:t>4.3%</w:t>
            </w:r>
          </w:p>
        </w:tc>
      </w:tr>
    </w:tbl>
    <w:p>
      <w:pPr>
        <w:pStyle w:val="TextBody"/>
        <w:bidi w:val="0"/>
        <w:spacing w:lineRule="auto" w:line="288" w:before="10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the junior subordinated debt is currently redeemable at 100.0% of the unpaid principal amount at our option.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junior subordinated debt contains certain covenants with which we are in compliance as of June 30, 2026.</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Company's leverage ratio was 27.6% and 27.5%, respectively. The leverage ratio is defined in our Credit Agreement as the ratio of adjusted consolidated debt to total capital. Adjusted consolidated debt treats trust preferred securities as equity capital up to 15% of total capital. The Series A Preferred Shares represent equity capital for purposes of the leverage ratio calculation under the credit agreements. Total capital is defined as total debt plus tangible equity excluding accumulated other comprehensive income. The maximum leverage ratio permitted by the agreements is 35.0%.</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James River Insurance has access to certain credit products including advances through its membership in the Federal Home Loan Bank. Any advances would be in the form of collateralized short-term borrowings not to exceed 30% of the Company's total assets.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Ceded Reinsurance</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proportional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proportional quota share reinsurance, the reinsurer agrees to assume a specified percentage of the ceding company’s losses arising out of a defined class of business in exchange for a corresponding percentage of premiums. These proportional quota share reinsurance agreements generally include a ceding commission paid by the reinsurer to the Company to cover acquisition costs associated with the insurance ceded. The Company also utilizes facultative reinsurance to reduce the amount of exposure it retains on individual accounts according to its guidelines for accepting risk across various industry segments, locations and types of exposure. For the six months ended June 30, 2026 and 2025, our net premium retention was 53.1% and 45.2%, respectively.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our Excess &amp; Surplus Lines segment’s ceded reinsurance in place as of June 30, 2026:</w:t>
      </w:r>
    </w:p>
    <w:tbl>
      <w:tblPr>
        <w:tblW w:w="5170" w:type="dxa"/>
        <w:jc w:val="left"/>
        <w:tblInd w:w="0" w:type="dxa"/>
        <w:tblLayout w:type="fixed"/>
        <w:tblCellMar>
          <w:top w:w="28" w:type="dxa"/>
          <w:left w:w="28" w:type="dxa"/>
          <w:bottom w:w="28" w:type="dxa"/>
          <w:right w:w="28" w:type="dxa"/>
        </w:tblCellMar>
      </w:tblPr>
      <w:tblGrid>
        <w:gridCol w:w="596"/>
        <w:gridCol w:w="525"/>
        <w:gridCol w:w="528"/>
        <w:gridCol w:w="109"/>
        <w:gridCol w:w="109"/>
        <w:gridCol w:w="109"/>
        <w:gridCol w:w="933"/>
        <w:gridCol w:w="933"/>
        <w:gridCol w:w="1328"/>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Line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Company Retention</w:t>
            </w:r>
          </w:p>
        </w:tc>
      </w:tr>
      <w:tr>
        <w:trPr/>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Casualty</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Casualty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Up to $3.6 million per occurrence.</w:t>
            </w:r>
            <w:r>
              <w:rPr>
                <w:rFonts w:ascii="Times New Roman;serif" w:hAnsi="Times New Roman;serif"/>
                <w:b w:val="false"/>
                <w:color w:val="000000"/>
                <w:sz w:val="13"/>
              </w:rPr>
              <w:t>(1)</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Primary Casualty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Up to $1.46 million per occurrence.</w:t>
            </w:r>
            <w:r>
              <w:rPr>
                <w:rFonts w:ascii="Times New Roman;serif" w:hAnsi="Times New Roman;serif"/>
                <w:b w:val="false"/>
                <w:color w:val="000000"/>
                <w:sz w:val="13"/>
              </w:rPr>
              <w:t>(2)</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Casualty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Up to $2.38 million per occurrence.</w:t>
            </w:r>
            <w:r>
              <w:rPr>
                <w:rFonts w:ascii="Times New Roman;serif" w:hAnsi="Times New Roman;serif"/>
                <w:b w:val="false"/>
                <w:color w:val="000000"/>
                <w:sz w:val="13"/>
              </w:rPr>
              <w:t>(3)</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Up to $5.0 million per risk.</w:t>
            </w:r>
            <w:r>
              <w:rPr>
                <w:rFonts w:ascii="Times New Roman;serif" w:hAnsi="Times New Roman;serif"/>
                <w:b w:val="false"/>
                <w:color w:val="000000"/>
                <w:sz w:val="13"/>
              </w:rPr>
              <w:t>(4)</w:t>
            </w:r>
          </w:p>
        </w:tc>
      </w:tr>
    </w:tbl>
    <w:p>
      <w:pPr>
        <w:pStyle w:val="TextBody"/>
        <w:bidi w:val="0"/>
        <w:spacing w:lineRule="auto" w:line="288" w:before="0" w:after="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(1)    Excluding Excess Casualty.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(2)    Total exposure to any one claim is generally $730,000.</w:t>
      </w:r>
    </w:p>
    <w:p>
      <w:pPr>
        <w:pStyle w:val="TextBody"/>
        <w:bidi w:val="0"/>
        <w:spacing w:lineRule="auto" w:line="288" w:before="0" w:after="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(3)    Except up to $3.38 million for two large habitational accounts.</w:t>
      </w:r>
    </w:p>
    <w:p>
      <w:pPr>
        <w:pStyle w:val="TextBody"/>
        <w:bidi w:val="0"/>
        <w:spacing w:lineRule="auto" w:line="288" w:before="0" w:after="18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(4)    The property catastrophe reinsurance treaty has a limit of $25.0 million per event with one reinstatement.</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In our Excess &amp; Surplus Lines segment, we write a small book of excess property insurance, but we do not write primary property insurance. The Excess &amp; Surplus Lines segment has a specific proportional quota share treaty in effect to cover property risks. The proportional quota share treaty along with facultative reinsurance helps ensure that our net retained limit per risk will be $5.0 million or less.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Some of our reinsurance treaties are subject to reinstatement premiums. In particular, a specialty casualty treaty in our Excess &amp; Surplus Lines segment providing $9.0 million in excess of $2.0 million coverage is subject to reinstatement premiums for treaty years spanning July 1, 2016 through July 1, 2022. Reinstatement premiums on this treaty are subject to aggregate caps for each treaty year, and once the cap is reached, we are no longer required to pay a reinstatement premium in order to reinstate the limit under this treaty. At June 30, 2026, we have less than $10.0 million of remaining exposure to additional reinstatement premiums on this specialty casualty treaty.</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Some of our reinsurance treaties are subject to loss ratio caps or aggregate limits. As of June 30, 2026, ceded losses to our reinsurance treaties were within these caps and aggregate limits, where applicable.</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Based upon the property catastrophe modeling of our Excess &amp; Surplus Lines and Specialty Admitted Insurance segments, it would take an event greater than the 1 in 1,000 year PML to exhaust our $25.0 million property catastrophe reinsurance. In the event of a catastrophe loss exhausting our $25.0 million property catastrophe reinsurance, we estimate our pre-tax cost would not exceed 2.5% of shareholders’ equity, including reinstatement premiums and net retentions. In addition to this retention, we would retain any losses in excess of our reinsurance coverage limits.</w:t>
      </w:r>
    </w:p>
    <w:p>
      <w:pPr>
        <w:pStyle w:val="TextBody"/>
        <w:bidi w:val="0"/>
        <w:spacing w:lineRule="auto" w:line="288" w:before="0" w:after="120"/>
        <w:ind w:left="0" w:right="0" w:firstLine="405"/>
        <w:jc w:val="both"/>
        <w:rPr/>
      </w:pPr>
      <w:r>
        <w:rPr>
          <w:rFonts w:ascii="Times New Roman;serif" w:hAnsi="Times New Roman;serif"/>
          <w:b w:val="false"/>
          <w:color w:val="000000"/>
          <w:sz w:val="20"/>
        </w:rPr>
        <w:t>The Commercial Auto LPT with Aleka reinsures substantially all of the Excess &amp; Surplus Lines segment’s legacy portfolio of commercial auto policies previously issued to Rasier. See “</w:t>
      </w:r>
      <w:r>
        <w:rPr>
          <w:rFonts w:ascii="Times New Roman;serif" w:hAnsi="Times New Roman;serif"/>
          <w:b w:val="false"/>
          <w:i/>
          <w:color w:val="000000"/>
          <w:sz w:val="20"/>
        </w:rPr>
        <w:t>Amounts Recoverable from an Indemnifying Party and Reinsurer on Legacy Commercial Auto Book</w:t>
      </w:r>
      <w:r>
        <w:rPr>
          <w:color w:val="000000"/>
        </w:rPr>
        <w:t xml:space="preserve">” </w:t>
      </w:r>
      <w:r>
        <w:rPr>
          <w:rFonts w:ascii="Times New Roman;serif" w:hAnsi="Times New Roman;serif"/>
          <w:b w:val="false"/>
          <w:color w:val="000000"/>
          <w:sz w:val="20"/>
        </w:rPr>
        <w:t>below for further information on this reinsurance agreement.</w:t>
      </w:r>
    </w:p>
    <w:p>
      <w:pPr>
        <w:pStyle w:val="TextBody"/>
        <w:bidi w:val="0"/>
        <w:spacing w:lineRule="auto" w:line="288" w:before="0" w:after="120"/>
        <w:ind w:left="0" w:right="0" w:firstLine="360"/>
        <w:jc w:val="both"/>
        <w:rPr/>
      </w:pPr>
      <w:r>
        <w:rPr>
          <w:rFonts w:ascii="Times New Roman;serif" w:hAnsi="Times New Roman;serif"/>
          <w:b w:val="false"/>
          <w:color w:val="000000"/>
          <w:sz w:val="20"/>
        </w:rPr>
        <w:t>The E&amp;S ADC with State National reinsures James River’s Excess &amp; Surplus Lines segment casualty portfolio losses attaching to premium earned during 2010-2023 (both years inclusive), excluding, among others, losses related to commercial auto policies issued to a former large insured or its affiliates. See “</w:t>
      </w:r>
      <w:r>
        <w:rPr>
          <w:rFonts w:ascii="Times New Roman;serif" w:hAnsi="Times New Roman;serif"/>
          <w:b w:val="false"/>
          <w:i/>
          <w:color w:val="000000"/>
          <w:sz w:val="20"/>
        </w:rPr>
        <w:t>Combined Loss Portfolio Transfer and Adverse Development Cover</w:t>
      </w:r>
      <w:r>
        <w:rPr>
          <w:color w:val="000000"/>
        </w:rPr>
        <w:t xml:space="preserve">” </w:t>
      </w:r>
      <w:r>
        <w:rPr>
          <w:rFonts w:ascii="Times New Roman;serif" w:hAnsi="Times New Roman;serif"/>
          <w:b w:val="false"/>
          <w:color w:val="000000"/>
          <w:sz w:val="20"/>
        </w:rPr>
        <w:t>above for further information on this reinsurance agreement.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E&amp;S Top Up ADC with Enstar, through its subsidiary Cavello Bay Reinsurance Limited, reinsures 100% of the losses associated with James River’s Excess &amp; Surplus Lines segment portfolio losses attaching to premium earned during 2010-2023 (both years inclusive). This agreement excludes losses related to commercial auto policies issued to a former large insured or its affiliates. It is subject to a retention by James River of $1,183.7 million (the limit of the E&amp;S ADC) and up to an aggregate limit of $75.0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our Specialty Admitted Insurance segment’s ceded reinsurance in place as of June 30, 2026:</w:t>
      </w:r>
    </w:p>
    <w:tbl>
      <w:tblPr>
        <w:tblW w:w="10205" w:type="dxa"/>
        <w:jc w:val="left"/>
        <w:tblInd w:w="0" w:type="dxa"/>
        <w:tblLayout w:type="fixed"/>
        <w:tblCellMar>
          <w:top w:w="28" w:type="dxa"/>
          <w:left w:w="28" w:type="dxa"/>
          <w:bottom w:w="28" w:type="dxa"/>
          <w:right w:w="28" w:type="dxa"/>
        </w:tblCellMar>
      </w:tblPr>
      <w:tblGrid>
        <w:gridCol w:w="830"/>
        <w:gridCol w:w="731"/>
        <w:gridCol w:w="726"/>
        <w:gridCol w:w="109"/>
        <w:gridCol w:w="109"/>
        <w:gridCol w:w="109"/>
        <w:gridCol w:w="2215"/>
        <w:gridCol w:w="2215"/>
        <w:gridCol w:w="3161"/>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Line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Coverage</w:t>
            </w:r>
          </w:p>
        </w:tc>
      </w:tr>
      <w:tr>
        <w:trPr/>
        <w:tc>
          <w:tcPr>
            <w:tcW w:w="22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Casualty</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programs are quota share coverage for 100% of limits up to $1.0 million liability and $1.0 million physical damage per occurrence; except for one program with a primary limit of $750,000 liability.</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Liability &amp; Professional Liability –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Quota share coverage for 100% of limits up to $1.0 million per occurrence.</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Umbrella and Excess Casualty -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Quota share coverage for 100% of limits up to $25.0 million per occurrence.</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within Package -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Uncapped quota share coverage for 100% of limits.</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Quota share coverage for 100% of limits up to $45.0 million per occurrence.</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Aviation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Quota share coverage for 90.0% of limits up to $25.0 million liability, $10.0 million hull, and $10.0 million spares per occurrence, each aircraft; and excess of loss coverage for up to $4.3 million excess of $150,000 of our 10.0% share of the quota share each occurrence.</w:t>
            </w:r>
          </w:p>
        </w:tc>
      </w:tr>
    </w:tbl>
    <w:p>
      <w:pPr>
        <w:pStyle w:val="TextBody"/>
        <w:bidi w:val="0"/>
        <w:spacing w:lineRule="auto" w:line="288" w:before="12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Our Specialty Admitted Insurance segment purchases reinsurance for at least 90.0% of the exposed limits on specialty admitted property-casualty business. While the segment focuses on casualty business, incidental property risk is incurred in the fronting and program business. The segment is covered for $25.0 million in excess of $5.0 million per occurrence to manage its property exposure to an approximate 1 in 1,000 year PML.</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In the aggregate, we believe our pre-tax group-wide PML from a 1 in 1,000 year property catastrophe event would not exceed 2.5% of shareholders’ equity, inclusive of reinstatement premiums payable.</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June 30, 2026, the allowance for credit losses on reinsurance recoverables was $1.7 million.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require collateral, in the form of a trust arrangement or letter of credit, to secure the obligations of the insurance entity for whom we are fronting.</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At June 30, 2026, we had reinsurance recoverables on unpaid losses of $2,032.0 million (net of a $1.7 million allowance for credit losses) and reinsurance recoverables on paid losses of $79.1 million, and all material recoverable amounts were from companies with A.M. Best ratings of “A-" (Excellent) or better, or are collateralized by the reinsurer for our benefit through letters of credit or funds on deposit in trust accounts.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Amounts Recoverable from an Indemnifying Party and Reinsurer on Legacy Commercial Auto Book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In addition, on September 27, 2021, James River entered into the Commercial Auto LPT with Aleka to reinsure substantially all of the Rasier Commercial Auto Policies for which James River is not otherwise indemnified by Rasier under the Indemnity Agreements.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Each of Rasier and Aleka are required to post collateral equal to 102% of James River's estimate of the respective party's obligations in trusts pursuant to the terms of the Indemnity Agreements and the Commercial Auto LPT, respectively. At June 30, 2026, the total balance of collateral securing Rasier's obligations under the Indemnity Agreements was $19.5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and Aleka's obligations under the Commercial Auto LPT was $8.2 million. At June 30, 2026, the total reinsurance recoverables under the Commercial Auto LPT was $7.7 million.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the collateral balances. In addition, the Company has credit exposure if its estimates of future losses and loss adjustment expenses and other amounts recoverable under the Indemnity Agreements and the Commercial Auto LPT, which are the basis for establishing the collateral balances, are lower than actual amounts paid or payable. The amount of the Company's credit exposure in any of these instances could be material. To mitigate these risks, the Company closely and frequently monitors its exposure compared to the collateral held, and requests additional collateral in accordance with the terms of the Commercial Auto LPT and Indemnity Agreements when its analysis indicates that it has uncollateralized exposure.</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Ratings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 Best Company financial strength rating for our group’s regulated insurance subsidiaries is “A-” (Excellent) with a negative outlook. This rating reflects A.M. Best’s opinion of our insurance subsidiaries’ financial strength, operating performance and ability to meet obligations to policyholders and is not an evaluation directed towards the protection of investors. The rating for our U.S. operating insurance companies of “A-” (Excellent) is the fourth highest rating of the thirteen ratings issued by A.M. Best and is assigned to insurers that have, in A.M. Best’s opinion, an excellent ability to meet their ongoing obligations to policyholders.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financial strength ratings assigned by A.M. Best have an impact on the ability of our insurance subsidiaries to attract and retain agents and brokers and on the risk profiles of the submissions for insurance that our subsidiaries receive. We believe the “A-” (Excellent) ratings assigned to our U.S. insurance subsidiaries allow our Excess &amp; Surplus Lines segment to actively pursue relationships with the agents and brokers identified in its marketing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Series A Preferred Shares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Company closed on the issuance and sale of 150,000 Series A Preferred Shares on March 1, 2022 for an aggregate purchase price of $150.0 million, or $1,000 per share, in a private placement. The Series A Preferred Shares are convertible into shares of common stock at the option of the holder at any time, or at the Company’s option under certain circumstances. Dividends on the Series A Preferred Shares accrue quarterly at the rate of 7% of the Liquidation Preference per annum, which may be paid in cash, in-kind in common stock or in Series A Preferred Shares, at the Company’s election.</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On November 11, 2024, the Company amended the Certificate of Designations setting forth the terms of the Series A Preferred Shares to, among other things, convert 37,500 outstanding Series A Preferred Shares with a liquidation value of $37.5 million to shares of common stock at a per share price of $6.40. Following the conversion, 112,500 Series A Preferred Shares remain outstanding.</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EQUITY</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Company issued 270,446 shares of common stock related to the vesting of restricted share units (“RSUs”) in the six months ended June 30, 2026, increasing the total shares of common stock outstanding from 45,968,584 at December 31, 2025 to 46,239,030 at June 30, 2026.</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Share Based Compensation Expense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$1.2 million and $2.7 million of share based compensation expense in the three and six months ended June 30, 2026, respectively ($834,000 and $3.5 million in the respective prior year periods). As of June 30, 2026, the Company had $9.9 million of unrecognized share based compensation expense expected to be charged to earnings over a weighted-average period of 2.3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w:t>
      </w:r>
    </w:p>
    <w:tbl>
      <w:tblPr>
        <w:tblW w:w="7854" w:type="dxa"/>
        <w:jc w:val="left"/>
        <w:tblInd w:w="0" w:type="dxa"/>
        <w:tblLayout w:type="fixed"/>
        <w:tblCellMar>
          <w:top w:w="28" w:type="dxa"/>
          <w:left w:w="28" w:type="dxa"/>
          <w:bottom w:w="28" w:type="dxa"/>
          <w:right w:w="28" w:type="dxa"/>
        </w:tblCellMar>
      </w:tblPr>
      <w:tblGrid>
        <w:gridCol w:w="939"/>
        <w:gridCol w:w="825"/>
        <w:gridCol w:w="830"/>
        <w:gridCol w:w="488"/>
        <w:gridCol w:w="488"/>
        <w:gridCol w:w="196"/>
        <w:gridCol w:w="109"/>
        <w:gridCol w:w="109"/>
        <w:gridCol w:w="109"/>
        <w:gridCol w:w="213"/>
        <w:gridCol w:w="622"/>
        <w:gridCol w:w="110"/>
        <w:gridCol w:w="109"/>
        <w:gridCol w:w="109"/>
        <w:gridCol w:w="109"/>
        <w:gridCol w:w="488"/>
        <w:gridCol w:w="488"/>
        <w:gridCol w:w="196"/>
        <w:gridCol w:w="109"/>
        <w:gridCol w:w="109"/>
        <w:gridCol w:w="109"/>
        <w:gridCol w:w="213"/>
        <w:gridCol w:w="622"/>
        <w:gridCol w:w="15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beginning of period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1,299,644 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1,316,294 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1,321,733 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(121,369)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 performance adjustment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end of period</w:t>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2,197,035 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1,723,321 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Outstanding RSUs granted to employees generally vest ratably over a three-year vesting period in the case of time-vest RSUs and cliff vest at the end of a three-year performance period in the case of PRSUs. RSUs granted to non-employee directors generally have a one year vesting period. The RSUs granted in 2026 and 2025 include 372,873 and 620,108 PRSU awards, respectively. Initial PRSU awards are granted at the 100% target performance level. The Company projects the level of achievement for each award during the performance period and periodically adjusts the number of outstanding awards to reflect the number of awards expected to vest.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Underwriting Performance Ratios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underwriting performance ratios of the Company's continuing operations inclusive of the impact of retroactive reinsurance accounting. There is no economic impact to the Company over the life of a retroactive reinsurance contract so long as any additional losses subject to the contract are within the limit of the contract and the counterparty performs under the contract. Retroactive reinsurance accounting is not indicative of our current and ongoing operations. Management believes that providing loss ratios and combined ratios on business excluding the impact of retroactive reinsurance accounting gives the users of our financial statements useful information in evaluating our current and ongoing operations.</w:t>
      </w:r>
    </w:p>
    <w:tbl>
      <w:tblPr>
        <w:tblW w:w="9851" w:type="dxa"/>
        <w:jc w:val="left"/>
        <w:tblInd w:w="0" w:type="dxa"/>
        <w:tblLayout w:type="fixed"/>
        <w:tblCellMar>
          <w:top w:w="28" w:type="dxa"/>
          <w:left w:w="28" w:type="dxa"/>
          <w:bottom w:w="28" w:type="dxa"/>
          <w:right w:w="28" w:type="dxa"/>
        </w:tblCellMar>
      </w:tblPr>
      <w:tblGrid>
        <w:gridCol w:w="1813"/>
        <w:gridCol w:w="1596"/>
        <w:gridCol w:w="1600"/>
        <w:gridCol w:w="307"/>
        <w:gridCol w:w="309"/>
        <w:gridCol w:w="333"/>
        <w:gridCol w:w="134"/>
        <w:gridCol w:w="134"/>
        <w:gridCol w:w="134"/>
        <w:gridCol w:w="307"/>
        <w:gridCol w:w="309"/>
        <w:gridCol w:w="333"/>
        <w:gridCol w:w="109"/>
        <w:gridCol w:w="109"/>
        <w:gridCol w:w="109"/>
        <w:gridCol w:w="307"/>
        <w:gridCol w:w="309"/>
        <w:gridCol w:w="292"/>
        <w:gridCol w:w="117"/>
        <w:gridCol w:w="117"/>
        <w:gridCol w:w="117"/>
        <w:gridCol w:w="307"/>
        <w:gridCol w:w="309"/>
        <w:gridCol w:w="340"/>
      </w:tblGrid>
      <w:tr>
        <w:trPr/>
        <w:tc>
          <w:tcPr>
            <w:tcW w:w="1813"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Excess &amp; Surplus Lines:</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retroactive reinsurance accounting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 including impact of retroactive reinsurance</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3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retroactive reinsurance accounting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 including impact of retroactive reinsurance</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3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w:t>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retroactive reinsurance accounting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 including impact of retroactive reinsurance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retroactive reinsurance accounting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 including impact of retroactive reinsurance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RECONCILIATION OF NON-GAAP MEASURES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See “Key Metrics” above for descriptions of why management believes the following Non-GAAP measures provide useful information about our financial condition and results of operation.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Reconciliation of Underwriting Profit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underwriting profit as net earned premiums and gross fee income (in specific instances when the Company is not retaining insurance risk) less losses and loss adjustment expenses on business from continuing operations not subject to retroactive reinsurance accounting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underwriting profit (loss) of the operating segments by individual segment to consolidated income (loss) before income taxes:</w:t>
      </w:r>
    </w:p>
    <w:tbl>
      <w:tblPr>
        <w:tblW w:w="10205" w:type="dxa"/>
        <w:jc w:val="left"/>
        <w:tblInd w:w="0" w:type="dxa"/>
        <w:tblLayout w:type="fixed"/>
        <w:tblCellMar>
          <w:top w:w="28" w:type="dxa"/>
          <w:left w:w="28" w:type="dxa"/>
          <w:bottom w:w="28" w:type="dxa"/>
          <w:right w:w="28" w:type="dxa"/>
        </w:tblCellMar>
      </w:tblPr>
      <w:tblGrid>
        <w:gridCol w:w="1855"/>
        <w:gridCol w:w="1628"/>
        <w:gridCol w:w="1636"/>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55"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profit (loss) of the operating segments: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underwriting profit of operating segments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of the Corporate and Other segment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Underwriting (loss) profit </w:t>
            </w:r>
            <w:r>
              <w:rPr>
                <w:rFonts w:ascii="Times New Roman;serif" w:hAnsi="Times New Roman;serif"/>
                <w:b w:val="false"/>
                <w:color w:val="000000"/>
                <w:sz w:val="16"/>
              </w:rPr>
              <w:t>(1)</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 retroactive reinsurance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gains (losses) on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23,336 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Times New Roman;serif" w:hAnsi="Times New Roman;serif"/>
          <w:b w:val="false"/>
          <w:i/>
          <w:color w:val="000000"/>
          <w:sz w:val="20"/>
        </w:rPr>
        <w:t>(1)Included in underwriting results for the three and six months ended June 30, 2026 is gross fee income of $977,000</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$2.5 million, respectively ($3.9 million</w:t>
      </w:r>
      <w:r>
        <w:rPr>
          <w:color w:val="000000"/>
        </w:rPr>
        <w:t xml:space="preserve"> </w:t>
      </w:r>
      <w:r>
        <w:rPr>
          <w:rFonts w:ascii="Times New Roman;serif" w:hAnsi="Times New Roman;serif"/>
          <w:b w:val="false"/>
          <w:i/>
          <w:color w:val="000000"/>
          <w:sz w:val="20"/>
        </w:rPr>
        <w:t>and $8.3 million in the respective prior year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Reconciliation of Adjusted Net Operating Income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net operating income is defined as income available to common shareholders excluding a) income (loss) from discontinued operations, b) the impact of retroactive reinsurance accounting, c) net realized and unrealized gains (losses) on investments, d) certain non-operating expenses such as professional service fees related to certain lawsuits, various strategic initiatives, and the filing of registration statements for the offering of securities, e) severance costs associated with terminated employees, f) deemed dividends recorded with the amendment of the Series A Preferred Shares, and g) the one-time tax benefit from Domestication for business interest expenses. Adjusted net operating income should not be viewed as a substitute for net income calculated in accordance with GAAP, and our definition of adjusted net operating income may not be comparable to that of other companies.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income available to common shareholders reconciles to our adjusted net operating income as follows:</w:t>
      </w:r>
    </w:p>
    <w:tbl>
      <w:tblPr>
        <w:tblW w:w="10205" w:type="dxa"/>
        <w:jc w:val="left"/>
        <w:tblInd w:w="0" w:type="dxa"/>
        <w:tblLayout w:type="fixed"/>
        <w:tblCellMar>
          <w:top w:w="28" w:type="dxa"/>
          <w:left w:w="28" w:type="dxa"/>
          <w:bottom w:w="28" w:type="dxa"/>
          <w:right w:w="28" w:type="dxa"/>
        </w:tblCellMar>
      </w:tblPr>
      <w:tblGrid>
        <w:gridCol w:w="1815"/>
        <w:gridCol w:w="1595"/>
        <w:gridCol w:w="16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1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Income</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available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 retroactive reinsurance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operating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tbl>
      <w:tblPr>
        <w:tblW w:w="10205" w:type="dxa"/>
        <w:jc w:val="left"/>
        <w:tblInd w:w="0" w:type="dxa"/>
        <w:tblLayout w:type="fixed"/>
        <w:tblCellMar>
          <w:top w:w="28" w:type="dxa"/>
          <w:left w:w="28" w:type="dxa"/>
          <w:bottom w:w="28" w:type="dxa"/>
          <w:right w:w="28" w:type="dxa"/>
        </w:tblCellMar>
      </w:tblPr>
      <w:tblGrid>
        <w:gridCol w:w="1769"/>
        <w:gridCol w:w="1553"/>
        <w:gridCol w:w="1561"/>
        <w:gridCol w:w="224"/>
        <w:gridCol w:w="766"/>
        <w:gridCol w:w="115"/>
        <w:gridCol w:w="109"/>
        <w:gridCol w:w="109"/>
        <w:gridCol w:w="109"/>
        <w:gridCol w:w="224"/>
        <w:gridCol w:w="766"/>
        <w:gridCol w:w="115"/>
        <w:gridCol w:w="109"/>
        <w:gridCol w:w="109"/>
        <w:gridCol w:w="109"/>
        <w:gridCol w:w="211"/>
        <w:gridCol w:w="721"/>
        <w:gridCol w:w="109"/>
        <w:gridCol w:w="109"/>
        <w:gridCol w:w="109"/>
        <w:gridCol w:w="109"/>
        <w:gridCol w:w="211"/>
        <w:gridCol w:w="721"/>
        <w:gridCol w:w="158"/>
      </w:tblGrid>
      <w:tr>
        <w:trPr/>
        <w:tc>
          <w:tcPr>
            <w:tcW w:w="1769"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 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Income</w:t>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available to common shareholders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 retroactive reinsurance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losses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operating income</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21,638 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15,830 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20,795 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Tangible Equity (per Share) and Tangible Common Equity (per Share)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Tangible equity is defined as shareholders' equity plus mezzanine Series A Preferred Shares and the deferred retroactive reinsurance gain less goodwill and intangible assets, net of amortization. Tangible equity per share represents tangible equity divided by the sum of total shares of common stock outstanding plus the shares of common stock resulting from an assumed conversion of the outstanding Series A Preferred Shares into common shares (at the conversion price effective as of the last day of the applicable period). Tangible common equity is defined as shareholders' equity plus the deferred retroactive reinsurance gain less goodwill and intangible assets, net of amortization. Tangible common equity per share represents tangible common equity divided by the total shares of common stock outstanding. Our definitions of tangible equity, tangible equity per share, tangible common equity and tangible common equity per share may not be comparable to that of other companies, and they should not be viewed as a substitute for shareholders’ equity and shareholders’ equity per share calculated in accordance with GAAP.</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shareholders’ equity to tangible common equity as of June 30, 2026, December 31, 2025, and June 30, 2025:</w:t>
      </w:r>
    </w:p>
    <w:tbl>
      <w:tblPr>
        <w:tblW w:w="10205" w:type="dxa"/>
        <w:jc w:val="left"/>
        <w:tblInd w:w="0" w:type="dxa"/>
        <w:tblLayout w:type="fixed"/>
        <w:tblCellMar>
          <w:top w:w="28" w:type="dxa"/>
          <w:left w:w="28" w:type="dxa"/>
          <w:bottom w:w="28" w:type="dxa"/>
          <w:right w:w="28" w:type="dxa"/>
        </w:tblCellMar>
      </w:tblPr>
      <w:tblGrid>
        <w:gridCol w:w="2101"/>
        <w:gridCol w:w="1786"/>
        <w:gridCol w:w="1799"/>
        <w:gridCol w:w="219"/>
        <w:gridCol w:w="862"/>
        <w:gridCol w:w="109"/>
        <w:gridCol w:w="109"/>
        <w:gridCol w:w="109"/>
        <w:gridCol w:w="109"/>
        <w:gridCol w:w="271"/>
        <w:gridCol w:w="1031"/>
        <w:gridCol w:w="135"/>
        <w:gridCol w:w="109"/>
        <w:gridCol w:w="109"/>
        <w:gridCol w:w="109"/>
        <w:gridCol w:w="219"/>
        <w:gridCol w:w="862"/>
        <w:gridCol w:w="157"/>
      </w:tblGrid>
      <w:tr>
        <w:trPr/>
        <w:tc>
          <w:tcPr>
            <w:tcW w:w="210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5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thousands, except share amounts)</w:t>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538,153 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Series A redeemable preferred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Deferred reinsurance gain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Goodwill</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Intangible assets,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equity</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544,070 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476,855 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Series A redeemable preferred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common equity</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410,955 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343,740 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46,239,030 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45,968,584 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45,895,335 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from assumed conversion of Series A Preferred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13,521,634 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13,521,634 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 after assumed conversion of Series A Preferred Shares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59,760,664 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59,490,218 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59,416,969 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equity</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common equity</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market risk from the information provided in Item 7A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 In connection with the preparation of this quarterly report on Form 10-Q, our management carried out an evaluation, under the supervision and with the participation of our CEO and CFO, as of June 30, 2026,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June 30, 2026.</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Changes in Internal Controls over Financial Reporting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that occurred during our quarter ended June 30, 2026 that have materially affected, or are reasonably likely to materially affect, our internal control over financial reporting.</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with respect to this item can be found under “Contingent Liabilities - Legal Proceedings” in note 8 of the notes to the unaudited consolidated financial statements contained in this quarterly report and is incorporated by reference into this Item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risk factors in the quarter ended June 30, 2026 from those disclosed in our Annual Report on Form 10-K for the year ended December 31, 2025, except as follows:</w:t>
      </w:r>
    </w:p>
    <w:p>
      <w:pPr>
        <w:pStyle w:val="TextBody"/>
        <w:bidi w:val="0"/>
        <w:spacing w:lineRule="auto" w:line="288" w:before="0" w:after="120"/>
        <w:jc w:val="both"/>
        <w:rPr/>
      </w:pPr>
      <w:r>
        <w:rPr>
          <w:rFonts w:ascii="Times New Roman;serif" w:hAnsi="Times New Roman;serif"/>
          <w:b/>
          <w:i/>
          <w:color w:val="000000"/>
          <w:sz w:val="20"/>
        </w:rPr>
        <w:t>We may b</w:t>
      </w:r>
      <w:r>
        <w:rPr>
          <w:rFonts w:ascii="Times New Roman;serif" w:hAnsi="Times New Roman;serif"/>
          <w:b/>
          <w:color w:val="000000"/>
          <w:sz w:val="20"/>
        </w:rPr>
        <w:t>e</w:t>
      </w:r>
      <w:r>
        <w:rPr>
          <w:color w:val="000000"/>
        </w:rPr>
        <w:t xml:space="preserve"> </w:t>
      </w:r>
      <w:r>
        <w:rPr>
          <w:rFonts w:ascii="Times New Roman;serif" w:hAnsi="Times New Roman;serif"/>
          <w:b/>
          <w:i/>
          <w:color w:val="000000"/>
          <w:sz w:val="20"/>
        </w:rPr>
        <w:t>unable to obtain reinsurance coverage at reasonable prices or on terms that provide us adequate protection.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purchase reinsurance in many of our lines of business to help manage our exposure to insurance risks that we underwrite and to reduce volatility in our results.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availability and cost of reinsurance are subject to prevailing market conditions, both in terms of price and available capacity, each of which can affect our business volume and profitability. The availability of reasonably affordable reinsurance is a critical element of our business plan. One important way we utilize reinsurance is to reduce volatility in claims payments by limiting our exposure to losses from large risks. Another way we use reinsurance is to purchase substantial protection against concentrated losses when we enter new markets. In addition, the ability to obtain reinsurance is critical to our fee-based fronting business. As a result, our ability to manage volatility, mitigate significant losses, expand into new markets, grow by offering insurance to new kinds of enterprises, or grow our fronting business may be limited by the unavailability of reasonably priced reinsurance. We may not be able to obtain reinsurance on acceptable terms or from entities with satisfactory creditworthiness. In such event, if we are unwilling to accept the terms or credit risk of potential reinsurers, we would have to reduce the level of our underwriting commitments, which would reduce our revenues. Reinsurance capacity is subject to market cycles and sudden changes. Capacity can be restricted making reinsurance placements more challenging.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reinsurance companies exclude certain coverages from, or alter terms in, the reinsurance contracts we enter into with them. Some exclusions relate to risks that we cannot in turn exclude from the policies we write due to business or regulatory constraints. In addition, reinsurers are imposing terms, such as lower per occurrence and aggregate limits, and more exclusions, limiting the protection provided under the reinsurance contract. For example, some of our reinsurance treaties are subject to loss ratio caps or aggregate limits. While ceded losses to our reinsurance treaties were within these loss ratio caps and aggregate limits, where applicable, as of June 30, 2026, there can be no assurance that the amount of ceded losses will remain within these loss ratio caps and aggregate limits. If ceded losses were to exceed the loss ratio cap or aggregate limit that applies to a reinsurer’s participation on a given reinsurance contract, the Company would not have reinsurance coverage from that reinsurer's share of losses in excess of such loss ratio cap or aggregate limit, which could have a material adverse effect on our business, liquidity and results of operations. As a result, we, like other direct insurance companies, write insurance policies which to some extent do not have the benefit of reinsurance protection. These gaps in reinsurance protection expose us to greater risk and greater potential losses. For example, certain reinsurers have excluded coverage for terrorist acts or priced such coverage at unreasonably high rates. Many direct insurers, including us, have written policies without terrorist act exclusions and in many cases we cannot exclude terrorist acts because of regulatory constraints. We may, therefore, be exposed to potential losses as a result of terrorist acts. See also “Item 1. Business — Purchase of Reinsurance” in our Annual Report on Form 10-K for the year ended December 31, 2025 filed with the SEC on March 3, 2026.</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traditional prospective reinsurance described above, we have purchased retroactive reinsurance in the form of loss portfolio transfers and adverse development covers on certain books of our business. This retroactive reinsurance may prove to be inadequate to cover the adverse loss development on the subject business. For example, the E&amp;S Top Up ADC purchased in 2024 had a $75.0 million limit, none of which remains available as of June 30, 2026.</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Our goodwill could become impaired, which would adversely affect our financial condition and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test goodwill annually for impairment in the fourth quarter of each calendar year and more frequently if events or changes in circumstances indicate that the carrying amount of a reporting unit, including goodwill, may exceed its fair value.</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we performed a quantitative goodwill impairment assessment of the James River Excess and Surplus Lines reporting unit due to the substantial and sustained decline in our stock price and overall market capitalization, and due to market conditions affecting the reporting unit’s actual and projected results. As in prior periods, we used a combination of a market approach and an income approach in performing this analysis, and we also considered observed multiples from a recently completed sale transaction involving a peer company. Based on this analysis, no goodwill impairment was recorded in the second quarter of 2026. However, the quantitative testing showed that the estimated fair value of the James River Excess and Surplus Lines reporting unit exceeded its carrying value by less than 3% as of June 30, 2026, representing a significant reduction from the cushion reflected in our previous quantitative analysis.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 xml:space="preserve">Further adverse developments, including a continued or renewed decline in our stock price or market capitalization, a decline in our actual or projected future cash flows or operating results, adverse changes in market or macroeconomic conditions, a decline in valuation multiples observed for comparable companies or transactions involving comparable companies, strategic transactions by us, or other adverse changes in the business, competitive or regulatory environment in which we operate, could result in an impairment of some or all of our goodwill in a future period. If it is determined that goodwill has been impaired, we must write down goodwill by the amount of the impairment, which may have a material adverse effect on our financial condition and results of operations. See Note 4 and “Management’s Discussion and Analysis of Financial Condition and Results of Operations </w:t>
      </w:r>
      <w:r>
        <w:rPr>
          <w:color w:val="000000"/>
          <w:shd w:fill="FFFFFF" w:val="clear"/>
        </w:rPr>
        <w:t xml:space="preserve">— </w:t>
      </w:r>
      <w:r>
        <w:rPr>
          <w:rFonts w:ascii="Times New Roman;serif" w:hAnsi="Times New Roman;serif"/>
          <w:b w:val="false"/>
          <w:color w:val="000000"/>
          <w:sz w:val="20"/>
          <w:shd w:fill="FFFFFF" w:val="clear"/>
        </w:rPr>
        <w:t>Results of Operations — Goodwill and Impairment."</w:t>
      </w:r>
    </w:p>
    <w:p>
      <w:pPr>
        <w:pStyle w:val="TextBody"/>
        <w:bidi w:val="0"/>
        <w:spacing w:before="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2"/>
        <w:gridCol w:w="257"/>
        <w:gridCol w:w="259"/>
        <w:gridCol w:w="2803"/>
        <w:gridCol w:w="2714"/>
        <w:gridCol w:w="3880"/>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3880" w:type="dxa"/>
            <w:tcBorders/>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Exhibit</w:t>
              <w:br/>
              <w:t>Number</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6jrvrex311.htm">
              <w:r>
                <w:rPr>
                  <w:rStyle w:val="InternetLink"/>
                  <w:rFonts w:ascii="Times New Roman;serif" w:hAnsi="Times New Roman;serif"/>
                  <w:b w:val="false"/>
                  <w:color w:val="0000FF"/>
                  <w:sz w:val="20"/>
                  <w:u w:val="single"/>
                </w:rPr>
                <w:t>Chief Executive Officer Certification pursuant to Rule 13a-14(a)/15d-14(a)</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6jrvrex312.htm">
              <w:r>
                <w:rPr>
                  <w:rStyle w:val="InternetLink"/>
                  <w:rFonts w:ascii="Times New Roman;serif" w:hAnsi="Times New Roman;serif"/>
                  <w:b w:val="false"/>
                  <w:color w:val="0000FF"/>
                  <w:sz w:val="20"/>
                  <w:u w:val="single"/>
                </w:rPr>
                <w:t>Chief Financial Officer Certification pursuant to Rule 13a-14(a)/15d-14(a)</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q26jrvrex32.htm">
              <w:r>
                <w:rPr>
                  <w:rStyle w:val="InternetLink"/>
                  <w:rFonts w:ascii="Times New Roman;serif" w:hAnsi="Times New Roman;serif"/>
                  <w:b w:val="false"/>
                  <w:color w:val="0000FF"/>
                  <w:sz w:val="20"/>
                  <w:u w:val="single"/>
                </w:rPr>
                <w:t>Chief Executive Officer and Chief Financial Officer Certification pursuant to 18 U.S.C. Section 1350, as adopted pursuant to Section 906 of the Sarbanes-Oxley Act of 2002</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 in Exhibit 101.</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Denotes a 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1d63177fed5741faa6b222521ca019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46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445"/>
        <w:gridCol w:w="445"/>
        <w:gridCol w:w="445"/>
        <w:gridCol w:w="908"/>
        <w:gridCol w:w="908"/>
        <w:gridCol w:w="13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James River Group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Frank N. D’Orazio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Frank N. D’Orazio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Sarah C. Doran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Sarah C. Doran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Frank N. D’Orazio, certify that: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James River Group Holdings, Inc.;</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10, 2026 </w:t>
      </w:r>
    </w:p>
    <w:p>
      <w:pPr>
        <w:pStyle w:val="TextBody"/>
        <w:bidi w:val="0"/>
        <w:spacing w:lineRule="auto" w:line="288" w:before="0" w:after="0"/>
        <w:jc w:val="left"/>
        <w:rPr>
          <w:color w:val="000000"/>
        </w:rPr>
      </w:pPr>
      <w:r>
        <w:rPr>
          <w:color w:val="000000"/>
        </w:rPr>
        <w:t> </w:t>
      </w:r>
    </w:p>
    <w:tbl>
      <w:tblPr>
        <w:tblW w:w="2816" w:type="dxa"/>
        <w:jc w:val="center"/>
        <w:tblInd w:w="0" w:type="dxa"/>
        <w:tblLayout w:type="fixed"/>
        <w:tblCellMar>
          <w:top w:w="28" w:type="dxa"/>
          <w:left w:w="28" w:type="dxa"/>
          <w:bottom w:w="28" w:type="dxa"/>
          <w:right w:w="28" w:type="dxa"/>
        </w:tblCellMar>
      </w:tblPr>
      <w:tblGrid>
        <w:gridCol w:w="886"/>
        <w:gridCol w:w="776"/>
        <w:gridCol w:w="782"/>
        <w:gridCol w:w="109"/>
        <w:gridCol w:w="109"/>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Frank N. D’Orazio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Frank N. D’Orazio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Sarah C. Doran, certify that: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James River Group Holdings, Inc.;</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10, 2026 </w:t>
      </w:r>
    </w:p>
    <w:p>
      <w:pPr>
        <w:pStyle w:val="TextBody"/>
        <w:bidi w:val="0"/>
        <w:spacing w:before="100" w:after="283"/>
        <w:jc w:val="left"/>
        <w:rPr/>
      </w:pPr>
      <w:r>
        <w:rPr/>
      </w:r>
    </w:p>
    <w:tbl>
      <w:tblPr>
        <w:tblW w:w="2757" w:type="dxa"/>
        <w:jc w:val="center"/>
        <w:tblInd w:w="0" w:type="dxa"/>
        <w:tblLayout w:type="fixed"/>
        <w:tblCellMar>
          <w:top w:w="28" w:type="dxa"/>
          <w:left w:w="28" w:type="dxa"/>
          <w:bottom w:w="28" w:type="dxa"/>
          <w:right w:w="28" w:type="dxa"/>
        </w:tblCellMar>
      </w:tblPr>
      <w:tblGrid>
        <w:gridCol w:w="863"/>
        <w:gridCol w:w="759"/>
        <w:gridCol w:w="763"/>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C. Doran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C. Doran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James River Group Holdings, Inc. (the “Company”) on Form 10-Q for the period ended June 30, 2026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pStyle w:val="TextBody"/>
        <w:bidi w:val="0"/>
        <w:spacing w:lineRule="auto" w:line="288" w:before="120" w:after="120"/>
        <w:jc w:val="left"/>
        <w:rPr/>
      </w:pPr>
      <w:r>
        <w:rPr>
          <w:rFonts w:ascii="Times New Roman;serif" w:hAnsi="Times New Roman;serif"/>
          <w:b w:val="false"/>
          <w:color w:val="000000"/>
          <w:sz w:val="20"/>
        </w:rPr>
        <w:t>(1)</w:t>
      </w:r>
      <w:r>
        <w:rPr>
          <w:rFonts w:ascii="Times New Roman;serif" w:hAnsi="Times New Roman;serif"/>
          <w:b w:val="false"/>
          <w:color w:val="000000"/>
          <w:sz w:val="20"/>
        </w:rPr>
        <w:t>The Report fully complies with the requirements of Section 13(a) or 15(d) of the Securities Exchange Act of 1934,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817" w:type="dxa"/>
        <w:jc w:val="center"/>
        <w:tblInd w:w="0" w:type="dxa"/>
        <w:tblLayout w:type="fixed"/>
        <w:tblCellMar>
          <w:top w:w="28" w:type="dxa"/>
          <w:left w:w="28" w:type="dxa"/>
          <w:bottom w:w="28" w:type="dxa"/>
          <w:right w:w="28" w:type="dxa"/>
        </w:tblCellMar>
      </w:tblPr>
      <w:tblGrid>
        <w:gridCol w:w="124"/>
        <w:gridCol w:w="109"/>
        <w:gridCol w:w="109"/>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Frank N. D’Orazio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Frank N. D’Orazio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C. Doran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C. Doran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34443</Words>
  <Characters>190838</Characters>
  <CharactersWithSpaces>222676</CharactersWithSpaces>
  <Paragraphs>4960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