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spacing w:lineRule="auto" w:line="288" w:before="0" w:after="120"/>
        <w:jc w:val="center"/>
        <w:rPr>
          <w:rFonts w:ascii="Times New Roman;sans-serif" w:hAnsi="Times New Roman;sans-serif"/>
          <w:b/>
          <w:color w:val="000000"/>
          <w:sz w:val="26"/>
        </w:rPr>
      </w:pPr>
      <w:r>
        <w:rPr>
          <w:rFonts w:ascii="Times New Roman;sans-serif" w:hAnsi="Times New Roman;sans-serif"/>
          <w:b/>
          <w:color w:val="000000"/>
          <w:sz w:val="26"/>
        </w:rPr>
        <w:t>Washington, DC 20549</w:t>
      </w:r>
    </w:p>
    <w:p>
      <w:pPr>
        <w:pStyle w:val="TextBody"/>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 xml:space="preserve">FORM 10-K </w:t>
      </w:r>
    </w:p>
    <w:p>
      <w:pPr>
        <w:pStyle w:val="TextBody"/>
        <w:spacing w:lineRule="auto" w:line="288" w:before="0" w:after="60"/>
        <w:rPr>
          <w:rFonts w:ascii="Times New Roman;sans-serif" w:hAnsi="Times New Roman;sans-serif"/>
          <w:b/>
          <w:color w:val="000000"/>
          <w:sz w:val="18"/>
        </w:rPr>
      </w:pPr>
      <w:r>
        <w:rPr>
          <w:rFonts w:ascii="Times New Roman;sans-serif" w:hAnsi="Times New Roman;sans-serif"/>
          <w:b/>
          <w:color w:val="000000"/>
          <w:sz w:val="18"/>
        </w:rPr>
        <w:t>(Mark One)</w:t>
      </w:r>
    </w:p>
    <w:tbl>
      <w:tblPr>
        <w:tblW w:w="8682" w:type="dxa"/>
        <w:jc w:val="center"/>
        <w:tblInd w:w="0" w:type="dxa"/>
        <w:tblCellMar>
          <w:top w:w="28" w:type="dxa"/>
          <w:left w:w="28" w:type="dxa"/>
          <w:bottom w:w="28" w:type="dxa"/>
          <w:right w:w="28" w:type="dxa"/>
        </w:tblCellMar>
      </w:tblPr>
      <w:tblGrid>
        <w:gridCol w:w="124"/>
        <w:gridCol w:w="109"/>
        <w:gridCol w:w="109"/>
        <w:gridCol w:w="2437"/>
        <w:gridCol w:w="2437"/>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color w:val="000000"/>
              </w:rPr>
            </w:pPr>
            <w:r>
              <w:rPr>
                <w:color w:val="000000"/>
              </w:rPr>
              <w:t>☒</w:t>
            </w:r>
          </w:p>
        </w:tc>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2021 </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CellMar>
          <w:top w:w="28" w:type="dxa"/>
          <w:left w:w="28" w:type="dxa"/>
          <w:bottom w:w="28" w:type="dxa"/>
          <w:right w:w="28" w:type="dxa"/>
        </w:tblCellMar>
      </w:tblPr>
      <w:tblGrid>
        <w:gridCol w:w="124"/>
        <w:gridCol w:w="109"/>
        <w:gridCol w:w="109"/>
        <w:gridCol w:w="2536"/>
        <w:gridCol w:w="2536"/>
        <w:gridCol w:w="35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35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6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001-36777 </w:t>
      </w:r>
    </w:p>
    <w:p>
      <w:pPr>
        <w:pStyle w:val="TextBody"/>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 xml:space="preserve">JAMES RIVER GROUP HOLDINGS, LTD. </w:t>
      </w:r>
    </w:p>
    <w:p>
      <w:pPr>
        <w:pStyle w:val="TextBody"/>
        <w:spacing w:lineRule="auto" w:line="288" w:before="0" w:after="120"/>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tbl>
      <w:tblPr>
        <w:tblW w:w="7169" w:type="dxa"/>
        <w:jc w:val="center"/>
        <w:tblInd w:w="0" w:type="dxa"/>
        <w:tblCellMar>
          <w:top w:w="28" w:type="dxa"/>
          <w:left w:w="28" w:type="dxa"/>
          <w:bottom w:w="28" w:type="dxa"/>
          <w:right w:w="28" w:type="dxa"/>
        </w:tblCellMar>
      </w:tblPr>
      <w:tblGrid>
        <w:gridCol w:w="1837"/>
        <w:gridCol w:w="1618"/>
        <w:gridCol w:w="1629"/>
        <w:gridCol w:w="609"/>
        <w:gridCol w:w="609"/>
        <w:gridCol w:w="867"/>
      </w:tblGrid>
      <w:tr>
        <w:trPr/>
        <w:tc>
          <w:tcPr>
            <w:tcW w:w="1837"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Bermuda</w:t>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98-0585280</w:t>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                         </w:t>
            </w:r>
            <w:r>
              <w:rPr>
                <w:rFonts w:ascii="Times New Roman;sans-serif" w:hAnsi="Times New Roman;sans-serif"/>
                <w:b w:val="false"/>
                <w:color w:val="000000"/>
                <w:sz w:val="14"/>
              </w:rPr>
              <w:t>(State or other jurisdiction of incorporation or organization)</w:t>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 Identification No.)</w:t>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2085" w:type="dxa"/>
            <w:gridSpan w:val="3"/>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20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180"/>
        <w:jc w:val="center"/>
        <w:rPr>
          <w:rFonts w:ascii="Times New Roman;sans-serif" w:hAnsi="Times New Roman;sans-serif"/>
          <w:b/>
          <w:color w:val="000000"/>
          <w:sz w:val="18"/>
        </w:rPr>
      </w:pPr>
      <w:r>
        <w:rPr>
          <w:rFonts w:ascii="Times New Roman;sans-serif" w:hAnsi="Times New Roman;sans-serif"/>
          <w:b/>
          <w:color w:val="000000"/>
          <w:sz w:val="18"/>
        </w:rPr>
        <w:t xml:space="preserve">Wellesley House, 2nd Floor, 90 Pitts Bay Road, Pembroke HM08, Bermuda </w:t>
      </w:r>
    </w:p>
    <w:p>
      <w:pPr>
        <w:pStyle w:val="TextBody"/>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spacing w:lineRule="auto" w:line="288" w:before="0" w:after="60"/>
        <w:jc w:val="center"/>
        <w:rPr/>
      </w:pPr>
      <w:r>
        <w:rPr>
          <w:rFonts w:ascii="Times New Roman;sans-serif" w:hAnsi="Times New Roman;sans-serif"/>
          <w:b w:val="false"/>
          <w:color w:val="000000"/>
          <w:sz w:val="18"/>
        </w:rPr>
        <w:t xml:space="preserve">Registrant’s telephone number, including area code: </w:t>
      </w:r>
      <w:r>
        <w:rPr>
          <w:rFonts w:ascii="Times New Roman;sans-serif" w:hAnsi="Times New Roman;sans-serif"/>
          <w:b/>
          <w:color w:val="000000"/>
          <w:sz w:val="18"/>
        </w:rPr>
        <w:t xml:space="preserve">(441) 278-4580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030" w:type="dxa"/>
        <w:jc w:val="center"/>
        <w:tblInd w:w="0" w:type="dxa"/>
        <w:tblCellMar>
          <w:top w:w="28" w:type="dxa"/>
          <w:left w:w="28" w:type="dxa"/>
          <w:bottom w:w="28" w:type="dxa"/>
          <w:right w:w="28" w:type="dxa"/>
        </w:tblCellMar>
      </w:tblPr>
      <w:tblGrid>
        <w:gridCol w:w="1211"/>
        <w:gridCol w:w="1067"/>
        <w:gridCol w:w="1082"/>
        <w:gridCol w:w="484"/>
        <w:gridCol w:w="484"/>
        <w:gridCol w:w="486"/>
        <w:gridCol w:w="269"/>
        <w:gridCol w:w="269"/>
        <w:gridCol w:w="269"/>
        <w:gridCol w:w="295"/>
        <w:gridCol w:w="295"/>
        <w:gridCol w:w="296"/>
        <w:gridCol w:w="535"/>
        <w:gridCol w:w="535"/>
        <w:gridCol w:w="535"/>
        <w:gridCol w:w="269"/>
        <w:gridCol w:w="269"/>
        <w:gridCol w:w="380"/>
      </w:tblGrid>
      <w:tr>
        <w:trPr/>
        <w:tc>
          <w:tcPr>
            <w:tcW w:w="1211"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421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Names of each exchange on which registered</w:t>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par value $0.0002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JRVR</w:t>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Global Select Market</w:t>
            </w:r>
          </w:p>
        </w:tc>
        <w:tc>
          <w:tcPr>
            <w:tcW w:w="9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spacing w:lineRule="auto" w:line="288" w:before="0" w:after="120"/>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color w:val="000000"/>
        </w:rPr>
        <w:t>☐</w:t>
      </w:r>
    </w:p>
    <w:p>
      <w:pPr>
        <w:pStyle w:val="TextBody"/>
        <w:spacing w:lineRule="auto" w:line="288" w:before="0" w:after="120"/>
        <w:rPr/>
      </w:pPr>
      <w:r>
        <w:rPr>
          <w:rFonts w:ascii="Times New Roman;sans-serif" w:hAnsi="Times New Roman;sans-serif"/>
          <w:b w:val="false"/>
          <w:color w:val="000000"/>
          <w:sz w:val="16"/>
        </w:rPr>
        <w:t xml:space="preserve">Indicate by check mark if the Registrant is not required to file reports pursuant to Section 13 or 15(d) of the Securities Act.  Yes </w:t>
      </w:r>
      <w:r>
        <w:rPr>
          <w:color w:val="000000"/>
        </w:rPr>
        <w:t>☐ 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lineRule="auto" w:line="288" w:before="0" w:after="120"/>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color w:val="000000"/>
        </w:rPr>
        <w:t>☐</w:t>
      </w:r>
    </w:p>
    <w:p>
      <w:pPr>
        <w:pStyle w:val="TextBody"/>
        <w:spacing w:lineRule="auto" w:line="276" w:before="0" w:after="0"/>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CellMar>
          <w:top w:w="28" w:type="dxa"/>
          <w:left w:w="28" w:type="dxa"/>
          <w:bottom w:w="28" w:type="dxa"/>
          <w:right w:w="28" w:type="dxa"/>
        </w:tblCellMar>
      </w:tblPr>
      <w:tblGrid>
        <w:gridCol w:w="563"/>
        <w:gridCol w:w="495"/>
        <w:gridCol w:w="499"/>
        <w:gridCol w:w="109"/>
        <w:gridCol w:w="109"/>
        <w:gridCol w:w="109"/>
        <w:gridCol w:w="455"/>
        <w:gridCol w:w="455"/>
        <w:gridCol w:w="456"/>
        <w:gridCol w:w="109"/>
        <w:gridCol w:w="109"/>
        <w:gridCol w:w="109"/>
        <w:gridCol w:w="545"/>
        <w:gridCol w:w="545"/>
        <w:gridCol w:w="546"/>
        <w:gridCol w:w="109"/>
        <w:gridCol w:w="109"/>
        <w:gridCol w:w="109"/>
        <w:gridCol w:w="720"/>
        <w:gridCol w:w="720"/>
        <w:gridCol w:w="721"/>
        <w:gridCol w:w="109"/>
        <w:gridCol w:w="109"/>
        <w:gridCol w:w="109"/>
        <w:gridCol w:w="600"/>
        <w:gridCol w:w="600"/>
        <w:gridCol w:w="602"/>
        <w:gridCol w:w="109"/>
        <w:gridCol w:w="109"/>
        <w:gridCol w:w="157"/>
      </w:tblGrid>
      <w:tr>
        <w:trPr/>
        <w:tc>
          <w:tcPr>
            <w:tcW w:w="56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Accelerated filer</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16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21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Smaller reporting company</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18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color w:val="000000"/>
                <w:sz w:val="16"/>
              </w:rPr>
              <w:t>Emerging growth company</w:t>
            </w:r>
            <w:r>
              <w:rPr>
                <w:color w:val="000000"/>
              </w:rPr>
              <w:t xml:space="preserve"> </w:t>
            </w:r>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r>
    </w:tbl>
    <w:p>
      <w:pPr>
        <w:pStyle w:val="TextBody"/>
        <w:spacing w:lineRule="auto" w:line="288" w:before="0" w:after="12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0" w:after="0"/>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shares held by non-affiliates of the Registrant as of June 30, 2021, computed by reference to the closing sales price on the NASDAQ Global Select Market on that date, was approximately $1,362,783,768.</w:t>
      </w:r>
    </w:p>
    <w:p>
      <w:pPr>
        <w:pStyle w:val="TextBody"/>
        <w:spacing w:lineRule="auto" w:line="288" w:before="0" w:after="120"/>
        <w:rPr>
          <w:rFonts w:ascii="Times New Roman;sans-serif" w:hAnsi="Times New Roman;sans-serif"/>
          <w:b w:val="false"/>
          <w:color w:val="000000"/>
          <w:sz w:val="16"/>
        </w:rPr>
      </w:pPr>
      <w:r>
        <w:rPr>
          <w:rFonts w:ascii="Times New Roman;sans-serif" w:hAnsi="Times New Roman;sans-serif"/>
          <w:b w:val="false"/>
          <w:color w:val="000000"/>
          <w:sz w:val="16"/>
        </w:rPr>
        <w:t>The number of the Registrant’s common shares outstanding was 37,448,314 as of February 25, 2022.</w:t>
      </w:r>
    </w:p>
    <w:p>
      <w:pPr>
        <w:pStyle w:val="TextBody"/>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120"/>
        <w:rPr>
          <w:rFonts w:ascii="Times New Roman;sans-serif" w:hAnsi="Times New Roman;sans-serif"/>
          <w:b w:val="false"/>
          <w:color w:val="000000"/>
          <w:sz w:val="16"/>
        </w:rPr>
      </w:pPr>
      <w:r>
        <w:rPr>
          <w:rFonts w:ascii="Times New Roman;sans-serif" w:hAnsi="Times New Roman;sans-serif"/>
          <w:b w:val="false"/>
          <w:color w:val="000000"/>
          <w:sz w:val="16"/>
        </w:rPr>
        <w:t>Portions of the James River Group Holdings, Ltd. Proxy Statement or an amendment to this Annual Report on Form 10-K to be filed with the Securities and Exchange Commission within 120 days after the year covered by this Form 10-K with respect to the 2022 Annual General Meeting of Shareholders are incorporated by reference into Part III hereof.</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10205" w:type="dxa"/>
        <w:jc w:val="right"/>
        <w:tblInd w:w="0" w:type="dxa"/>
        <w:tblCellMar>
          <w:top w:w="28" w:type="dxa"/>
          <w:left w:w="28" w:type="dxa"/>
          <w:bottom w:w="28" w:type="dxa"/>
          <w:right w:w="28" w:type="dxa"/>
        </w:tblCellMar>
      </w:tblPr>
      <w:tblGrid>
        <w:gridCol w:w="281"/>
        <w:gridCol w:w="247"/>
        <w:gridCol w:w="249"/>
        <w:gridCol w:w="3055"/>
        <w:gridCol w:w="2934"/>
        <w:gridCol w:w="2925"/>
        <w:gridCol w:w="149"/>
        <w:gridCol w:w="149"/>
        <w:gridCol w:w="216"/>
      </w:tblGrid>
      <w:tr>
        <w:trPr/>
        <w:tc>
          <w:tcPr>
            <w:tcW w:w="28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055" w:type="dxa"/>
            <w:tcBorders/>
            <w:shd w:fill="auto" w:val="clear"/>
            <w:vAlign w:val="center"/>
          </w:tcPr>
          <w:p>
            <w:pPr>
              <w:pStyle w:val="TableContents"/>
              <w:spacing w:before="0" w:after="283"/>
              <w:rPr>
                <w:sz w:val="4"/>
                <w:szCs w:val="4"/>
              </w:rPr>
            </w:pPr>
            <w:r>
              <w:rPr>
                <w:sz w:val="4"/>
                <w:szCs w:val="4"/>
              </w:rPr>
            </w:r>
          </w:p>
        </w:tc>
        <w:tc>
          <w:tcPr>
            <w:tcW w:w="2934"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3">
              <w:r>
                <w:rPr>
                  <w:rStyle w:val="InternetLink"/>
                  <w:rFonts w:ascii="Times New Roman;sans-serif" w:hAnsi="Times New Roman;sans-serif"/>
                  <w:b w:val="false"/>
                  <w:color w:val="0000FF"/>
                  <w:sz w:val="20"/>
                  <w:u w:val="single"/>
                </w:rPr>
                <w:t>PART I</w:t>
              </w:r>
            </w:hyperlink>
          </w:p>
        </w:tc>
        <w:tc>
          <w:tcPr>
            <w:tcW w:w="8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hyperlink w:anchor="iccfdafa41a104136acbc204fcaa30e50_13">
              <w:r>
                <w:rPr>
                  <w:rStyle w:val="InternetLink"/>
                  <w:rFonts w:ascii="Times New Roman;sans-serif" w:hAnsi="Times New Roman;sans-serif"/>
                  <w:b w:val="false"/>
                  <w:color w:val="0000FF"/>
                  <w:sz w:val="20"/>
                  <w:u w:val="single"/>
                </w:rPr>
                <w:t>5</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6">
              <w:r>
                <w:rPr>
                  <w:rStyle w:val="InternetLink"/>
                  <w:rFonts w:ascii="Times New Roman;sans-serif" w:hAnsi="Times New Roman;sans-serif"/>
                  <w:b w:val="false"/>
                  <w:color w:val="0000FF"/>
                  <w:sz w:val="20"/>
                  <w:u w:val="single"/>
                </w:rPr>
                <w:t>Item 1.</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6">
              <w:r>
                <w:rPr>
                  <w:rStyle w:val="InternetLink"/>
                  <w:rFonts w:ascii="Times New Roman;sans-serif" w:hAnsi="Times New Roman;sans-serif"/>
                  <w:b w:val="false"/>
                  <w:color w:val="0000FF"/>
                  <w:sz w:val="20"/>
                  <w:u w:val="single"/>
                </w:rPr>
                <w:t>BUSINESS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16">
              <w:r>
                <w:rPr>
                  <w:rStyle w:val="InternetLink"/>
                  <w:rFonts w:ascii="Times New Roman;sans-serif" w:hAnsi="Times New Roman;sans-serif"/>
                  <w:b w:val="false"/>
                  <w:color w:val="0000FF"/>
                  <w:sz w:val="20"/>
                  <w:u w:val="single"/>
                </w:rPr>
                <w:t>5</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
              <w:r>
                <w:rPr>
                  <w:rStyle w:val="InternetLink"/>
                  <w:rFonts w:ascii="Times New Roman;sans-serif" w:hAnsi="Times New Roman;sans-serif"/>
                  <w:b w:val="false"/>
                  <w:color w:val="0000FF"/>
                  <w:sz w:val="20"/>
                  <w:u w:val="single"/>
                </w:rPr>
                <w:t>Item 1A.</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
              <w:r>
                <w:rPr>
                  <w:rStyle w:val="InternetLink"/>
                  <w:rFonts w:ascii="Times New Roman;sans-serif" w:hAnsi="Times New Roman;sans-serif"/>
                  <w:b w:val="false"/>
                  <w:color w:val="0000FF"/>
                  <w:sz w:val="20"/>
                  <w:u w:val="single"/>
                </w:rPr>
                <w:t>RISK FACTORS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19">
              <w:r>
                <w:rPr>
                  <w:rStyle w:val="InternetLink"/>
                  <w:rFonts w:ascii="Times New Roman;sans-serif" w:hAnsi="Times New Roman;sans-serif"/>
                  <w:b w:val="false"/>
                  <w:color w:val="0000FF"/>
                  <w:sz w:val="20"/>
                  <w:u w:val="single"/>
                </w:rPr>
                <w:t>40</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2">
              <w:r>
                <w:rPr>
                  <w:rStyle w:val="InternetLink"/>
                  <w:rFonts w:ascii="Times New Roman;sans-serif" w:hAnsi="Times New Roman;sans-serif"/>
                  <w:b w:val="false"/>
                  <w:color w:val="0000FF"/>
                  <w:sz w:val="20"/>
                  <w:u w:val="single"/>
                </w:rPr>
                <w:t>Item 1B.</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2">
              <w:r>
                <w:rPr>
                  <w:rStyle w:val="InternetLink"/>
                  <w:rFonts w:ascii="Times New Roman;sans-serif" w:hAnsi="Times New Roman;sans-serif"/>
                  <w:b w:val="false"/>
                  <w:color w:val="0000FF"/>
                  <w:sz w:val="20"/>
                  <w:u w:val="single"/>
                </w:rPr>
                <w:t>UNRESOLVED STAFF COMMENTS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22">
              <w:r>
                <w:rPr>
                  <w:rStyle w:val="InternetLink"/>
                  <w:rFonts w:ascii="Times New Roman;sans-serif" w:hAnsi="Times New Roman;sans-serif"/>
                  <w:b w:val="false"/>
                  <w:color w:val="0000FF"/>
                  <w:sz w:val="20"/>
                  <w:u w:val="single"/>
                </w:rPr>
                <w:t>67</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5">
              <w:r>
                <w:rPr>
                  <w:rStyle w:val="InternetLink"/>
                  <w:rFonts w:ascii="Times New Roman;sans-serif" w:hAnsi="Times New Roman;sans-serif"/>
                  <w:b w:val="false"/>
                  <w:color w:val="0000FF"/>
                  <w:sz w:val="20"/>
                  <w:u w:val="single"/>
                </w:rPr>
                <w:t>Item 2.</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5">
              <w:r>
                <w:rPr>
                  <w:rStyle w:val="InternetLink"/>
                  <w:rFonts w:ascii="Times New Roman;sans-serif" w:hAnsi="Times New Roman;sans-serif"/>
                  <w:b w:val="false"/>
                  <w:color w:val="0000FF"/>
                  <w:sz w:val="20"/>
                  <w:u w:val="single"/>
                </w:rPr>
                <w:t>PROPERTIES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25">
              <w:r>
                <w:rPr>
                  <w:rStyle w:val="InternetLink"/>
                  <w:rFonts w:ascii="Times New Roman;sans-serif" w:hAnsi="Times New Roman;sans-serif"/>
                  <w:b w:val="false"/>
                  <w:color w:val="0000FF"/>
                  <w:sz w:val="20"/>
                  <w:u w:val="single"/>
                </w:rPr>
                <w:t>67</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8">
              <w:r>
                <w:rPr>
                  <w:rStyle w:val="InternetLink"/>
                  <w:rFonts w:ascii="Times New Roman;sans-serif" w:hAnsi="Times New Roman;sans-serif"/>
                  <w:b w:val="false"/>
                  <w:color w:val="0000FF"/>
                  <w:sz w:val="20"/>
                  <w:u w:val="single"/>
                </w:rPr>
                <w:t>Item 3.</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8">
              <w:r>
                <w:rPr>
                  <w:rStyle w:val="InternetLink"/>
                  <w:rFonts w:ascii="Times New Roman;sans-serif" w:hAnsi="Times New Roman;sans-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28">
              <w:r>
                <w:rPr>
                  <w:rStyle w:val="InternetLink"/>
                  <w:rFonts w:ascii="Times New Roman;sans-serif" w:hAnsi="Times New Roman;sans-serif"/>
                  <w:b w:val="false"/>
                  <w:color w:val="0000FF"/>
                  <w:sz w:val="20"/>
                  <w:u w:val="single"/>
                </w:rPr>
                <w:t>67</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31">
              <w:r>
                <w:rPr>
                  <w:rStyle w:val="InternetLink"/>
                  <w:rFonts w:ascii="Times New Roman;sans-serif" w:hAnsi="Times New Roman;sans-serif"/>
                  <w:b w:val="false"/>
                  <w:color w:val="0000FF"/>
                  <w:sz w:val="20"/>
                  <w:u w:val="single"/>
                </w:rPr>
                <w:t>Item 4.</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31">
              <w:r>
                <w:rPr>
                  <w:rStyle w:val="InternetLink"/>
                  <w:rFonts w:ascii="Times New Roman;sans-serif" w:hAnsi="Times New Roman;sans-serif"/>
                  <w:b w:val="false"/>
                  <w:color w:val="0000FF"/>
                  <w:sz w:val="20"/>
                  <w:u w:val="single"/>
                </w:rPr>
                <w:t>MINE SAFETY DISCLOSURE</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31">
              <w:r>
                <w:rPr>
                  <w:rStyle w:val="InternetLink"/>
                  <w:rFonts w:ascii="Times New Roman;sans-serif" w:hAnsi="Times New Roman;sans-serif"/>
                  <w:b w:val="false"/>
                  <w:color w:val="0000FF"/>
                  <w:sz w:val="20"/>
                  <w:u w:val="single"/>
                </w:rPr>
                <w:t>68</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34">
              <w:r>
                <w:rPr>
                  <w:rStyle w:val="InternetLink"/>
                  <w:rFonts w:ascii="Times New Roman;sans-serif" w:hAnsi="Times New Roman;sans-serif"/>
                  <w:b w:val="false"/>
                  <w:color w:val="0000FF"/>
                  <w:sz w:val="20"/>
                  <w:u w:val="single"/>
                </w:rPr>
                <w:t>PART II</w:t>
              </w:r>
            </w:hyperlink>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34">
              <w:r>
                <w:rPr>
                  <w:rStyle w:val="InternetLink"/>
                  <w:rFonts w:ascii="Times New Roman;sans-serif" w:hAnsi="Times New Roman;sans-serif"/>
                  <w:b w:val="false"/>
                  <w:color w:val="0000FF"/>
                  <w:sz w:val="20"/>
                  <w:u w:val="single"/>
                </w:rPr>
                <w:t>69</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37">
              <w:r>
                <w:rPr>
                  <w:rStyle w:val="InternetLink"/>
                  <w:rFonts w:ascii="Times New Roman;sans-serif" w:hAnsi="Times New Roman;sans-serif"/>
                  <w:b w:val="false"/>
                  <w:color w:val="0000FF"/>
                  <w:sz w:val="20"/>
                  <w:u w:val="single"/>
                </w:rPr>
                <w:t>Item 5.</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37">
              <w:r>
                <w:rPr>
                  <w:rStyle w:val="InternetLink"/>
                  <w:rFonts w:ascii="Times New Roman;sans-serif" w:hAnsi="Times New Roman;sans-serif"/>
                  <w:b w:val="false"/>
                  <w:color w:val="0000FF"/>
                  <w:sz w:val="20"/>
                  <w:u w:val="single"/>
                </w:rPr>
                <w:t>69</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0">
              <w:r>
                <w:rPr>
                  <w:rStyle w:val="InternetLink"/>
                  <w:rFonts w:ascii="Times New Roman;sans-serif" w:hAnsi="Times New Roman;sans-serif"/>
                  <w:b w:val="false"/>
                  <w:color w:val="0000FF"/>
                  <w:sz w:val="20"/>
                  <w:u w:val="single"/>
                </w:rPr>
                <w:t>Item 6.</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0">
              <w:r>
                <w:rPr>
                  <w:rStyle w:val="InternetLink"/>
                  <w:rFonts w:ascii="Times New Roman;sans-serif" w:hAnsi="Times New Roman;sans-serif"/>
                  <w:b w:val="false"/>
                  <w:color w:val="0000FF"/>
                  <w:sz w:val="20"/>
                  <w:u w:val="single"/>
                </w:rPr>
                <w:t>[RESERVED]</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40">
              <w:r>
                <w:rPr>
                  <w:rStyle w:val="InternetLink"/>
                  <w:rFonts w:ascii="Times New Roman;sans-serif" w:hAnsi="Times New Roman;sans-serif"/>
                  <w:b w:val="false"/>
                  <w:color w:val="0000FF"/>
                  <w:sz w:val="20"/>
                  <w:u w:val="single"/>
                </w:rPr>
                <w:t>70</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3">
              <w:r>
                <w:rPr>
                  <w:rStyle w:val="InternetLink"/>
                  <w:rFonts w:ascii="Times New Roman;sans-serif" w:hAnsi="Times New Roman;sans-serif"/>
                  <w:b w:val="false"/>
                  <w:color w:val="0000FF"/>
                  <w:sz w:val="20"/>
                  <w:u w:val="single"/>
                </w:rPr>
                <w:t>Item 7.</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43">
              <w:r>
                <w:rPr>
                  <w:rStyle w:val="InternetLink"/>
                  <w:rFonts w:ascii="Times New Roman;sans-serif" w:hAnsi="Times New Roman;sans-serif"/>
                  <w:b w:val="false"/>
                  <w:color w:val="0000FF"/>
                  <w:sz w:val="20"/>
                  <w:u w:val="single"/>
                </w:rPr>
                <w:t>71</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6">
              <w:r>
                <w:rPr>
                  <w:rStyle w:val="InternetLink"/>
                  <w:rFonts w:ascii="Times New Roman;sans-serif" w:hAnsi="Times New Roman;sans-serif"/>
                  <w:b w:val="false"/>
                  <w:color w:val="0000FF"/>
                  <w:sz w:val="20"/>
                  <w:u w:val="single"/>
                </w:rPr>
                <w:t>Item 7A.</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6">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46">
              <w:r>
                <w:rPr>
                  <w:rStyle w:val="InternetLink"/>
                  <w:rFonts w:ascii="Times New Roman;sans-serif" w:hAnsi="Times New Roman;sans-serif"/>
                  <w:b w:val="false"/>
                  <w:color w:val="0000FF"/>
                  <w:sz w:val="20"/>
                  <w:u w:val="single"/>
                </w:rPr>
                <w:t>101</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9">
              <w:r>
                <w:rPr>
                  <w:rStyle w:val="InternetLink"/>
                  <w:rFonts w:ascii="Times New Roman;sans-serif" w:hAnsi="Times New Roman;sans-serif"/>
                  <w:b w:val="false"/>
                  <w:color w:val="0000FF"/>
                  <w:sz w:val="20"/>
                  <w:u w:val="single"/>
                </w:rPr>
                <w:t>Item 8.</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49">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49">
              <w:r>
                <w:rPr>
                  <w:rStyle w:val="InternetLink"/>
                  <w:rFonts w:ascii="Times New Roman;sans-serif" w:hAnsi="Times New Roman;sans-serif"/>
                  <w:b w:val="false"/>
                  <w:color w:val="0000FF"/>
                  <w:sz w:val="20"/>
                  <w:u w:val="single"/>
                </w:rPr>
                <w:t>102</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52">
              <w:r>
                <w:rPr>
                  <w:rStyle w:val="InternetLink"/>
                  <w:rFonts w:ascii="Times New Roman;sans-serif" w:hAnsi="Times New Roman;sans-serif"/>
                  <w:b w:val="false"/>
                  <w:color w:val="0000FF"/>
                  <w:sz w:val="20"/>
                  <w:u w:val="single"/>
                </w:rPr>
                <w:t>Item 9.</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5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52">
              <w:r>
                <w:rPr>
                  <w:rStyle w:val="InternetLink"/>
                  <w:rFonts w:ascii="Times New Roman;sans-serif" w:hAnsi="Times New Roman;sans-serif"/>
                  <w:b w:val="false"/>
                  <w:color w:val="0000FF"/>
                  <w:sz w:val="20"/>
                  <w:u w:val="single"/>
                </w:rPr>
                <w:t>102</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55">
              <w:r>
                <w:rPr>
                  <w:rStyle w:val="InternetLink"/>
                  <w:rFonts w:ascii="Times New Roman;sans-serif" w:hAnsi="Times New Roman;sans-serif"/>
                  <w:b w:val="false"/>
                  <w:color w:val="0000FF"/>
                  <w:sz w:val="20"/>
                  <w:u w:val="single"/>
                </w:rPr>
                <w:t>Item 9A.</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55">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55">
              <w:r>
                <w:rPr>
                  <w:rStyle w:val="InternetLink"/>
                  <w:rFonts w:ascii="Times New Roman;sans-serif" w:hAnsi="Times New Roman;sans-serif"/>
                  <w:b w:val="false"/>
                  <w:color w:val="0000FF"/>
                  <w:sz w:val="20"/>
                  <w:u w:val="single"/>
                </w:rPr>
                <w:t>102</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58">
              <w:r>
                <w:rPr>
                  <w:rStyle w:val="InternetLink"/>
                  <w:rFonts w:ascii="Times New Roman;sans-serif" w:hAnsi="Times New Roman;sans-serif"/>
                  <w:b w:val="false"/>
                  <w:color w:val="0000FF"/>
                  <w:sz w:val="20"/>
                  <w:u w:val="single"/>
                </w:rPr>
                <w:t>Item 9B.</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58">
              <w:r>
                <w:rPr>
                  <w:rStyle w:val="InternetLink"/>
                  <w:rFonts w:ascii="Times New Roman;sans-serif" w:hAnsi="Times New Roman;sans-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58">
              <w:r>
                <w:rPr>
                  <w:rStyle w:val="InternetLink"/>
                  <w:rFonts w:ascii="Times New Roman;sans-serif" w:hAnsi="Times New Roman;sans-serif"/>
                  <w:b w:val="false"/>
                  <w:color w:val="0000FF"/>
                  <w:sz w:val="20"/>
                  <w:u w:val="single"/>
                </w:rPr>
                <w:t>103</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768">
              <w:r>
                <w:rPr>
                  <w:rStyle w:val="InternetLink"/>
                  <w:rFonts w:ascii="Times New Roman;sans-serif" w:hAnsi="Times New Roman;sans-serif"/>
                  <w:b w:val="false"/>
                  <w:color w:val="0000FF"/>
                  <w:sz w:val="20"/>
                  <w:u w:val="single"/>
                </w:rPr>
                <w:t>Item 9C.</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768">
              <w:r>
                <w:rPr>
                  <w:rStyle w:val="InternetLink"/>
                  <w:rFonts w:ascii="Times New Roman;sans-serif" w:hAnsi="Times New Roman;sans-serif"/>
                  <w:b w:val="false"/>
                  <w:color w:val="0000FF"/>
                  <w:sz w:val="20"/>
                  <w:u w:val="single"/>
                </w:rPr>
                <w:t>DISCLOSURE REGARDING FOREIGN JURISDICTIONS THAT PREVENT INSPECTIONS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1768">
              <w:r>
                <w:rPr>
                  <w:rStyle w:val="InternetLink"/>
                  <w:rFonts w:ascii="Times New Roman;sans-serif" w:hAnsi="Times New Roman;sans-serif"/>
                  <w:b w:val="false"/>
                  <w:color w:val="0000FF"/>
                  <w:sz w:val="20"/>
                  <w:u w:val="single"/>
                </w:rPr>
                <w:t>103</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61">
              <w:r>
                <w:rPr>
                  <w:rStyle w:val="InternetLink"/>
                  <w:rFonts w:ascii="Times New Roman;sans-serif" w:hAnsi="Times New Roman;sans-serif"/>
                  <w:b w:val="false"/>
                  <w:color w:val="0000FF"/>
                  <w:sz w:val="20"/>
                  <w:u w:val="single"/>
                </w:rPr>
                <w:t>PART III</w:t>
              </w:r>
            </w:hyperlink>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61">
              <w:r>
                <w:rPr>
                  <w:rStyle w:val="InternetLink"/>
                  <w:rFonts w:ascii="Times New Roman;sans-serif" w:hAnsi="Times New Roman;sans-serif"/>
                  <w:b w:val="false"/>
                  <w:color w:val="0000FF"/>
                  <w:sz w:val="20"/>
                  <w:u w:val="single"/>
                </w:rPr>
                <w:t>104</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64">
              <w:r>
                <w:rPr>
                  <w:rStyle w:val="InternetLink"/>
                  <w:rFonts w:ascii="Times New Roman;sans-serif" w:hAnsi="Times New Roman;sans-serif"/>
                  <w:b w:val="false"/>
                  <w:color w:val="0000FF"/>
                  <w:sz w:val="20"/>
                  <w:u w:val="single"/>
                </w:rPr>
                <w:t>Item 10.</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64">
              <w:r>
                <w:rPr>
                  <w:rStyle w:val="InternetLink"/>
                  <w:rFonts w:ascii="Times New Roman;sans-serif" w:hAnsi="Times New Roman;sans-serif"/>
                  <w:b w:val="false"/>
                  <w:color w:val="0000FF"/>
                  <w:sz w:val="20"/>
                  <w:u w:val="single"/>
                </w:rPr>
                <w:t>DIRECTORS, EXECUTIVE OFFICERS AND CORPORATE GOVERNANCE</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64">
              <w:r>
                <w:rPr>
                  <w:rStyle w:val="InternetLink"/>
                  <w:rFonts w:ascii="Times New Roman;sans-serif" w:hAnsi="Times New Roman;sans-serif"/>
                  <w:b w:val="false"/>
                  <w:color w:val="0000FF"/>
                  <w:sz w:val="20"/>
                  <w:u w:val="single"/>
                </w:rPr>
                <w:t>104</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67">
              <w:r>
                <w:rPr>
                  <w:rStyle w:val="InternetLink"/>
                  <w:rFonts w:ascii="Times New Roman;sans-serif" w:hAnsi="Times New Roman;sans-serif"/>
                  <w:b w:val="false"/>
                  <w:color w:val="0000FF"/>
                  <w:sz w:val="20"/>
                  <w:u w:val="single"/>
                </w:rPr>
                <w:t>Item 11.</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67">
              <w:r>
                <w:rPr>
                  <w:rStyle w:val="InternetLink"/>
                  <w:rFonts w:ascii="Times New Roman;sans-serif" w:hAnsi="Times New Roman;sans-serif"/>
                  <w:b w:val="false"/>
                  <w:color w:val="0000FF"/>
                  <w:sz w:val="20"/>
                  <w:u w:val="single"/>
                </w:rPr>
                <w:t>EXECUTIVE COMPENSATION</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67">
              <w:r>
                <w:rPr>
                  <w:rStyle w:val="InternetLink"/>
                  <w:rFonts w:ascii="Times New Roman;sans-serif" w:hAnsi="Times New Roman;sans-serif"/>
                  <w:b w:val="false"/>
                  <w:color w:val="0000FF"/>
                  <w:sz w:val="20"/>
                  <w:u w:val="single"/>
                </w:rPr>
                <w:t>104</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70">
              <w:r>
                <w:rPr>
                  <w:rStyle w:val="InternetLink"/>
                  <w:rFonts w:ascii="Times New Roman;sans-serif" w:hAnsi="Times New Roman;sans-serif"/>
                  <w:b w:val="false"/>
                  <w:color w:val="0000FF"/>
                  <w:sz w:val="20"/>
                  <w:u w:val="single"/>
                </w:rPr>
                <w:t>Item 12.</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7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70">
              <w:r>
                <w:rPr>
                  <w:rStyle w:val="InternetLink"/>
                  <w:rFonts w:ascii="Times New Roman;sans-serif" w:hAnsi="Times New Roman;sans-serif"/>
                  <w:b w:val="false"/>
                  <w:color w:val="0000FF"/>
                  <w:sz w:val="20"/>
                  <w:u w:val="single"/>
                </w:rPr>
                <w:t>104</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73">
              <w:r>
                <w:rPr>
                  <w:rStyle w:val="InternetLink"/>
                  <w:rFonts w:ascii="Times New Roman;sans-serif" w:hAnsi="Times New Roman;sans-serif"/>
                  <w:b w:val="false"/>
                  <w:color w:val="0000FF"/>
                  <w:sz w:val="20"/>
                  <w:u w:val="single"/>
                </w:rPr>
                <w:t>Item 13.</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7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73">
              <w:r>
                <w:rPr>
                  <w:rStyle w:val="InternetLink"/>
                  <w:rFonts w:ascii="Times New Roman;sans-serif" w:hAnsi="Times New Roman;sans-serif"/>
                  <w:b w:val="false"/>
                  <w:color w:val="0000FF"/>
                  <w:sz w:val="20"/>
                  <w:u w:val="single"/>
                </w:rPr>
                <w:t>104</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76">
              <w:r>
                <w:rPr>
                  <w:rStyle w:val="InternetLink"/>
                  <w:rFonts w:ascii="Times New Roman;sans-serif" w:hAnsi="Times New Roman;sans-serif"/>
                  <w:b w:val="false"/>
                  <w:color w:val="0000FF"/>
                  <w:sz w:val="20"/>
                  <w:u w:val="single"/>
                </w:rPr>
                <w:t>Item 14.</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76">
              <w:r>
                <w:rPr>
                  <w:rStyle w:val="InternetLink"/>
                  <w:rFonts w:ascii="Times New Roman;sans-serif" w:hAnsi="Times New Roman;sans-serif"/>
                  <w:b w:val="false"/>
                  <w:color w:val="0000FF"/>
                  <w:sz w:val="20"/>
                  <w:u w:val="single"/>
                </w:rPr>
                <w:t>PRINCIPAL ACCOUNTANT FEES AND SERVICES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76">
              <w:r>
                <w:rPr>
                  <w:rStyle w:val="InternetLink"/>
                  <w:rFonts w:ascii="Times New Roman;sans-serif" w:hAnsi="Times New Roman;sans-serif"/>
                  <w:b w:val="false"/>
                  <w:color w:val="0000FF"/>
                  <w:sz w:val="20"/>
                  <w:u w:val="single"/>
                </w:rPr>
                <w:t>104</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79">
              <w:r>
                <w:rPr>
                  <w:rStyle w:val="InternetLink"/>
                  <w:rFonts w:ascii="Times New Roman;sans-serif" w:hAnsi="Times New Roman;sans-serif"/>
                  <w:b w:val="false"/>
                  <w:color w:val="0000FF"/>
                  <w:sz w:val="20"/>
                  <w:u w:val="single"/>
                </w:rPr>
                <w:t>PART IV</w:t>
              </w:r>
            </w:hyperlink>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79">
              <w:r>
                <w:rPr>
                  <w:rStyle w:val="InternetLink"/>
                  <w:rFonts w:ascii="Times New Roman;sans-serif" w:hAnsi="Times New Roman;sans-serif"/>
                  <w:b w:val="false"/>
                  <w:color w:val="0000FF"/>
                  <w:sz w:val="20"/>
                  <w:u w:val="single"/>
                </w:rPr>
                <w:t>104</w:t>
              </w:r>
            </w:hyperlink>
          </w:p>
        </w:tc>
      </w:tr>
      <w:tr>
        <w:trPr/>
        <w:tc>
          <w:tcPr>
            <w:tcW w:w="7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82">
              <w:r>
                <w:rPr>
                  <w:rStyle w:val="InternetLink"/>
                  <w:rFonts w:ascii="Times New Roman;sans-serif" w:hAnsi="Times New Roman;sans-serif"/>
                  <w:b w:val="false"/>
                  <w:color w:val="0000FF"/>
                  <w:sz w:val="20"/>
                  <w:u w:val="single"/>
                </w:rPr>
                <w:t>Item 15.</w:t>
              </w:r>
            </w:hyperlink>
          </w:p>
        </w:tc>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82">
              <w:r>
                <w:rPr>
                  <w:rStyle w:val="InternetLink"/>
                  <w:rFonts w:ascii="Times New Roman;sans-serif" w:hAnsi="Times New Roman;sans-serif"/>
                  <w:b w:val="false"/>
                  <w:color w:val="0000FF"/>
                  <w:sz w:val="20"/>
                  <w:u w:val="single"/>
                </w:rPr>
                <w:t>EXHIBITS AND FINANCIAL STATEMENT SCHEDULES</w:t>
              </w:r>
            </w:hyperlink>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82">
              <w:r>
                <w:rPr>
                  <w:rStyle w:val="InternetLink"/>
                  <w:rFonts w:ascii="Times New Roman;sans-serif" w:hAnsi="Times New Roman;sans-serif"/>
                  <w:b w:val="false"/>
                  <w:color w:val="0000FF"/>
                  <w:sz w:val="20"/>
                  <w:u w:val="single"/>
                </w:rPr>
                <w:t>104</w:t>
              </w:r>
            </w:hyperlink>
          </w:p>
        </w:tc>
      </w:tr>
      <w:tr>
        <w:trPr/>
        <w:tc>
          <w:tcPr>
            <w:tcW w:w="7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85">
              <w:r>
                <w:rPr>
                  <w:rStyle w:val="InternetLink"/>
                  <w:rFonts w:ascii="Times New Roman;sans-serif" w:hAnsi="Times New Roman;sans-serif"/>
                  <w:b w:val="false"/>
                  <w:color w:val="0000FF"/>
                  <w:sz w:val="20"/>
                  <w:u w:val="single"/>
                </w:rPr>
                <w:t>Item 16.</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85">
              <w:r>
                <w:rPr>
                  <w:rStyle w:val="InternetLink"/>
                  <w:rFonts w:ascii="Times New Roman;sans-serif" w:hAnsi="Times New Roman;sans-serif"/>
                  <w:b w:val="false"/>
                  <w:color w:val="0000FF"/>
                  <w:sz w:val="20"/>
                  <w:u w:val="single"/>
                </w:rPr>
                <w:t>FORM 10-K SUMMARY</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ccfdafa41a104136acbc204fcaa30e50_85">
              <w:r>
                <w:rPr>
                  <w:rStyle w:val="InternetLink"/>
                  <w:rFonts w:ascii="Times New Roman;sans-serif" w:hAnsi="Times New Roman;sans-serif"/>
                  <w:b w:val="false"/>
                  <w:color w:val="0000FF"/>
                  <w:sz w:val="20"/>
                  <w:u w:val="single"/>
                </w:rPr>
                <w:t>109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indicates or suggests otherwise, references in this Annual Report on Form 10-K to “the Company,” “we,” “us” and “our” refer to James River Group Holdings, Ltd. and its consolidated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Annual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materially from those expressed in, or implied by, the forward-looking statements included in this Annual Report as a result of various factors, many of which are beyond our control, including, among others: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inherent uncertainty of estimating reserves and the possibility that incurred losses may be greater than our loss and loss adjustment expense reserves;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inaccurate estimates and judgments in our risk management may expose us to greater risks than intended;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downgrade in the financial strength rating of our regulated insurance subsidiaries announced May 7, 2021, or further downgrades, impacting our ability to attract and retain insurance and reinsurance business that our subsidiaries write, our competitive position, and our financial condition;</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potential loss of key members of our management team or key employees, and our ability to attract and retain personnel;</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adverse economic factors resulting in the sale of fewer policies than expected or an increase in the frequency or severity of claims, or both;</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 persistent high inflationary environment could have a negative impact on our reserves, the values of our investments and investment returns, and our compensation expenses;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reliance on a select group of brokers and agents for a significant portion of our business and the impact of our potential failure to maintain such relationships;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reliance on a select group of customers for a significant portion of our business and the impact of our potential failure to maintain, or decision to terminate, such relationships;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ability to obtain reinsurance coverage at prices and on terms that allow us to transfer risk and adequately protect our Company against financial loss;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that fails to perform their reimbursement obligations;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inadequacy of premiums we charge to compensate us for our losses incurred;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changes in laws or government regulation, including tax or insurance law and regulations;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ongoing effect of Public Law No. 115-97, informally titled the Tax Cuts and Jobs Act, which may have a significant effect on us including, among other things, by potentially increasing our tax rate, as well as on our shareholders;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Company or any of its foreign subsidiaries becoming subject to U.S. federal income taxation;</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 failure of any of the loss limitations or exclusions we utilize to shield us from unanticipated financial losses or legal exposures, or other liabilities;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losses from catastrophic events, such as natural disasters and terrorist acts, which substantially exceed our expectations and/or exceed the amount of reinsurance we have purchased to protect us from such events;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effects of the COVID-19 pandemic and associated government actions on our operations and financial performance;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potential effects on our business of emerging claim and coverage issues;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exposure to credit risk, interest rate risk and other market risk in our investment portfolio;</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potential impact of internal or external fraud, operational errors, systems malfunctions or cyber security incidents;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ability to manage our growth effectively;</w:t>
      </w:r>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failure to maintain effective internal controls in accordance with the Sarbanes-Oxley Act of 2002, as amended (“Sarbanes-Oxley”);</w:t>
      </w:r>
      <w:r>
        <w:rPr>
          <w:color w:val="000000"/>
        </w:rPr>
        <w:t xml:space="preserve"> </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changes in our financial condition, regulations or other factors that may restrict our subsidiaries’ ability to pay us dividends;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other risks and uncertainties discussed under "Risk Factors" and elsewhere in this Annual Report.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Accordingly, you should read this Annual Report completely and with the understanding that our actual future results may be materially different from what we expect.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Annual Report. Except as expressly required under federal securities laws and the rules and regulations of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and reinsurance companies. For the year ended December 31, 2021, approximately 70.4% of our group-wide gross written premiums originated from the U.S. excess and surplus (“E&amp;S”) lines market. Substantially all of our business is casualty insurance and reinsurance, and for the year ended December 31, 2021, we derived 96.9% of our group-wide gross written premiums from casualty insurance and reinsurance. Our objective is to generate compelling returns on tangible equity, while limiting underwriting and investment volatility. We seek to accomplish this by earning profits from insurance and reinsurance underwriting and generating meaningful risk-adjusted investment returns, while managing our capital. Our group includes three operating segments: Excess and Surplus Lines, Specialty Admitted Insurance and Casualty Reinsurance.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write very little property or catastrophe insurance and no property catastrophe reinsurance. For the year ended December 31, 2021, property insurance and reinsurance represented 3.1% of our gross written premiums. When we do write property insurance, we buy reinsurance to significantly mitigate our risk. We have structured our reinsurance arrangements so that our modeled net pre-tax loss from a 1/1000 year probable maximum loss ("PML") event would not exceed 2.5% of shareholders’ equity on a group-wide basis.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report our business in four segments: Excess and Surplus Lines, Specialty Admitted Insurance, Casualty Reinsurance and Corporate and Other.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The Excess and Surplus Lines segment produced 55.3% of our gross written premiums and 67.3% of our net written premiums for the year ended December 31, 2021.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and delays associated with the filing of such changes with state regulators and seeking approval for the filings. In 2021, the average account in this segment (excluding commercial auto policies) generated annual gross written premiums of approximately $23,000. The Excess and Surplus Lines segment distributes primarily through wholesale insurance brokers. Members of our management team have participated in this market for over three decades and have long-standing relationships with the wholesale brokers who place E&amp;S lines accounts.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has admitted licenses and the authority to write excess and surplus lines insurance in 50 states and the District of Columbia through Falls Lake National Insurance Company (“Falls Lake National”) and its wholly-owned subsidiaries, Stonewood Insurance Company (“Stonewood Insurance”) and Falls Lake Fire and Casualty Company (“Falls Lake Fire and Casualty”). The Specialty Admitted Insurance segment produced 32.6% of our gross written premiums and 11.3% of our net written premiums for the year ended December 31, 2021. The Specialty Admitted Insurance segment has two areas of focus. We write a select book of workers’ compensation coverage for building trades, healthcare employees and light manufacturing, among other light to medium hazard risks in select U.S. states. We also write fronting business which has become a significant element of our revenues and profits in this segment. In our fronting business, we retain a small percentage of the risk, generally 10%-30%, and seek to earn fee income. When we front, we use our legal authority, financial strength rating, underwriting experience and claims infrastructure to write insurance to service clients (usually managing general agents and reinsurers) who assume the vast majority of the risk on each fronted policy. Because we retain little premium or risk in our fronted business, we can allocate less capital per dollar of revenue to fronted policies than to policies where we retain more risk, which we believe enhances our returns on equity. The Specialty Admitted Insurance segment accepts applications for insurance from a variety of sources, including independent retail agents, program administrators and managing general agents (“MGAs”).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Casualty Reinsurance segment distributes through reinsurance brokers and produced 12.1% of our gross written premiums and 21.4% of our net written premiums for the year ended December 31, 2021. 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 working layer excess of loss treaties, such as paid reinstatements. On a premium volume basis, treaties with loss mitigation features, including sliding scale ceding commissions, represented 58.9% of the net premiums written by our Casualty Reinsurance segment during 2021. We typically do not assume large individual risks in our Casualty Reinsurance segment, nor do we write property catastrophe reinsurance. Most of the underlying policies assumed by our Casualty Reinsurance segment have a $1.0 million per occurrence limit, and we typically assume only a portion of that exposure. We do not assume stand-alone third-party property business at our Casualty Reinsurance segment, but we do have a small amount of assumed business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with ancillary property exposure. 65.7% of gross premiums written by our Casualty Reinsurance segment during 2021 were general liability accounts.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Casualty Reinsurance segment writes third party business through one entity, JRG Reinsurance Company Ltd. ("JRG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Ltd ("Carolina Re"). This business is ceded under quota-share reinsurance treaties with ceding commissions that are negotiated at arm’s length. We exclude the effects of intercompany reinsurance agreements from the presentation of our segment results, consistent with the way we manage the Company. At December 31, 2021, 41.2% of our invested assets were held at JRG 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Corporate and Other segment consists of the management and treasury activities of our holding companies, equity compensation for the group, and interest expense associated with our debt.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2021, our operating subsidiaries wrote $1,507.3 million of gross written premiums, allocated by segment and underlying market as follows:</w:t>
      </w:r>
    </w:p>
    <w:tbl>
      <w:tblPr>
        <w:tblW w:w="6976" w:type="dxa"/>
        <w:jc w:val="left"/>
        <w:tblInd w:w="0" w:type="dxa"/>
        <w:tblCellMar>
          <w:top w:w="28" w:type="dxa"/>
          <w:left w:w="28" w:type="dxa"/>
          <w:bottom w:w="28" w:type="dxa"/>
          <w:right w:w="28" w:type="dxa"/>
        </w:tblCellMar>
      </w:tblPr>
      <w:tblGrid>
        <w:gridCol w:w="1171"/>
        <w:gridCol w:w="1033"/>
        <w:gridCol w:w="1036"/>
        <w:gridCol w:w="109"/>
        <w:gridCol w:w="109"/>
        <w:gridCol w:w="109"/>
        <w:gridCol w:w="310"/>
        <w:gridCol w:w="1435"/>
        <w:gridCol w:w="160"/>
        <w:gridCol w:w="109"/>
        <w:gridCol w:w="109"/>
        <w:gridCol w:w="109"/>
        <w:gridCol w:w="307"/>
        <w:gridCol w:w="309"/>
        <w:gridCol w:w="561"/>
      </w:tblGrid>
      <w:tr>
        <w:trPr/>
        <w:tc>
          <w:tcPr>
            <w:tcW w:w="1171"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Written Premiums by 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Written Premiums</w:t>
              <w:br/>
              <w:t>Year Ended</w:t>
              <w:b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2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 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5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top w:val="single" w:sz="8" w:space="0" w:color="CCEE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Written Premiums by Market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Non-admitted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1,060,562 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5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Admitted markets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446,737 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top w:val="single" w:sz="8" w:space="0" w:color="CCEE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A.M. Best Company (“A.M. Best”) financial strength rating for our group’s regulated insurance and reinsurance subsidiaries is “A-” (Excellent) with a stable outlook. This rating reflects A.M. Best’s evaluation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0" w:after="120"/>
        <w:rPr/>
      </w:pPr>
      <w:r>
        <w:rPr>
          <w:rFonts w:ascii="Times New Roman;sans-serif" w:hAnsi="Times New Roman;sans-serif"/>
          <w:b/>
          <w:color w:val="000000"/>
          <w:sz w:val="20"/>
        </w:rPr>
        <w:t>Issuance</w:t>
      </w:r>
      <w:r>
        <w:rPr>
          <w:color w:val="000000"/>
        </w:rPr>
        <w:t xml:space="preserve"> </w:t>
      </w:r>
      <w:r>
        <w:rPr>
          <w:rFonts w:ascii="Times New Roman;sans-serif" w:hAnsi="Times New Roman;sans-serif"/>
          <w:b/>
          <w:i/>
          <w:color w:val="000000"/>
          <w:sz w:val="20"/>
        </w:rPr>
        <w:t>of Series A Preferred Shares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24, 2022, we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closing of the transaction is expected to occur on March 1, 2022 (the “Closing Date”).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plus accrued and unpaid dividends, or the amount they would have received if they had converted all of their Series A Preferred Shares to common shares immediately before such liquidation, dissolution or winding up.</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Series A Preferred Shares are entitled to a dividend at the initial rate of 7% of the $1,000 per share liquidation preference per annum, paid in cash, in-kind in common shares or in Series A Preferred Shares, at our election. On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five-year anniversary of the Closing Date, and each five-year anniversary thereafter, the dividend rate will reset to a rate equal to the five-year U.S. treasury rate plus 5.2%. Dividends will accrue quarterly and will be payable on March 31, June 30, September 30 and December 31 of each year, commencing June 30, 2022.</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are convertible at the option of the holders thereof at any time into common shares at a conversion price set forth in the Certificate of Designations designating the Series A Preferred Shares (the “Certificate of Designations”), which is subject to anti-dilution adjustments. We may also require the Series A Preferred Shares to convert to common shares under certain circumstances. The holders of the Series A Preferred Shares may require us to repurchase their shares upon the occurrence of certain change of control events.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vote with the holders of the common shares on an as-converted basis, and are entitled to a separate class vote with respect to certain actions specified in the Certificate of Designations.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held by GPC Partners, together with any common shares received on conversion of Series A Preferred Shares or as dividends with respect to Series A Preferred Shares, may not vote in excess of 9.9% of the aggregate voting power of our voting securities on an as converted basis. In addition, unless and until we obtain the shareholder approval required by Nasdaq Listing Standard Rule 5635, if such rule is applicable, GPC Partners will be subject to a 19.9% cap on voting power and beneficial ownership of our outstanding voting securities. GPC Partners and any transferees will also be subject to the voting limitations imposed on all U.S. persons contained in our bye-laws to the extent such restrictions are applicable.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Until GPC Partners and its permitted transferees no longer beneficially own Series A Preferred Shares and/or common shares issued or issuable upon conversion of such Series A Preferred Shares that represent in the aggregate at least 50% of the number of common shares beneficially owned by them, on an as-converted basis, as of the Closing Date, GPC Partners will be entitled to designate one candidate for nomination to our Board of Directors. Until required regulatory approvals are obtained, such individual will have observer status.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GPC Partners is obligated to comply with certain standstill provisions and transfer restrictions, and is entitled to customary registration rights for the common shares issuable on conversion of, or payable as dividends on, the Series A Preferred Shares.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 xml:space="preserve">Loss Portfolio Transfer Retrocession Agreement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Reinsurance Company, Ltd. (“JRG Re”), the Company’s property/casualty reinsurance subsidiary, entered into a Loss Portfolio Transfer Retrocession Agreement (the “Retrocession Agreement”) with Fortitude Reinsurance Company, Ltd. (“FRL”). The Retrocession Agreement will close upon receipt of regulatory approval by FRL and satisfaction of other customary closing conditions (the date on which all closing conditions are satisfied, the “Retrocession Closing Date”).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Retrocession Agreement, JRG Re will (a) cede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 to manage and retain the benefit of other third-party reinsurance on the Subject Business; (c) pay FRL a reinsurance premium of $335.0 million, $310.0 million of which JRG Re will credit to a notional funds withheld account (the “Funds Withheld Account”) and $25.0 million of which JRG Re will pay in cash to FRL; and (d) pay FRL a 2% per annum crediting rate on the Funds Withheld Account balance on a quarterly basis. The total premium, Initial Funds Withheld Account credit, and aggregate limit will be adjusted for claims paid from October 1, 2021 to the Retrocession Closing Date.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2002, a group of experienced insurance executives created James River Group, Inc. (“James River Group”). James River Group was listed on the NASDAQ Stock Market (symbol: JRVR) in 2005. James River Group had two insurance company subsidiaries, James River Insurance and Stonewood Insurance Company (“Stonewood Insurance”). Both of these subsidiaries as well as James River Group remain subsidiaries of ours.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2007, a group of investors acquired James River Group, at which point it ceased trading as a public company. Simultaneously, the investors and management founded and capitalized JRG Re, and we began the process of building our present company.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December 2014, we completed an initial public offering of our common shares (the “IPO”). Institutional investors sold all of the common shares in the IPO. Neither the Company nor any of its management or other shareholders sold shares in the IPO.</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We believe we have the following competitive strengths:</w:t>
      </w:r>
    </w:p>
    <w:p>
      <w:pPr>
        <w:pStyle w:val="TextBody"/>
        <w:spacing w:lineRule="auto" w:line="288" w:before="0" w:after="120"/>
        <w:ind w:left="0" w:right="0" w:firstLine="405"/>
        <w:rPr/>
      </w:pPr>
      <w:r>
        <w:rPr>
          <w:rFonts w:ascii="Times New Roman;sans-serif" w:hAnsi="Times New Roman;sans-serif"/>
          <w:b w:val="false"/>
          <w:i/>
          <w:color w:val="000000"/>
          <w:sz w:val="20"/>
        </w:rPr>
        <w:t>Broad Underwriting Expertise.</w:t>
      </w:r>
      <w:r>
        <w:rPr>
          <w:color w:val="000000"/>
        </w:rPr>
        <w:t>   </w:t>
      </w:r>
      <w:r>
        <w:rPr>
          <w:rFonts w:ascii="Times New Roman;sans-serif" w:hAnsi="Times New Roman;sans-serif"/>
          <w:b w:val="false"/>
          <w:color w:val="000000"/>
          <w:sz w:val="20"/>
        </w:rPr>
        <w:t>We strive to be innovative in tailoring our products to provide solutions for our distribution partners and insureds, and 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pStyle w:val="TextBody"/>
        <w:spacing w:lineRule="auto" w:line="288" w:before="0" w:after="120"/>
        <w:ind w:left="0" w:right="0" w:firstLine="405"/>
        <w:rPr/>
      </w:pPr>
      <w:r>
        <w:rPr>
          <w:rFonts w:ascii="Times New Roman;sans-serif" w:hAnsi="Times New Roman;sans-serif"/>
          <w:b w:val="false"/>
          <w:i/>
          <w:color w:val="000000"/>
          <w:sz w:val="20"/>
        </w:rPr>
        <w:t>Emphasis on Lowering Volatility.</w:t>
      </w:r>
      <w:r>
        <w:rPr>
          <w:color w:val="000000"/>
        </w:rPr>
        <w:t>   </w:t>
      </w:r>
      <w:r>
        <w:rPr>
          <w:rFonts w:ascii="Times New Roman;sans-serif" w:hAnsi="Times New Roman;sans-serif"/>
          <w:b w:val="false"/>
          <w:color w:val="000000"/>
          <w:sz w:val="20"/>
        </w:rPr>
        <w:t>We earn our profits by taking underwriting and investment risk. We underwrite many classes of insurance and invest in many types of assets. We believe we have minimal exposure to material property risks and did not have material losses from property risks during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seek to limit our catastrophic underwriting exposure in all areas, but in particular to property risks and catastrophic events. Our U.S. primary companies purchase reinsurance from unaffiliated reinsurers to reduce our net exposure to any one risk or occurrence. In addition, our policy forms and pricing are subject to regular formal analysis in an effort to ensure we are insuring the types of risks we intend and that we are being appropriately compensated for taking on those risks. When we write reinsurance, we seek to avoid catastrophic risks and contractually limit the amount of exposure we have on any one risk or occurrence. We prefer to structure our assumed reinsurance treaties as proportional or quota share reinsurance, which is generally less volatile than excess of loss or catastrophe reinsurance. We believe this structure aligns our interests with those of the ceding company.</w:t>
      </w:r>
    </w:p>
    <w:p>
      <w:pPr>
        <w:pStyle w:val="TextBody"/>
        <w:spacing w:lineRule="auto" w:line="288" w:before="0" w:after="120"/>
        <w:ind w:left="0" w:right="0" w:firstLine="405"/>
        <w:rPr/>
      </w:pPr>
      <w:r>
        <w:rPr>
          <w:rFonts w:ascii="Times New Roman;sans-serif" w:hAnsi="Times New Roman;sans-serif"/>
          <w:b w:val="false"/>
          <w:i/>
          <w:color w:val="000000"/>
          <w:sz w:val="20"/>
        </w:rPr>
        <w:t>Meaningful Risk Adjusted Investment Returns.</w:t>
      </w:r>
      <w:r>
        <w:rPr>
          <w:color w:val="000000"/>
        </w:rPr>
        <w:t>   </w:t>
      </w:r>
      <w:r>
        <w:rPr>
          <w:rFonts w:ascii="Times New Roman;sans-serif" w:hAnsi="Times New Roman;sans-serif"/>
          <w:b w:val="false"/>
          <w:color w:val="000000"/>
          <w:sz w:val="20"/>
        </w:rPr>
        <w:t>We seek to generate meaningful contributions to company profitability from our investment portfolio. We attempt to follow a diversified strategy that emphasizes the preservation of our invested assets, provides adequate liquidity for the prompt payment of claims and produces attractive results for our shareholders. Within that context, we seek to improve risk-adjusted returns in our investment portfolio by allocating a portion of our portfolio to investments where we take measured risks based upon detailed knowledge of certain niche asset classes. Investment grade fixed maturity securities make up the majority of our investment portfolio, and we are comfortable allocating a portion of our assets to non-traditional investments. We consider non-traditional investments to include investments that are (1) unrated bond or fixed income securities, (2) non-listed equities or (3) investments that generally have less liquidity than rated bond or fixed income securities or listed equities. Non-traditional investments represented 8.9% of our total cash and invested assets (excluding restricted cash equivalents) at December 31, 2021, consisting of syndicated bank loans (6.7%) and other invested assets (2.2%) that include interests in limited liability companies that invest in renewable energy opportunities, limited partnerships that invest in debt or equity securities, notes receivable for renewable energy projects, and a private debt security. While we are willing to make investments in non-traditional types of investments, we seek to avoid asset classes and investments that we do not understand. The weighted average credit rating of our portfolio of fixed maturity securities, bank loans and preferred stocks as of December 31, 2021 was “A”. At December 31, 2021, the average duration of our investment portfolio was 4.0 years.</w:t>
      </w:r>
    </w:p>
    <w:p>
      <w:pPr>
        <w:pStyle w:val="TextBody"/>
        <w:spacing w:lineRule="auto" w:line="288" w:before="0" w:after="120"/>
        <w:ind w:left="0" w:right="0" w:firstLine="405"/>
        <w:rPr/>
      </w:pPr>
      <w:r>
        <w:rPr>
          <w:rFonts w:ascii="Times New Roman;sans-serif" w:hAnsi="Times New Roman;sans-serif"/>
          <w:b w:val="false"/>
          <w:i/>
          <w:color w:val="000000"/>
          <w:sz w:val="20"/>
        </w:rPr>
        <w:t>Talented Underwriters and Operating Leadership.</w:t>
      </w:r>
      <w:r>
        <w:rPr>
          <w:color w:val="000000"/>
        </w:rPr>
        <w:t>   </w:t>
      </w:r>
      <w:r>
        <w:rPr>
          <w:rFonts w:ascii="Times New Roman;sans-serif" w:hAnsi="Times New Roman;sans-serif"/>
          <w:b w:val="false"/>
          <w:color w:val="000000"/>
          <w:sz w:val="20"/>
        </w:rPr>
        <w:t>The managers of our 15 underwriting divisions have an average of over 25 years of industry experience, substantial subject matter expertise and deep technical knowledge. They have been successful and profitable underwriters for us in the specialty casualty insurance and reinsurance sectors. Our segment presidents all have extensive backgrounds and histories working in management capacities in specialty casualty insurance and reinsurance. Our newly joined Chief Actuary, Chief Claims Officer and Chief Underwriting Officer also bring extensive backgrounds in operational leadership within specialty casualty insurance and reinsurance, including a deep focus on risk management.</w:t>
      </w:r>
    </w:p>
    <w:p>
      <w:pPr>
        <w:pStyle w:val="TextBody"/>
        <w:spacing w:lineRule="auto" w:line="288" w:before="0" w:after="120"/>
        <w:ind w:left="0" w:right="0" w:firstLine="405"/>
        <w:rPr/>
      </w:pPr>
      <w:r>
        <w:rPr>
          <w:rFonts w:ascii="Times New Roman;sans-serif" w:hAnsi="Times New Roman;sans-serif"/>
          <w:b w:val="false"/>
          <w:i/>
          <w:color w:val="000000"/>
          <w:sz w:val="20"/>
        </w:rPr>
        <w:t>Robust Technology and Data Capture.</w:t>
      </w:r>
      <w:r>
        <w:rPr>
          <w:color w:val="000000"/>
        </w:rPr>
        <w:t>   </w:t>
      </w:r>
      <w:r>
        <w:rPr>
          <w:rFonts w:ascii="Times New Roman;sans-serif" w:hAnsi="Times New Roman;sans-serif"/>
          <w:b w:val="false"/>
          <w:color w:val="000000"/>
          <w:sz w:val="20"/>
        </w:rPr>
        <w:t>We seek to ground our underwriting decisions in reliable historical data and technical evaluation of risks. Our underwriters utilize intuitive systems and differentiated technologies. We have implemented processes to capture extensive data from our book of business, before, during and after the underwriting analysis and decision. We use the data we collect to inform and, we believe, improve our judgment about similar risks as we refine our underwriting criteria. We use the data we collect in regular formal review processes for each of our lines of business and significant reinsurance treaties.</w:t>
      </w:r>
    </w:p>
    <w:p>
      <w:pPr>
        <w:pStyle w:val="TextBody"/>
        <w:spacing w:lineRule="auto" w:line="288" w:before="0" w:after="120"/>
        <w:ind w:left="0" w:right="0" w:firstLine="405"/>
        <w:rPr/>
      </w:pPr>
      <w:r>
        <w:rPr>
          <w:rFonts w:ascii="Times New Roman;sans-serif" w:hAnsi="Times New Roman;sans-serif"/>
          <w:b w:val="false"/>
          <w:i/>
          <w:color w:val="000000"/>
          <w:sz w:val="20"/>
        </w:rPr>
        <w:t>Focus on Small and Medium-Sized Casualty Niche and Specialty Business.</w:t>
      </w:r>
      <w:r>
        <w:rPr>
          <w:color w:val="000000"/>
        </w:rPr>
        <w:t>   </w:t>
      </w:r>
      <w:r>
        <w:rPr>
          <w:rFonts w:ascii="Times New Roman;sans-serif" w:hAnsi="Times New Roman;sans-serif"/>
          <w:b w:val="false"/>
          <w:color w:val="000000"/>
          <w:sz w:val="20"/>
        </w:rPr>
        <w:t>We believe that small and medium-sized casualty accounts, in niche areas where we focus, are consistently among the most attractive subsets of the property-casualty insurance and reinsurance market. We think the unique characteristics of the risks within these markets require each account to be individually underwritten in an efficient manner.</w:t>
      </w:r>
    </w:p>
    <w:p>
      <w:pPr>
        <w:pStyle w:val="TextBody"/>
        <w:spacing w:lineRule="auto" w:line="288" w:before="0" w:after="12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Many carriers have chosen either to reject business that requires individual underwriting or have attempted to automate the underwriting of this highly variable business. Since our inception, we have embraced technology to greatly reduce the cost of individually underwriting these accounts in our Excess and Surplus Lines and Specialty Admitted Insurance segments. We are investing in technologies that may bring additional insights to our underwriters and allow them to refine and improve their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risk selection and pricing. We continue to have our underwriters make individual judgments regarding the underwriting and pricing of accounts. Our experience leads us to believe this approach, combining expert judgment and technology designed to provide our underwriters with relevant information and quick processing, is still more likely to produce consistent results over time and across markets. While we believe the insurance and reinsurance industry is generally overcapitalized at this time, we are successfully increasing rates in our Excess and Surplus Lines and Specialty Admitted Insurance segments. Pricing on our E&amp;S renewal book has increased for twenty consecutive quarters. The E&amp;S and Specialty Admitted segments combined represented 87.9% of our gross written premiums and 78.6% of our net written premiums for the twelve months ended December 31, 2021. We believe that there are compelling opportunities for measured but profitable growth in many sectors of the insurance markets we target.</w:t>
      </w:r>
    </w:p>
    <w:p>
      <w:pPr>
        <w:pStyle w:val="TextBody"/>
        <w:spacing w:lineRule="auto" w:line="288" w:before="0" w:after="120"/>
        <w:ind w:left="0" w:right="0" w:firstLine="405"/>
        <w:rPr/>
      </w:pPr>
      <w:r>
        <w:rPr>
          <w:rFonts w:ascii="Times New Roman;sans-serif" w:hAnsi="Times New Roman;sans-serif"/>
          <w:b w:val="false"/>
          <w:i/>
          <w:color w:val="000000"/>
          <w:sz w:val="20"/>
        </w:rPr>
        <w:t>Active Claims Management.</w:t>
      </w:r>
      <w:r>
        <w:rPr>
          <w:color w:val="000000"/>
        </w:rPr>
        <w:t>   </w:t>
      </w:r>
      <w:r>
        <w:rPr>
          <w:rFonts w:ascii="Times New Roman;sans-serif" w:hAnsi="Times New Roman;sans-serif"/>
          <w:b w:val="false"/>
          <w:color w:val="000000"/>
          <w:sz w:val="20"/>
        </w:rPr>
        <w:t>Our U.S.-based primary insurance companies actively manage claims as part of keeping losses and loss adjustment expenses low. We attempt to investigate thoroughly and settle promptly all covered claims, which we generally accomplish through direct contact with the insured and other affected parties. We have historically been able to close approximately 95% of claims from a particular policy year within the five subsequent years, and as of December 31, 2021, our reserves for claims incurred but not reported (“IBNR”) were 64.4% of our total net loss reserves.</w:t>
      </w:r>
    </w:p>
    <w:p>
      <w:pPr>
        <w:pStyle w:val="TextBody"/>
        <w:spacing w:lineRule="auto" w:line="288" w:before="0" w:after="120"/>
        <w:ind w:left="0" w:right="0" w:firstLine="405"/>
        <w:rPr/>
      </w:pPr>
      <w:r>
        <w:rPr>
          <w:rFonts w:ascii="Times New Roman;sans-serif" w:hAnsi="Times New Roman;sans-serif"/>
          <w:b w:val="false"/>
          <w:i/>
          <w:color w:val="000000"/>
          <w:sz w:val="20"/>
        </w:rPr>
        <w:t>Efficient Operating Platform.</w:t>
      </w:r>
      <w:r>
        <w:rPr>
          <w:color w:val="000000"/>
        </w:rPr>
        <w:t>   </w:t>
      </w:r>
      <w:r>
        <w:rPr>
          <w:rFonts w:ascii="Times New Roman;sans-serif" w:hAnsi="Times New Roman;sans-serif"/>
          <w:b w:val="false"/>
          <w:color w:val="000000"/>
          <w:sz w:val="20"/>
        </w:rPr>
        <w:t>We have what we believe to be an extremely attractive expense ratio, as we carefully manage personnel and all other costs throughout our group while growing our business. For the year ended December 31, 2021, our expense ratio was 23%. At December 31, 2021, 41.2% of our invested assets were held at JRG Re.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believe our approach to our business will help us achieve our goal of generating compelling returns on tangible equity while limiting volatility in our financial results. This approach involves the following:</w:t>
      </w:r>
    </w:p>
    <w:p>
      <w:pPr>
        <w:pStyle w:val="TextBody"/>
        <w:spacing w:lineRule="auto" w:line="288" w:before="0" w:after="120"/>
        <w:ind w:left="0" w:right="0" w:firstLine="405"/>
        <w:rPr/>
      </w:pPr>
      <w:r>
        <w:rPr>
          <w:rFonts w:ascii="Times New Roman;sans-serif" w:hAnsi="Times New Roman;sans-serif"/>
          <w:b w:val="false"/>
          <w:i/>
          <w:color w:val="000000"/>
          <w:sz w:val="20"/>
        </w:rPr>
        <w:t>Generate Consistent Underwriting Profits.</w:t>
      </w:r>
      <w:r>
        <w:rPr>
          <w:color w:val="000000"/>
        </w:rPr>
        <w:t>   </w:t>
      </w:r>
      <w:r>
        <w:rPr>
          <w:rFonts w:ascii="Times New Roman;sans-serif" w:hAnsi="Times New Roman;sans-serif"/>
          <w:b w:val="false"/>
          <w:color w:val="000000"/>
          <w:sz w:val="20"/>
        </w:rPr>
        <w:t>We seek to make underwriting profits each and every year. We attempt to find ways to grow in markets we believe to be profitable, but are less concerned about growth than maintaining profitability in our underwriting activities (measured without regard to investment income). We are willing to reduce the premiums we write when we cannot achieve the pricing and contract terms we believe are necessary to meet our financial goals.</w:t>
      </w:r>
    </w:p>
    <w:p>
      <w:pPr>
        <w:pStyle w:val="TextBody"/>
        <w:spacing w:lineRule="auto" w:line="288" w:before="0" w:after="120"/>
        <w:ind w:left="0" w:right="0" w:firstLine="405"/>
        <w:rPr/>
      </w:pPr>
      <w:r>
        <w:rPr>
          <w:rFonts w:ascii="Times New Roman;sans-serif" w:hAnsi="Times New Roman;sans-serif"/>
          <w:b w:val="false"/>
          <w:i/>
          <w:color w:val="000000"/>
          <w:sz w:val="20"/>
        </w:rPr>
        <w:t>Maintain a Strong Balance Sheet.</w:t>
      </w:r>
      <w:r>
        <w:rPr>
          <w:color w:val="000000"/>
        </w:rPr>
        <w:t>   </w:t>
      </w:r>
      <w:r>
        <w:rPr>
          <w:rFonts w:ascii="Times New Roman;sans-serif" w:hAnsi="Times New Roman;sans-serif"/>
          <w:b w:val="false"/>
          <w:color w:val="000000"/>
          <w:sz w:val="20"/>
        </w:rPr>
        <w:t>Balance sheet integrity is key to our long-term success. In order to maintain balance sheet integrity, we seek to estimate the amount of future obligations, especially reserves for losses and loss adjustment expenses, in a consistent and appropriate fashion.</w:t>
      </w:r>
    </w:p>
    <w:p>
      <w:pPr>
        <w:pStyle w:val="TextBody"/>
        <w:spacing w:lineRule="auto" w:line="288" w:before="0" w:after="120"/>
        <w:ind w:left="0" w:right="0" w:firstLine="405"/>
        <w:rPr/>
      </w:pPr>
      <w:r>
        <w:rPr>
          <w:rFonts w:ascii="Times New Roman;sans-serif" w:hAnsi="Times New Roman;sans-serif"/>
          <w:b w:val="false"/>
          <w:i/>
          <w:color w:val="000000"/>
          <w:sz w:val="20"/>
        </w:rPr>
        <w:t>Earn a Meaningful Contribution from Investments.</w:t>
      </w:r>
      <w:r>
        <w:rPr>
          <w:color w:val="000000"/>
        </w:rPr>
        <w:t>   </w:t>
      </w:r>
      <w:r>
        <w:rPr>
          <w:rFonts w:ascii="Times New Roman;sans-serif" w:hAnsi="Times New Roman;sans-serif"/>
          <w:b w:val="false"/>
          <w:color w:val="000000"/>
          <w:sz w:val="20"/>
        </w:rPr>
        <w:t>We seek to earn a meaningful contribution to our overall returns from our investment portfolio 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pStyle w:val="TextBody"/>
        <w:spacing w:lineRule="auto" w:line="288" w:before="0" w:after="120"/>
        <w:ind w:left="0" w:right="0" w:firstLine="405"/>
        <w:rPr/>
      </w:pPr>
      <w:r>
        <w:rPr>
          <w:rFonts w:ascii="Times New Roman;sans-serif" w:hAnsi="Times New Roman;sans-serif"/>
          <w:b w:val="false"/>
          <w:i/>
          <w:color w:val="000000"/>
          <w:sz w:val="20"/>
        </w:rPr>
        <w:t>Focus on Specialty Insurance Markets and Fee Income.</w:t>
      </w:r>
      <w:r>
        <w:rPr>
          <w:color w:val="000000"/>
        </w:rPr>
        <w:t>   </w:t>
      </w:r>
      <w:r>
        <w:rPr>
          <w:rFonts w:ascii="Times New Roman;sans-serif" w:hAnsi="Times New Roman;sans-serif"/>
          <w:b w:val="false"/>
          <w:color w:val="000000"/>
          <w:sz w:val="20"/>
        </w:rPr>
        <w:t>We focus on specialty markets in which our underwriters have particular expertise and in which we have fewer competitors than in standard markets, and greater flexibility to price and structure our products in accordance with our underwriting strategy. We believe underwriting profitability can best be achieved through restricting our risk taking on insurance and reinsurance to niches where, because of our expertise, we can distinguish ourselves in the underwriting and pricing process. We also believe that we can achieve attractive returns on capital through the growth of our fronting business, as we carefully manage credit and collateral to generate attractive fee income, while generally utilizing less capital than in our highly underwritten businesses.</w:t>
      </w:r>
    </w:p>
    <w:p>
      <w:pPr>
        <w:pStyle w:val="TextBody"/>
        <w:spacing w:lineRule="auto" w:line="288" w:before="0" w:after="120"/>
        <w:ind w:left="0" w:right="0" w:firstLine="405"/>
        <w:rPr/>
      </w:pPr>
      <w:r>
        <w:rPr>
          <w:rFonts w:ascii="Times New Roman;sans-serif" w:hAnsi="Times New Roman;sans-serif"/>
          <w:b w:val="false"/>
          <w:i/>
          <w:color w:val="000000"/>
          <w:sz w:val="20"/>
        </w:rPr>
        <w:t>Use Timely and Accurate Data.</w:t>
      </w:r>
      <w:r>
        <w:rPr>
          <w:color w:val="000000"/>
        </w:rPr>
        <w:t>   </w:t>
      </w:r>
      <w:r>
        <w:rPr>
          <w:rFonts w:ascii="Times New Roman;sans-serif" w:hAnsi="Times New Roman;sans-serif"/>
          <w:b w:val="false"/>
          <w:color w:val="000000"/>
          <w:sz w:val="20"/>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pStyle w:val="TextBody"/>
        <w:spacing w:lineRule="auto" w:line="276" w:before="0" w:after="120"/>
        <w:ind w:left="0" w:right="0" w:firstLine="405"/>
        <w:rPr/>
      </w:pPr>
      <w:r>
        <w:rPr>
          <w:rFonts w:ascii="Times New Roman;sans-serif" w:hAnsi="Times New Roman;sans-serif"/>
          <w:b w:val="false"/>
          <w:i/>
          <w:color w:val="000000"/>
          <w:sz w:val="20"/>
        </w:rPr>
        <w:t xml:space="preserve">Respond Rapidly to Market Opportunities and Challenges. </w:t>
      </w:r>
      <w:r>
        <w:rPr>
          <w:color w:val="000000"/>
        </w:rPr>
        <w:t>  </w:t>
      </w:r>
      <w:r>
        <w:rPr>
          <w:rFonts w:ascii="Times New Roman;sans-serif" w:hAnsi="Times New Roman;sans-serif"/>
          <w:b w:val="false"/>
          <w:color w:val="000000"/>
          <w:sz w:val="20"/>
        </w:rPr>
        <w:t>For the year ended December 31, 2021, gross written premiums for the Excess and Surplus Lines segment excluding commercial auto (“Core E&amp;S”) increased by 19.4% over the same period in 2020. We plan to grow our business to take advantage of opportunities in markets in which we believe we can use our expertise to generate consistent underwriting profits. We seek to measure rates monthly and react quickly to changes in the rates or terms the market will accept. In this favorable pricing environment, we have taken steps to grow and are increasing gross written premiums across most underwriting divisions in this segment. In 2021, our growth was primarily focused in our Excess Casualty, General Casualty, Manufacturers &amp; Contractors, Excess Property, and Life Sciences divisions within our Excess and Surplus Lines segment. This very specific evaluation of each risk or class of risks is a hallmark of our underwriting.</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When market conditions have been challenging, or when actual experience has not been as favorable as we anticipated, or when the size or risk profile of certain insureds or lines of business change, we have tried to act quickly to evaluate our situation and to make course corrections in order to protect our profits and preserve tangible equity. Our actions have included reducing our writings when margins tightened and exiting lines or classes of business when we believed the risk of continuing in a line outweighed the potential rewards from underwriting. We do not hesitate to increase loss estimates when we determine that it is appropriate.</w:t>
      </w:r>
    </w:p>
    <w:p>
      <w:pPr>
        <w:pStyle w:val="TextBody"/>
        <w:spacing w:lineRule="auto" w:line="288" w:before="0" w:after="120"/>
        <w:ind w:left="0" w:right="0" w:firstLine="405"/>
        <w:rPr/>
      </w:pPr>
      <w:r>
        <w:rPr>
          <w:rFonts w:ascii="Times New Roman;sans-serif" w:hAnsi="Times New Roman;sans-serif"/>
          <w:b w:val="false"/>
          <w:i/>
          <w:color w:val="000000"/>
          <w:sz w:val="20"/>
        </w:rPr>
        <w:t>Manage Capital Actively.</w:t>
      </w:r>
      <w:r>
        <w:rPr>
          <w:color w:val="000000"/>
        </w:rPr>
        <w:t>   </w:t>
      </w:r>
      <w:r>
        <w:rPr>
          <w:rFonts w:ascii="Times New Roman;sans-serif" w:hAnsi="Times New Roman;sans-serif"/>
          <w:b w:val="false"/>
          <w:color w:val="000000"/>
          <w:sz w:val="20"/>
        </w:rPr>
        <w:t>We invest and manage our capital with a goal of consistently increasing tangible equity for our shareholders and generating attractive returns on tangible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or that is reasonably necessary to bolster the capital positions of our regulated insurance entities. We may not, however, always be able to raise capital when needed. Our ratings from A.M. Best are very important to us, as are our relationships with our regulators, and maintaining them in good order is a principal consideration in our decisions regarding capital management.</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Structure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chart below displays our corporate structure as of December 31, 2021 as it pertains to our holding and operating subsidiaries.</w:t>
      </w:r>
    </w:p>
    <w:p>
      <w:pPr>
        <w:pStyle w:val="TextBody"/>
        <w:spacing w:before="0" w:after="120"/>
        <w:jc w:val="center"/>
        <w:rPr/>
      </w:pPr>
      <w:r>
        <w:rPr/>
        <w:drawing>
          <wp:inline distT="0" distB="63500" distL="0" distR="0">
            <wp:extent cx="4724400" cy="29527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4724400" cy="2952750"/>
                    </a:xfrm>
                    <a:prstGeom prst="rect">
                      <a:avLst/>
                    </a:prstGeom>
                  </pic:spPr>
                </pic:pic>
              </a:graphicData>
            </a:graphic>
          </wp:inline>
        </w:drawing>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Excess and Surplus Lines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underwrite non-admitted E&amp;S business through our subsidiaries, James River Insurance Company and James River Casualty Company (together, “James River,” which comprises our Excess and Surplus Lines segment), from offices in Richmond, Virginia; Scottsdale, Arizona; and Atlanta, Georgia. The Excess and Surplus Lines segment is our largest segment, representing 55.3% of consolidated gross written premiums for the year ended December 31, 2021. James River has been engaged in the E&amp;S insurance market for 19 years.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E&amp;S industry focuses on insuring commercial insureds that may be unable to purchase insurance from standard lines insurers typically due to perceived risk related to their products or operations. Our Excess and Surplus Lines segment underwrites property-casualty insurance in all states and the District of Columbia. We utilize a network of authorized wholesale brokers and general agents throughout the United States. In 2021, our Excess and Surplus Lines segment’s gross written premiums increased by 19.2% over 2020. In 2020, our Excess and Surplus Lines segment’s gross written premiums shrank by 24.2% relative to 2019 due to the early cancellation in late 2019 of a large commercial auto account. Gross written premiums for our Core E&amp;S business, which excludes our commercial auto division, grew by 19.4% and 29.5% in 2021 and 2020, respectively. The Excess and Surplus Lines segment produced a weighted-average combined ratio of 95.2% from 2012 through 2021.</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Companies that underwrite on an E&amp;S lines basis operate under a different regulatory structure than standard market carriers. E&amp;S lines carriers are generally permitted to craft the terms of the insurance contract to suit the particular risk they are assuming. E&amp;S lines carriers are, for the most part, free of rate and form regulation. In contrast, standard market carriers are generally required to use approved insurance forms and to charge rates that have been authorized by or filed with state insurance departments. However, as E&amp;S carriers, our insurance subsidiaries in the Excess and Surplus Lines segment are not backed by any state’s guarantee fund, and in most states these subsidiaries may only write coverage for an insured after they have been denied coverage by the standard market and signed declarations stating that the insured is aware that it will not have access to any state guarantee funds should these subsidiaries be unable to satisfy their obligations.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 underwrites coverage for a wide range of commercial businesses and does not write personal lines insurance. Applications for insurance are presented to us by authorized wholesale brokers who are typically engaged by retail agents after their clients have been rejected by standard markets.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late 2017, the Excess and Surplus Lines segment started a binding contract unit (as part of our Small Business underwriting division) where limited authority for underwriting is delegated to a select, but growing, group of agents on a limited number of General Liability classes through a company designed online portal.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All claims for business written by the Excess and Surplus Lines segment are managed by our internal claims department although we use independent adjusters for inspection and payment of certain claims.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chart below identifies the Excess and Surplus Lines segment’s divisions and sets forth the amount of gross written premiums by each division.</w:t>
      </w:r>
    </w:p>
    <w:tbl>
      <w:tblPr>
        <w:tblW w:w="10205" w:type="dxa"/>
        <w:jc w:val="left"/>
        <w:tblInd w:w="0" w:type="dxa"/>
        <w:tblCellMar>
          <w:top w:w="28" w:type="dxa"/>
          <w:left w:w="28" w:type="dxa"/>
          <w:bottom w:w="28" w:type="dxa"/>
          <w:right w:w="28" w:type="dxa"/>
        </w:tblCellMar>
      </w:tblPr>
      <w:tblGrid>
        <w:gridCol w:w="594"/>
        <w:gridCol w:w="484"/>
        <w:gridCol w:w="265"/>
        <w:gridCol w:w="109"/>
        <w:gridCol w:w="109"/>
        <w:gridCol w:w="109"/>
        <w:gridCol w:w="211"/>
        <w:gridCol w:w="826"/>
        <w:gridCol w:w="109"/>
        <w:gridCol w:w="109"/>
        <w:gridCol w:w="109"/>
        <w:gridCol w:w="109"/>
        <w:gridCol w:w="307"/>
        <w:gridCol w:w="309"/>
        <w:gridCol w:w="50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59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5"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Written Premiums</w:t>
              <w:br/>
              <w:t xml:space="preserve">Year Ended December 31, </w:t>
            </w:r>
          </w:p>
        </w:tc>
      </w:tr>
      <w:tr>
        <w:trPr/>
        <w:tc>
          <w:tcPr>
            <w:tcW w:w="1343"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E&amp;S Division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Total</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r>
      <w:tr>
        <w:trPr/>
        <w:tc>
          <w:tcPr>
            <w:tcW w:w="13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Contractors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Entertainment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top w:val="single" w:sz="8" w:space="0" w:color="CCEEFF"/>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Professionals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530,120 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Excess Casualty underwrites excess liability coverage for a variety of risk classes including manufacturers, contractors, distributors and transportation risks. Typically, we provide between $1.0 million and $10.0 million per occurrence limits above a $1.0 million attachment point. Of this amount, we retain up to $1.0 million of exposure per occurrence and cede the balance to our reinsurers.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 The underwriter who heads this division has 39 years of industry experience.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General Casualty writes primary liability coverage on businesses exposed to premises liability type claims including real estate, mercantile and retail operations, apartments and condominiums, daycare facilities, hotels and motels, restaurants, bars, taverns and schools. The head underwriter in this division has 35 years of experience. Typically, we write $1.0 million per occurrence in limits, and we retain the entire $1.0 million limit.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Manufacturers and Contractors writes primary general liability coverage for a variety of classes, including manufacturers of consumer, commercial, and industrial products and general and trade contractors. Typically, we issue a $1.0 million per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occurrence limit in this division and we retain the entire $1.0 million limit. The individual overseeing this division has 39 years of industry experience.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Excess Property writes property risks providing limits in various layers above the primary coverage layer for a variety of classes, including apartments, condominiums, resorts, shopping centers, offices and general commercial properties. Typical per risk limits offered range from $5.0 million to $30.0 million on a gross basis, and a maximum of $5.0 million on a net of reinsurance basis. The average net per risk limit is approximately $1.6 million as of December 31, 2021. We retain up to the first $5.0 million in any one event or catastrophe. The underwriter leading our Excess Property division has 33 years of experience in the industry.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Energy writes risks engaged in the business of energy production, distribution or mining, and the manufacture of equipment used in the energy business segment. Examples of classes underwritten by this division include oil and gas exploration companies, oil or gas well drillers, oilfield consultants, oil or gas lease operators, oil well servicing companies, oil or gas pipeline construction companies, fireworks manufacturing, mining-related risks, utilities, and utility contractors. We provide policy limits up to $11.0 million, with typical limits between $1.0 million and $5.0 million per occurrence, retaining up to $1.0 million in limit net on either a primary or excess basis. The underwriter leading this division has more than 39 years of experience in the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Life Sciences underwrites general liability, products liability and/or professional liability coverage for manufacturers, distributors and developers of biologics (antibodies &amp; vaccines used for the prevention of disease), nutraceuticals (health, nutrition and herbal supplements), human clinical trials, pharmaceuticals (mainly generics and over-the-counters) and medical devices. This division also writes a book of various types of business engaged in the medical and adult-use cannabis industry. We provide policy limits up to $11.0 million (up to $10.0 million on cannabis), with typical limits between $1.0 million and $5.0 million per occurrence, retaining up to $1.0 million in limit net. The underwriter at the head of this division has 39 years of experience in the industry.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Allied Health underwrites casualty insurance for allied health and social service types of risks, such as long-term care facilities, independent living apartments, group homes, half-way houses and shelters, drug rehabilitation, home health care and medical staffing enterprises. We provide policy limits up to $11.0 million, with typical limits between $1.0 million and $5.0 million per occurrence, retaining up to $1.0 million in limit net. The underwriter responsible for this unit has 29 years of experience in the business. Approximately 88% of the premiums written by our Allied Health division from inception through 2021 have been written on a claims-made and reported form. We believe this policy form significantly reduces our long-term exposure in this complicated class of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Commercial Auto underwrites primarily the hired and non-owned auto liability exposures for a variety of industry segments including package and food delivery services. On December 31, 2019, we terminated coverage for our largest commercial auto insured (Rasier) which comprised $374.2 million of gross written premiums in 2019, representing 40.6% of the Excess and Surplus Lines segment’s gross written premiums and 25.4% of our consolidated gross written premiums for the year ended December 31, 2019. The underwriter leading this division has 35 years of experience. Limits assumed are retained by the Company, in some cases subject to self-insured retentions of the insureds.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Small Business concentrates on brokerage accounts with annual primary liability insurance premiums of less than $10,000. For these smaller risks, we limit flexibility in coverage options and pricing to facilitate quick turnaround and efficient processing. We generally write $1.0 million per occurrence limits and retain the entire amount. The underwriter leading this division has 29 years of industry experience.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Environmental underwrites contractors’ pollution liability, products pollution liability, site specific pollution liability and consultant’s professional liability coverage on a stand-alone basis and in conjunction with the general liability coverage. The underwriter heading our Environmental division has more than 39 years of experience in the business. Typically, we write environmental coverage for contractors who are not engaged in environmental remediation work on an occurrence form. We provide policy limits up to $11.0 million, with typical limits between $1.0 million and $5.0 million per occurrence, retaining up to $1.0 million in limit net on a primary or excess basis.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Sports and Entertainment underwrites primary liability coverage for sports and entertainment related risks, including special events, family entertainment centers, tourist attractions, health clubs and sport teams, leagues and complexes. Typical limits offered are up to $1.0 million per occurrence, and we retain the entire $1.0 million limit. The underwriter at the head of this division has 35 years of experience in the industry.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Professional Liability writes professional liability coverage for accountants, architects, engineers, lawyers and certain other professions. We provide policy limits up to $11.0 million, with typical limits between $1.0 million and $5.0 million per occurrence, retaining up to $1.0 million in limit net. The individual who directs our professional liability division has 29 years of industry experience. All of our professional liability coverage is written on a claims-made and reported basis.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Medical Professionals underwrites non-standard physicians’ professional liability for individuals or small groups. Our healthcare business is a mix of both surgical and non-surgical classes. We typically provide between $1.0 million and $3.0 million per occurrence limits and retain up to $1.0 million of exposure per occurrence and cede the balance to our reinsurers. All of the policies written by this division have been issued on a claims-made and reported basis. The underwriter leading this division has 29 years of experience.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the top producing states by amount of gross written premium for our Excess and Surplus Lines segment for the year ended December 31, 2021 and the amount of gross written premium produced by such states for the years ended December 31, 2020, 2019, 2018 and 2017. The table also shows the percentage of each states’ gross written premium to total gross written premium in the Excess and Surplus Lines segment for the years ended December 31, 2021, 2020 and 2019.</w:t>
      </w:r>
    </w:p>
    <w:tbl>
      <w:tblPr>
        <w:tblW w:w="12358" w:type="dxa"/>
        <w:jc w:val="left"/>
        <w:tblInd w:w="0" w:type="dxa"/>
        <w:tblCellMar>
          <w:top w:w="28" w:type="dxa"/>
          <w:left w:w="28" w:type="dxa"/>
          <w:bottom w:w="28" w:type="dxa"/>
          <w:right w:w="28" w:type="dxa"/>
        </w:tblCellMar>
      </w:tblPr>
      <w:tblGrid>
        <w:gridCol w:w="463"/>
        <w:gridCol w:w="409"/>
        <w:gridCol w:w="419"/>
        <w:gridCol w:w="109"/>
        <w:gridCol w:w="109"/>
        <w:gridCol w:w="109"/>
        <w:gridCol w:w="211"/>
        <w:gridCol w:w="826"/>
        <w:gridCol w:w="109"/>
        <w:gridCol w:w="109"/>
        <w:gridCol w:w="109"/>
        <w:gridCol w:w="109"/>
        <w:gridCol w:w="307"/>
        <w:gridCol w:w="309"/>
        <w:gridCol w:w="276"/>
        <w:gridCol w:w="109"/>
        <w:gridCol w:w="109"/>
        <w:gridCol w:w="109"/>
        <w:gridCol w:w="211"/>
        <w:gridCol w:w="826"/>
        <w:gridCol w:w="109"/>
        <w:gridCol w:w="109"/>
        <w:gridCol w:w="109"/>
        <w:gridCol w:w="109"/>
        <w:gridCol w:w="307"/>
        <w:gridCol w:w="309"/>
        <w:gridCol w:w="276"/>
        <w:gridCol w:w="109"/>
        <w:gridCol w:w="109"/>
        <w:gridCol w:w="109"/>
        <w:gridCol w:w="211"/>
        <w:gridCol w:w="826"/>
        <w:gridCol w:w="109"/>
        <w:gridCol w:w="109"/>
        <w:gridCol w:w="109"/>
        <w:gridCol w:w="109"/>
        <w:gridCol w:w="307"/>
        <w:gridCol w:w="309"/>
        <w:gridCol w:w="276"/>
        <w:gridCol w:w="109"/>
        <w:gridCol w:w="109"/>
        <w:gridCol w:w="109"/>
        <w:gridCol w:w="211"/>
        <w:gridCol w:w="826"/>
        <w:gridCol w:w="109"/>
        <w:gridCol w:w="109"/>
        <w:gridCol w:w="109"/>
        <w:gridCol w:w="109"/>
        <w:gridCol w:w="211"/>
        <w:gridCol w:w="826"/>
        <w:gridCol w:w="154"/>
      </w:tblGrid>
      <w:tr>
        <w:trPr/>
        <w:tc>
          <w:tcPr>
            <w:tcW w:w="46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r>
      <w:tr>
        <w:trPr/>
        <w:tc>
          <w:tcPr>
            <w:tcW w:w="1291"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16.5 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14.9 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7.3 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15.4 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11.4 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5.6 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12.2 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15.6 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9.7 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15.9 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17.4 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19.3 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Marketing and Distribution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distributes its products through a select group of authorized E&amp;S lines brokers we believe can consistently produce reasonable volumes of quality business. These brokers procure policies for their clients from us as well as from other insurance companies. At December 31, 2021, the segment had authorized 109 broker groups to submit applications to us. The Excess and Surplus Lines segment generally makes broker authorizations by brokerage office and underwriting division. The segment does not grant its brokers underwriting or claims authority. The segment does delegate limited authority under several programs underwritten by exclusive General Agents as well as a growing but still limited number of General Agents underwriting small-account commercial risks through our online contract binding portal.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Brokers must be able to demonstrate an ability to competently produce both the quality and quantity of business that we seek. Brokers unable to produce consistently profitable business, or who produce unacceptably low volumes of business, may be terminated. Our Excess and Surplus Lines segment’s underwriters visit brokers regularly to discuss the products that we offer and the needs of the brokers. We believe the personal relationships we foster with individual brokers and our ability to respond to a wide variety of risks placed by these brokers make us an important market for them.</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Our Excess and Surplus Lines segment’s three largest brokers produced $568.9 million of gross written premiums for the year ended December 31, 2021, representing approximately 68.2% of the Excess and Surplus Lines segment’s gross written premiums and 37.7% of consolidated gross written premiums for 2021. The three largest brokers produced $239.1 million (Ryan Specialty Group), $197.3 million (AmWins Group), and $132.5 million (Truist Insurance Holdings) of gross written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premiums for the year ended December 31, 2021, respectively, representing 15.9%, 13.1%, and 8.8% of consolidated gross written premiums and 28.7%, 23.7%, and 15.9% of the Excess and Surplus Lines segment’s gross written premiums for 2021,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2021 and 2020, our Excess and Surplus Lines segment paid an average commission to producers of 16.6% and 15.1%, respectively, of gross written premiums.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Underwriting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segment’s staff includes over 200 individuals directly employed in underwriting policies as of December 31, 2021. We are very selective about the policies we bind. Our Excess and Surplus Lines segment binds approximately 4% of new submissions and one out of every five new quotes. We realize all excess and surplus lines applications have already been rejected by the standard market. If our underwriters cannot reasonably expect to bind coverage at the combination of premiums and coverage that meet our standards, they are encouraged to quickly move on to another prospective opportunity. For the year ended December 31, 2021, we received approximately 303,000 submissions (new and renewal, excluding commercial auto policies), quoted over 62,000 policies and bound over 25,000 policies.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 filed rates. We attempt to craft policies that offer affordable protection to our insureds by tailoring coverage in ways that make potential losses more predictable and are intended to reduce claims costs.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Claims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believe that effective management of claims settlement and any associated litigation avoids delays and associated additional costs.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segment’s claims department consists of over 85 claims professionals as of December 31, 2021 with significant claims experience in the property-casualty industry.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claims staff also contributes to our underwriting operations through communication of claims information to our underwriters. Members of our Claims management team participate on our forms committee, which reviews and develops all policy forms and exclusions, and are also members of the underwriting review committee.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Approximately 92% of all claims received are closed within five years in the Excess and Surplus Lines segment.</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calendar year net loss ratios for the Excess and Surplus Lines segment for the last ten years were: </w:t>
      </w:r>
    </w:p>
    <w:tbl>
      <w:tblPr>
        <w:tblW w:w="1691" w:type="dxa"/>
        <w:jc w:val="left"/>
        <w:tblInd w:w="0" w:type="dxa"/>
        <w:tblCellMar>
          <w:top w:w="28" w:type="dxa"/>
          <w:left w:w="28" w:type="dxa"/>
          <w:bottom w:w="28" w:type="dxa"/>
          <w:right w:w="28" w:type="dxa"/>
        </w:tblCellMar>
      </w:tblPr>
      <w:tblGrid>
        <w:gridCol w:w="196"/>
        <w:gridCol w:w="172"/>
        <w:gridCol w:w="173"/>
        <w:gridCol w:w="109"/>
        <w:gridCol w:w="109"/>
        <w:gridCol w:w="307"/>
        <w:gridCol w:w="309"/>
        <w:gridCol w:w="316"/>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calendar year loss ratios for 2017 through 2021 were impacted by adverse reserve development of $38.7 million, $20.7 million, $57.4 million, $91.4 million, and $200.1 million, respectively, in the commercial auto line of business that was primarily related to a former insured, Rasier LLC and its affiliates (“Rasier”). The loss ratio for 2021 also includes $5.0 million of net catastrophe losses related to Hurricane Ida in the Excess Property line of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entered into a loss portfolio transfer reinsurance transaction with Aleka Insurance, Inc. (“Aleka”), a captive insurance company affiliate of Rasier, to reinsure substantially all of the Excess and Surplus Lines segment's legacy portfolio of commercial auto policies previously issued to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fully collateralized, not subject to an aggregate limit, and subject to certain exclusions.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Specialty Admitted Insurance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Falls Lake Insurance Companies (“Falls Lake”) comprise our other U.S. insurance segment, Specialty Admitted Insurance. Falls Lake consists of Falls Lake National Insurance Company (an Ohio domiciled company, licensed in 49 states and the District of Columbia and registered as a surplus lines company in California), and its subsidiaries Stonewood Insurance Company (a North Carolina domiciled company) and Falls Lake Fire and Casualty Company (a California domiciled company). The Specialty Admitted Insurance segment produced 32.6% of consolidated gross written premiums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plan is to continue to use our broad licensure and significant management expertise to earn substantial fee income as well as underwriting profits. The Specialty Admitted Insurance segment consists of:</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Individual risk workers’ compensation business, underwritten by our staff and generated by appointed agents in 13 states, that produced 11.7% of 2021 gross written premiums in this segment, (15.6% in 2020, 16.4% in 2019, 14.8% in 2018, 13.9% in 2017, and 21.7% in 2016);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Fronting and program business written through selected MGAs, insurance carriers, and other producers, which represented 88.3% of 2021 gross written premiums in this segment, (84.4% in 2020, 83.6% in 2019, 85.2% in 2018, 86.1% in 2017, and 78.3% in 2016).</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Traditional Workers’ Compensation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individual risk workers’ compensation business, produced through a distribution channel comprised of appointed independent retail agents and a limited number of appointed wholesale brokers, remains a regionally focused effort in select Southeastern U.S. states. We made the strategic decision in 2020 to focus our efforts towards the Southeast, and to substantially reduce our presence in other states. This decision was based upon a wide range of factors, including ability to exceed internal performance metrics, regulations regarding pricing and cost containment, and our agent relationships. For the year ended December 31, 2021, approximately 36% of our retail produced workers’ compensation direct written premiums were in North Carolina, 17% were in Georgia, 17% were in Missouri, and 12% were in Virginia. Building trades represented approximately 32% of the direct premiums in force in our retail produced workers’ compensation book in 2021. Other significant industry groups include specialty transportation (14%), healthcare employees (13%), goods and services (13%), manufacturing (13%), and agriculture (8%). We view our retail produced workers’ compensation business as a core competency and seek to make consistent underwriting profits from it. We recognize the cyclical nature of this line and are prepared to contract the business rapidly when rates decline, or the regulatory or economic environment makes it difficult to contain costs.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Fronting &amp; Program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our fronting business we issue insurance policies for another insurance company which may not have the licensure, product suite or rating to serve its desired market, or for a program supported by reinsurance or alternative capital provider(s). We generally retain 10%-30% of the underwriting risk in our fronting business. The issuance of our policy makes us contractually responsible to the insured in the event they experience a covered loss. We enter into these arrangements selectively with counterparties which have significant experience and market presence in their desired segment of property-casualty, workers' compensation or automobile business. Underwriting, claims and financial performance is subject to regular review by our staff, and we hold appropriate collateral to manage counterparty credit risk. We specifically grant limited authority for underwriting and claims administration and employ a rigorous review process to ensure the authority is appropriately used within the terms of our contract, and that collateral held by us is appropriate as determined by our personnel. We charge fees as a percentage of gross written premiums for issuing these policies. We establish fronting opportunities through a variety of sources, including direct carrier relationships, MGAs and reinsurance brokers.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Due to our broad licensure and product filings, we are positioned to support this business on a broad basis throughout the United States. Because of the more limited capital allocation required to support it, we believe the fronting business represents an efficient use of capital, and we continued to expand this business in 2021. Two fronting agencies produced $124.1 million (Atlas General Insurance Services) and $89.5 million of gross written premiums in 2021, representing 8.2% and 5.9% of consolidated gross written premiums and 25.2% and 18.2% of the Specialty Admitted Insurance segment's gross written premiums, respectively. Our fronting business saw growth related to new fronting relationships added since January 1, 2020 that generated $105.2 million and $35.0 million of gross written premium in the years ended December 31, 2021 and 2020,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objective over time is to utilize the combination of fee income and underwriting profits from our Specialty Admitted Insurance segment to leverage our capital and improve returns on tangible equity. Additionally, we expect that this fee income, which was $22.7 million in 2021, $19.3 million in 2020, and $15.8 million in 2019, may be increasingly material in future periods and provide us with a steady revenue stream.</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a fronting arrangement, we give selected MGAs authority to act on our behalf to produce, underwrite and administer policies that meet our strict underwriting and pricing guidelines. We enter into these arrangements selectively with agents who have significant experience and market presence in specialty classes of property-casualty risks. Underwriting, claims and financial performance is subject to regular review by our staff. We only work with MGAs who permit us to actively engage with them through a combination of onsite and offsite resources to facilitate our real-time supervision of their work. We specifically grant limited authority for underwriting and claims administration and employ a rigorous review process to ensure the authority is appropriately used.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focus our coverage on casualty risks in our fronting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to third-party administrators for the first $50,000 of a claim, and then provide supervisory control above this amount.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Under the terms of these program agreements, we pay fixed commissions, often with a profit contingency. Our fronting business is distributed primarily through MGAs and program managers.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Excluding our Atlas program, we have seventeen active fronting arrangements as of December 31, 2021. During 2021, these arrangements represented 62.4% of the segment’s gross written premium.</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Casualty Reinsurance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report our business of writing reinsurance for third party insurance companies in our Casualty Reinsurance segment (representing 12.1% of consolidated gross written premiums for the year ended December 31, 2021). We participate in the reinsurance business through our Bermuda domiciled reinsurance subsidiary, JRG Re, which is licensed as a Class 3B reinsurer by the Bermuda Monetary Authority. JRG Re provides proportional and working layer excess of loss treaty reinsurance to third parties and, through December 31, 2017, also to our U.S.-based insurance subsidiaries. For purposes of management evaluation, this segment’s underwriting results only include premiums ceded by, and losses incurred with respect to, business assumed from unaffiliated companies and does not include premiums and losses ceded under the internal reinsurance arrangements.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Our Casualty Reinsurance segment underwrote $182.1 million in gross written premiums for the year ended December 31, 2021, 96.7% of which consisted of E&amp;S risks. Of those third-party premiums written by JRG Re, 65.7% is classified by the company as general liability and 23.4% as non-medical professional liability, with the balance primarily related to excess casualty and commercial auto coverages. We typically structure our reinsurance treaties as quota share arrangements with loss and risk mitigating features that align our interest with that of the ceding companies. On a premium volume basis, treaties written as “proportional” arrangements represented 95.5% of the third-party net written premiums during 2021 and treaties with loss mitigation features including sliding scale ceding commissions represented 58.9%. We purchase very little retrocessional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coverage in this segment. Almost all of the segment’s premiums are for casualty lines of business. The Casualty Reinsurance segment writes virtually no reinsurance designed to respond specifically to natural catastrophes.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Casualty Reinsurance segment’s three largest brokers generated $80.1 million, $53.9 million, and $20.0 million of gross written premiums, respectively, representing 84.5% of the segment’s gross written premiums in the year ended December 31, 2021. The Casualty Reinsurance segment’s three largest relationships with unaffiliated ceding companies generated $115.7 million of gross written premiums ($76.6 million, $22.9 million, and $16.2 million, respectively) representing 7.7% of consolidated gross written premiums and 63.5% of the Casualty Reinsurance segment's gross written premiums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Underwriting profits and investment income earned by JRG Re are exempt from U.S. taxation. We do, however, pay a 1% U.S. Federal excise tax on premiums ceded to JRG Re. At December 31, 2021, JRG Re invested assets made up 41.2% of our total invested assets.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Corporate and Other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and other holding company employees are part of the Corporate and Other segment. This is where we set and direct strategy for the group as a whole as well as high level objectives for each of the three operating segments. We make all capital management, capital allocation, treasury functions, information technology and group wide risk management decisions in this segment. Our decisions at this level also include reinsurance purchasing.</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Purchase of Reinsurance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routinely purchase reinsurance for our Excess and Surplus Lines and Specialty Admitted Insurance segments and, less frequently purchase retrocessional coverage for our Casualty Reinsurance segment. The purchase of reinsurance reduces volatility by limiting our exposure to large losses and provides capacity for growth. In a reinsurance transaction, an insurance company transfers, or cedes, all or part of its exposure in return for a portion of the premium. In a retrocession transaction, a reinsurer transfers, or cedes, all or part of its exposure in return for a portion of the premium. Our companies remain legally responsible for the entire obligation to policyholders and ceding companies, irrespective of any reinsurance or retrocession coverage we may purchase. Typically, we pay claims from our own funds and then seek reimbursement from the reinsurer or retrocessionaire, as applicable. There is credit exposure with respect to losses ceded to the extent that any reinsurer or retrocessionaire is unable or unwilling to meet the obligations ceded by us under reinsurance or retrocessional treaties. The ability to collect on reinsurance or retrocessional reinsurance is subject to many factors, including the solvency of the counterparty and their interpretation of contract language and other factors. As of December 31, 2021, we have no material, ongoing disputes with any reinsurer or retrocessionaire, and we are not aware of any credit quality issues with any of our reinsurers or retrocessionaires.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Purchased Property Reinsurance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focus on return on tangible equity leads us to avoid lines of business that we know are exposed to high degrees of volatility. The Excess and Surplus Lines segment writes a limited book of excess property risks (approximately $47.2 million direct written premiums in 2021). The risks assumed in this book are geographically dispersed and significantly reinsured to limit losses. The Excess and Surplus Lines segment may retain up to $5.0 million per risk on our excess property book; however, the average retained amount per risk is approximately $1.6 million. In our Specialty Admitted Insurance segment, we focus on casualty business, but we do write a limited amount of property insurance, principally through our fronting and programs business. The focus in our Casualty Reinsurance segment is also primarily casualty business, but we do have a relatively small amount of assumed business with property exposure.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purchased a surplus share reinsurance treaty specifically designed to cover property risks. The surplus share treaty along with facultative reinsurance helps ensure that our net retained limit per risk will be $5.0 million or less. Additionally, we purchased catastrophe reinsurance of $40.0 million in excess of a $5.0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program book of business, the segment has purchased coverage for $4.0 million in excess of $1.0 million per occurrence, in addition to the protection provided under the corporate $40.0 million in excess of $5.0 million catastrophe treaty. This is also intended to cover the 1 in 1,000 year modeled aggregate PML on any property exposures the Specialty Admitted Insurance segment assumes. In our Casualty Reinsurance segment, we believe that our maximum loss from a catastrophic event is approximately $2.0 million and, as a result, we do not currently purchase retrocessional reinsurance coverage for property-catastrophe risks. We believe our pre-tax group-wide PML from a 1 in 1,000 year catastrophic event would not exceed 2.5% of shareholders’ equity, inclusive of reinstatement premiums payable.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Purchased Casualty Reinsurance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there are five divisions where we only write $1.0 million per occurrence limits (Commercial Auto, Manufacturers and Contractors, General Casualty, Small Business and Sports and Entertainment), and therefore, we do not purchase any specific reinsurance for these policies. In the other divisions, where we issue policies with larger limits, we purchase reinsurance in excess of $1.0 million per occurrence.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our Specialty Admitted Insurance segment, there are two distinct reinsurance strategies. For individual risk workers' compensation, we purchase $29.0 million excess of $1.0 million per occurrence; and, effective January 1, 2020, we also purchased a 70% quota share coverage of the primary $1.0 million. For our fronting and program business, we purchase proportional reinsurance and excess of loss reinsurance to limit our exposure to no more than $500,000 per occurrence.</w:t>
      </w:r>
    </w:p>
    <w:p>
      <w:pPr>
        <w:pStyle w:val="TextBody"/>
        <w:spacing w:lineRule="auto" w:line="276"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both our Excess and Surplus Lines segment and our Specialty Admitted Insurance segment, we purchase a contingency clash reinsurance treaty that covers all casualty business for $10.0 million in excess of $2.0 million per occurrence. This coverage is intended to respond in a situation where we have multiple insured losses from the same event as well as extra contractual obligations or excess policy limits on an individual occurrence basis. Effective January 1, 2020, we purchased an additional $10.0 million in claims made coverage for excess policy limits and extra contractual obligations exposures above the clash and contingency treaty for the period 2014 to present.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our Casualty Reinsurance segment, we currently purchase quota share retrocessional reinsurance in support of an individual assumed treaty where an expense override is achieved. In prior periods, we have purchased proportional and excess of loss retrocessional coverage for particular situations related to specific treaties, but have only done so on a limited basis.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2021, our top ten reinsurers represented 72.8% of our total ceded reinsurance recoverables, and all of these reinsurance recoverables were from reinsurers with an A.M. Best rating of “A+” (Superior), are collateralized with letters of credit or by a trust agreement, or represent recoverables from a state residual market for automobile insurance. The following table sets forth our ten most significant reinsurers by amount of reinsurance recoverables on unpaid losses and the amount of reinsurance recoverables pertaining to each such reinsurer as well as its A.M. Best rating as of December 31, 2021:</w:t>
      </w:r>
    </w:p>
    <w:tbl>
      <w:tblPr>
        <w:tblW w:w="7088" w:type="dxa"/>
        <w:jc w:val="left"/>
        <w:tblInd w:w="0" w:type="dxa"/>
        <w:tblCellMar>
          <w:top w:w="28" w:type="dxa"/>
          <w:left w:w="28" w:type="dxa"/>
          <w:bottom w:w="28" w:type="dxa"/>
          <w:right w:w="28" w:type="dxa"/>
        </w:tblCellMar>
      </w:tblPr>
      <w:tblGrid>
        <w:gridCol w:w="1225"/>
        <w:gridCol w:w="1078"/>
        <w:gridCol w:w="1087"/>
        <w:gridCol w:w="109"/>
        <w:gridCol w:w="109"/>
        <w:gridCol w:w="109"/>
        <w:gridCol w:w="244"/>
        <w:gridCol w:w="1130"/>
        <w:gridCol w:w="126"/>
        <w:gridCol w:w="109"/>
        <w:gridCol w:w="109"/>
        <w:gridCol w:w="109"/>
        <w:gridCol w:w="452"/>
        <w:gridCol w:w="452"/>
        <w:gridCol w:w="640"/>
      </w:tblGrid>
      <w:tr>
        <w:trPr/>
        <w:tc>
          <w:tcPr>
            <w:tcW w:w="122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Reinsurer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Reinsurance</w:t>
              <w:br/>
              <w:t>Recoverable as of</w:t>
              <w:b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 Best Rating</w:t>
              <w:br/>
              <w:t>December 31, 2021</w:t>
            </w:r>
          </w:p>
        </w:tc>
      </w:tr>
      <w:tr>
        <w:trPr/>
        <w:tc>
          <w:tcPr>
            <w:tcW w:w="3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324,982 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Aleka Insurance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256,452 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Unrated</w:t>
            </w:r>
            <w:r>
              <w:rPr>
                <w:rFonts w:ascii="Times New Roman;sans-serif" w:hAnsi="Times New Roman;sans-serif"/>
                <w:b w:val="false"/>
                <w:color w:val="000000"/>
                <w:sz w:val="13"/>
              </w:rPr>
              <w:t>(1)</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Berkley Insurance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Safety National Casualty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Aioi Nissay Dowa Insurance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Hannover Ruck 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Endurance Assurance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Munich Reinsurance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European Insurance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B</w:t>
            </w:r>
            <w:r>
              <w:rPr>
                <w:rFonts w:ascii="Times New Roman;sans-serif" w:hAnsi="Times New Roman;sans-serif"/>
                <w:b w:val="false"/>
                <w:color w:val="000000"/>
                <w:sz w:val="13"/>
              </w:rPr>
              <w:t>(2)</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Reinsurance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Unrated</w:t>
            </w:r>
            <w:r>
              <w:rPr>
                <w:rFonts w:ascii="Times New Roman;sans-serif" w:hAnsi="Times New Roman;sans-serif"/>
                <w:b w:val="false"/>
                <w:color w:val="000000"/>
                <w:sz w:val="13"/>
              </w:rPr>
              <w:t>(3)</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Top 10 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366,379 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1,348,628 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    This reinsurer is unrated. All material reinsurance amounts from this reinsurer are collateralized.</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This reinsurer is below A-. All material reinsurance recoverable amounts from this reinsurer are collateralized.</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(3)    The North Carolina Reinsurance Facility is a residual market mechanism for automobile insurance in North Carolina.</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“LPT Agreement”) with Aleka to reinsure substantially all of the Rasier Commercial Auto Policies for which James River is not otherwise indemnified by Rasier under the Indemnity Agreements. Under the terms of the LPT Agreement, effective as of July 1, 2021, James River ceded to Aleka approximately $345.1 million of commercial auto liabilities relating to Rasier Commercial Auto Policies written in the years 2013-2019, which amount constituted the reinsurance premium.</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LPT Agreement, respectively:</w:t>
      </w:r>
    </w:p>
    <w:p>
      <w:pPr>
        <w:pStyle w:val="TextBody"/>
        <w:spacing w:lineRule="auto" w:line="288" w:before="0" w:after="120"/>
        <w:ind w:left="0" w:right="0" w:firstLine="405"/>
        <w:rPr/>
      </w:pPr>
      <w:r>
        <w:rPr>
          <w:color w:val="000000"/>
        </w:rPr>
        <w:t>•</w:t>
      </w:r>
      <w:r>
        <w:rPr>
          <w:rFonts w:ascii="Times New Roman;sans-serif" w:hAnsi="Times New Roman;sans-serif"/>
          <w:b w:val="false"/>
          <w:color w:val="000000"/>
          <w:sz w:val="20"/>
        </w:rPr>
        <w:t>Pursuant to the Indemnity Agreements, Rasier is required to post collateral for the amounts recoverable or that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LPT Agreement, James River returned $691.3 million to the Indemnity Trust, representing the remaining balance of the amount withdrawn in October 2019, as was permitted under the indemnification agreements with Rasier and the associated trust agreement. At December 31, 2021, the balance in the Indemnity Trust was $584.6 million, and, together with the balance of the Loss Fund Trust (as defined below) attributable to the Indemnity Agreements as described below, the total balance of collateral securing Rasier’s obligations under the Indemnity Agreements was $653.7 million.</w:t>
      </w:r>
    </w:p>
    <w:p>
      <w:pPr>
        <w:pStyle w:val="TextBody"/>
        <w:spacing w:lineRule="auto" w:line="288" w:before="0" w:after="120"/>
        <w:ind w:left="0" w:right="0" w:firstLine="405"/>
        <w:rPr/>
      </w:pPr>
      <w:r>
        <w:rPr>
          <w:color w:val="000000"/>
        </w:rPr>
        <w:t>•</w:t>
      </w:r>
      <w:r>
        <w:rPr>
          <w:rFonts w:ascii="Times New Roman;sans-serif" w:hAnsi="Times New Roman;sans-serif"/>
          <w:b w:val="false"/>
          <w:color w:val="000000"/>
          <w:sz w:val="20"/>
        </w:rPr>
        <w:t>Pursuant to the LPT Agreement, Aleka is required to post collateral equal to 102% of James River's estimate of Aleka's obligations under the LPT Agreement, calculated in accordance with statutory accounting principles. The collateral is provided through a collateral trust arrangement (the “LPT Trust”) established in favor of James River by Aleka. At December 31, 2021, the balance in the LPT Trust was $251.7 million, and, together with the balance of the Loss Fund Trust (as defined below) attributable to the LPT Agreement as described below, the total balance of collateral securing Aleka’s obligations under the LPT Agreement was $279.9 million. At December 31, 2021, the total reinsurance recoverables under the LPT Agreement was $272.3 million (including $256.5 million of unpaid recoverables and $15.9 million of paid recoverables).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LPT Agreement,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LPT Agreement and James River’s existing third party reinsurance agreements, respectively. At December 31, 2021, the balance in the Loss Fund Trust was $102.0 million, including $69.2 million of which represented collateral supporting Rasier’s obligations under the Indemnity Agreements and $28.2 million of which represented collateral supporting Aleka’s obligations under the under the LPT Agreement. Funds posted to the Loss Fund Trust are classified as restricted cash equivalents on the Company's balance sheet.</w:t>
      </w:r>
    </w:p>
    <w:p>
      <w:pPr>
        <w:pStyle w:val="TextBody"/>
        <w:spacing w:lineRule="auto" w:line="26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While the LPT Agreement brings economic finality to substantially all of the Rasier Commercial Auto Policies, the Company has credit exposure to Rasier and Aleka under the Indemnity Agreements and the LPT Agreement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LPT Agreement,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Reserve Policy</w:t>
      </w:r>
    </w:p>
    <w:p>
      <w:pPr>
        <w:pStyle w:val="TextBody"/>
        <w:spacing w:lineRule="auto" w:line="288" w:before="0" w:after="120"/>
        <w:ind w:left="0" w:right="0" w:firstLine="405"/>
        <w:rPr/>
      </w:pPr>
      <w:r>
        <w:rPr>
          <w:rFonts w:ascii="Times New Roman;sans-serif" w:hAnsi="Times New Roman;sans-serif"/>
          <w:b w:val="false"/>
          <w:color w:val="000000"/>
          <w:sz w:val="20"/>
        </w:rPr>
        <w:t xml:space="preserve">We seek to establish reserves that will adequately meet our obligations. All of our reserving actuaries are credentialed and our Chief Actuary has 37 years of industry experience. We engage independent actuarial consultants to review our decisions regarding reserves. Anticipated inflation is reflected implicitly in the reserving process through analysis of cost trends and the review of historical development. We do not discount our reserves for losses and loss adjustment expenses to reflect estimated present value. </w:t>
      </w:r>
      <w:r>
        <w:rPr>
          <w:rFonts w:ascii="Times New Roman;sans-serif" w:hAnsi="Times New Roman;sans-serif"/>
          <w:b w:val="false"/>
          <w:color w:val="030303"/>
          <w:sz w:val="20"/>
        </w:rPr>
        <w:t>All of our methods to calculate net reserves include assumptions about estimated reinsurance recoveries and their collectability</w:t>
      </w:r>
      <w:r>
        <w:rPr>
          <w:rFonts w:ascii="Times New Roman;sans-serif" w:hAnsi="Times New Roman;sans-serif"/>
          <w:b w:val="false"/>
          <w:color w:val="464646"/>
          <w:sz w:val="20"/>
        </w:rPr>
        <w:t xml:space="preserve">. </w:t>
      </w:r>
      <w:r>
        <w:rPr>
          <w:rFonts w:ascii="Times New Roman;sans-serif" w:hAnsi="Times New Roman;sans-serif"/>
          <w:b w:val="false"/>
          <w:color w:val="030303"/>
          <w:sz w:val="20"/>
        </w:rPr>
        <w:t>Reinsurance collectability is evaluated independently of the reserving process and appropriate allowances for uncollectible reinsurance are established.</w:t>
      </w:r>
    </w:p>
    <w:p>
      <w:pPr>
        <w:pStyle w:val="TextBody"/>
        <w:spacing w:lineRule="auto" w:line="288" w:before="0" w:after="120"/>
        <w:ind w:left="0" w:right="0" w:firstLine="405"/>
        <w:rPr/>
      </w:pPr>
      <w:r>
        <w:rPr>
          <w:rFonts w:ascii="Times New Roman;sans-serif" w:hAnsi="Times New Roman;sans-serif"/>
          <w:b w:val="false"/>
          <w:color w:val="000000"/>
          <w:sz w:val="20"/>
        </w:rPr>
        <w:t>We maintain reserves for specific claims incurred and reported and reserves for claims incurred but not reported (“IBNR”). The process of establishing loss reserves is complex and inherently imprecise because it must take into consideration many variables that are subject to the outcome of future events</w:t>
      </w:r>
      <w:r>
        <w:rPr>
          <w:rFonts w:ascii="Times New Roman;sans-serif" w:hAnsi="Times New Roman;sans-serif"/>
          <w:b w:val="false"/>
          <w:color w:val="5D5D5D"/>
          <w:sz w:val="20"/>
        </w:rPr>
        <w:t xml:space="preserve">. </w:t>
      </w:r>
      <w:r>
        <w:rPr>
          <w:rFonts w:ascii="Times New Roman;sans-serif" w:hAnsi="Times New Roman;sans-serif"/>
          <w:b w:val="false"/>
          <w:color w:val="000000"/>
          <w:sz w:val="20"/>
        </w:rPr>
        <w:t>As a result, informed subjective estimates and judgments about our ultimate exposure to losses are an integral component of our loss reserving process</w:t>
      </w:r>
      <w:r>
        <w:rPr>
          <w:rFonts w:ascii="Times New Roman;sans-serif" w:hAnsi="Times New Roman;sans-serif"/>
          <w:b w:val="false"/>
          <w:color w:val="5D5D5D"/>
          <w:sz w:val="20"/>
        </w:rPr>
        <w:t xml:space="preserve">. </w:t>
      </w:r>
      <w:r>
        <w:rPr>
          <w:rFonts w:ascii="Times New Roman;sans-serif" w:hAnsi="Times New Roman;sans-serif"/>
          <w:b w:val="false"/>
          <w:color w:val="000000"/>
          <w:sz w:val="20"/>
        </w:rPr>
        <w:t>Given that loss reserve estimates depend on the outcome of future events</w:t>
      </w:r>
      <w:r>
        <w:rPr>
          <w:rFonts w:ascii="Times New Roman;sans-serif" w:hAnsi="Times New Roman;sans-serif"/>
          <w:b w:val="false"/>
          <w:color w:val="3B3B3F"/>
          <w:sz w:val="20"/>
        </w:rPr>
        <w:t xml:space="preserve">, </w:t>
      </w:r>
      <w:r>
        <w:rPr>
          <w:rFonts w:ascii="Times New Roman;sans-serif" w:hAnsi="Times New Roman;sans-serif"/>
          <w:b w:val="false"/>
          <w:color w:val="000000"/>
          <w:sz w:val="20"/>
        </w:rPr>
        <w:t>changes in prior year estimates are generally unavoidable in the insurance industry</w:t>
      </w:r>
      <w:r>
        <w:rPr>
          <w:rFonts w:ascii="Times New Roman;sans-serif" w:hAnsi="Times New Roman;sans-serif"/>
          <w:b w:val="false"/>
          <w:color w:val="3B3B3F"/>
          <w:sz w:val="20"/>
        </w:rPr>
        <w:t xml:space="preserve">. </w:t>
      </w:r>
      <w:r>
        <w:rPr>
          <w:rFonts w:ascii="Times New Roman;sans-serif" w:hAnsi="Times New Roman;sans-serif"/>
          <w:b w:val="false"/>
          <w:color w:val="000000"/>
          <w:sz w:val="20"/>
        </w:rPr>
        <w:t xml:space="preserve">These changes are sometimes referred to as </w:t>
      </w:r>
      <w:r>
        <w:rPr>
          <w:rFonts w:ascii="Times New Roman;sans-serif" w:hAnsi="Times New Roman;sans-serif"/>
          <w:b w:val="false"/>
          <w:color w:val="262626"/>
          <w:sz w:val="20"/>
        </w:rPr>
        <w:t xml:space="preserve">"prior </w:t>
      </w:r>
      <w:r>
        <w:rPr>
          <w:rFonts w:ascii="Times New Roman;sans-serif" w:hAnsi="Times New Roman;sans-serif"/>
          <w:b w:val="false"/>
          <w:color w:val="000000"/>
          <w:sz w:val="20"/>
        </w:rPr>
        <w:t xml:space="preserve">year loss development" or </w:t>
      </w:r>
      <w:r>
        <w:rPr>
          <w:rFonts w:ascii="Times New Roman;sans-serif" w:hAnsi="Times New Roman;sans-serif"/>
          <w:b w:val="false"/>
          <w:color w:val="3B3B3F"/>
          <w:sz w:val="20"/>
        </w:rPr>
        <w:t>"</w:t>
      </w:r>
      <w:r>
        <w:rPr>
          <w:rFonts w:ascii="Times New Roman;sans-serif" w:hAnsi="Times New Roman;sans-serif"/>
          <w:b w:val="false"/>
          <w:color w:val="000000"/>
          <w:sz w:val="20"/>
        </w:rPr>
        <w:t>reserve development" and are included in current operations.</w:t>
      </w:r>
    </w:p>
    <w:p>
      <w:pPr>
        <w:pStyle w:val="TextBody"/>
        <w:spacing w:lineRule="auto" w:line="288" w:before="0" w:after="120"/>
        <w:ind w:left="0" w:right="0" w:firstLine="405"/>
        <w:rPr/>
      </w:pPr>
      <w:r>
        <w:rPr>
          <w:rFonts w:ascii="Times New Roman;sans-serif" w:hAnsi="Times New Roman;sans-serif"/>
          <w:b w:val="false"/>
          <w:color w:val="000000"/>
          <w:sz w:val="20"/>
        </w:rPr>
        <w:t>We continually monitor reserves using the most recent</w:t>
      </w:r>
      <w:r>
        <w:rPr>
          <w:color w:val="000000"/>
        </w:rPr>
        <w:t xml:space="preserve"> </w:t>
      </w:r>
      <w:r>
        <w:rPr>
          <w:rFonts w:ascii="Times New Roman;sans-serif" w:hAnsi="Times New Roman;sans-serif"/>
          <w:b w:val="false"/>
          <w:color w:val="000000"/>
          <w:sz w:val="20"/>
        </w:rPr>
        <w:t>information on reported claims and a variety of statistical techniques and we adjust our estimates as experience develops or new information becomes known.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product line and volume of business;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Loss emergence and insured reporting patterns;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Underlying policy terms and conditions;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Business and exposure mix;</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Trends in claim frequency and severity;</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Changes in operations;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Emerging economic and social trends;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Inflation;</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Changes in the regulatory and litigation environments;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Discussions with third-party actuarial consultants.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Reserve Committees consist of our Chief Actuary, Chief Executive Officer, Chief Financial Officer, and Chief Accounting Officer. Additionally, the presidents, chief financial officers and chief actuaries of each of our three insurance segments are also members of the Reserve Committee for their respective segments. The Reserve Committees meet quarterly to review the actuarial recommendations made by each chief actuary and use their best judgment to determine the best estimate to be recorded for the reserve for losses and loss adjustment expenses on our quarterly balance sheet. The Company also engages an independent internationally recognized actuarial consulting firm to review the Company’s reserve estimates in the third and fourth quarters of each year.</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favorable (adverse) reserve development by segment during the calendar years 2021 to 2012 individually and in aggregate.</w:t>
      </w:r>
    </w:p>
    <w:tbl>
      <w:tblPr>
        <w:tblW w:w="8322" w:type="dxa"/>
        <w:jc w:val="left"/>
        <w:tblInd w:w="0" w:type="dxa"/>
        <w:tblCellMar>
          <w:top w:w="28" w:type="dxa"/>
          <w:left w:w="28" w:type="dxa"/>
          <w:bottom w:w="28" w:type="dxa"/>
          <w:right w:w="28" w:type="dxa"/>
        </w:tblCellMar>
      </w:tblPr>
      <w:tblGrid>
        <w:gridCol w:w="818"/>
        <w:gridCol w:w="720"/>
        <w:gridCol w:w="727"/>
        <w:gridCol w:w="109"/>
        <w:gridCol w:w="109"/>
        <w:gridCol w:w="109"/>
        <w:gridCol w:w="211"/>
        <w:gridCol w:w="901"/>
        <w:gridCol w:w="109"/>
        <w:gridCol w:w="109"/>
        <w:gridCol w:w="109"/>
        <w:gridCol w:w="109"/>
        <w:gridCol w:w="211"/>
        <w:gridCol w:w="721"/>
        <w:gridCol w:w="109"/>
        <w:gridCol w:w="109"/>
        <w:gridCol w:w="109"/>
        <w:gridCol w:w="109"/>
        <w:gridCol w:w="211"/>
        <w:gridCol w:w="901"/>
        <w:gridCol w:w="109"/>
        <w:gridCol w:w="109"/>
        <w:gridCol w:w="109"/>
        <w:gridCol w:w="109"/>
        <w:gridCol w:w="211"/>
        <w:gridCol w:w="901"/>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Casualty</w:t>
              <w:br/>
              <w:t>Reinsurance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Grand Total</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Calendar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Cumulative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Includes $200.1 million of adverse development in the commercial auto line of business that was primarily related to the 2019 and prior contract years with Rasier, partially offset by $9.4 million of favorable development from other divisions.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Includes $91.4 million of adverse development in the commercial auto line of business that was primarily related to the 2018 and prior contract years with Rasier, partially offset by $32.0 million of favorable development from other divisions.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    Includes $57.4 million of adverse development in the commercial auto line of business that was primarily related to the 2016 and 2017 contract years with Rasier, partially offset by $6.2 million of favorable development from other divisions.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    Includes $20.7 million of adverse development in the commercial auto line of business that was primarily related to the 2016 contract year with Rasier, partially offset by $5.7 million of favorable development from other divisions.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    Includes $38.7 million of adverse development in the commercial auto line of business that was primarily related to the 2016 contract year with Rasier, partially offset by $18.6 million of favorable development from other divisions primarily from the 2014 through 2016 accident years.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    Includes adverse development primarily related to underwriting years 2014 through 2018. This adverse development was mainly in the general liability and professional liability lines of business.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 Includes adverse development primarily related to accident years 2014 through 2018. This adverse development was mainly in the general liability and commercial auto lines of business.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    Includes adverse development primarily related to accident years 2011 through 2016. This adverse development was mainly in the general liability and commercial auto lines of business.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(9)    Includes $9.0 million of adverse development on assumed crop business and $7.6 million of adverse development on other assumed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Among the indicators of reserve strength that we monitor closely is the amount of IBNR reserves held on our balance sheet for claims that have been incurred but not yet reported. The table below sets forth our IBNR, total gross reserves and the percentage that IBNR represents of the total gross reserves, in each case by segment and in the aggregate, at December 31, 2021. The percentage that IBNR represents of total gross reserves at December 31, 2021 is 59.6%.</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7165" w:type="dxa"/>
        <w:jc w:val="left"/>
        <w:tblInd w:w="0" w:type="dxa"/>
        <w:tblCellMar>
          <w:top w:w="28" w:type="dxa"/>
          <w:left w:w="28" w:type="dxa"/>
          <w:bottom w:w="28" w:type="dxa"/>
          <w:right w:w="28" w:type="dxa"/>
        </w:tblCellMar>
      </w:tblPr>
      <w:tblGrid>
        <w:gridCol w:w="911"/>
        <w:gridCol w:w="801"/>
        <w:gridCol w:w="808"/>
        <w:gridCol w:w="109"/>
        <w:gridCol w:w="109"/>
        <w:gridCol w:w="109"/>
        <w:gridCol w:w="211"/>
        <w:gridCol w:w="976"/>
        <w:gridCol w:w="109"/>
        <w:gridCol w:w="109"/>
        <w:gridCol w:w="109"/>
        <w:gridCol w:w="109"/>
        <w:gridCol w:w="211"/>
        <w:gridCol w:w="976"/>
        <w:gridCol w:w="109"/>
        <w:gridCol w:w="109"/>
        <w:gridCol w:w="109"/>
        <w:gridCol w:w="109"/>
        <w:gridCol w:w="255"/>
        <w:gridCol w:w="256"/>
        <w:gridCol w:w="561"/>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Reserves at December 31, 2021</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br/>
              <w:t>% of Total</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5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1,638,182 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561" w:type="dxa"/>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IBNR, total net reserves (prior to the $631,000 allowance for credit losses on reinsurance recoverables) and the percentage that IBNR represents of the total net reserves, in each case by segment and in the aggregate, at December 31, 2021. The percentage that IBNR represents of total net reserves at December 31, 2021 is 64.4%.</w:t>
      </w:r>
    </w:p>
    <w:tbl>
      <w:tblPr>
        <w:tblW w:w="7015" w:type="dxa"/>
        <w:jc w:val="left"/>
        <w:tblInd w:w="0" w:type="dxa"/>
        <w:tblCellMar>
          <w:top w:w="28" w:type="dxa"/>
          <w:left w:w="28" w:type="dxa"/>
          <w:bottom w:w="28" w:type="dxa"/>
          <w:right w:w="28" w:type="dxa"/>
        </w:tblCellMar>
      </w:tblPr>
      <w:tblGrid>
        <w:gridCol w:w="911"/>
        <w:gridCol w:w="801"/>
        <w:gridCol w:w="808"/>
        <w:gridCol w:w="109"/>
        <w:gridCol w:w="109"/>
        <w:gridCol w:w="109"/>
        <w:gridCol w:w="211"/>
        <w:gridCol w:w="826"/>
        <w:gridCol w:w="109"/>
        <w:gridCol w:w="109"/>
        <w:gridCol w:w="109"/>
        <w:gridCol w:w="109"/>
        <w:gridCol w:w="211"/>
        <w:gridCol w:w="976"/>
        <w:gridCol w:w="109"/>
        <w:gridCol w:w="109"/>
        <w:gridCol w:w="109"/>
        <w:gridCol w:w="109"/>
        <w:gridCol w:w="255"/>
        <w:gridCol w:w="256"/>
        <w:gridCol w:w="561"/>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Reserves at December 31, 2021</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br/>
              <w:t>% of Total</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5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901,223 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1,399,214 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561" w:type="dxa"/>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reported claims from prior policy years were closed at December 31, 2021 as shown below:</w:t>
      </w:r>
    </w:p>
    <w:tbl>
      <w:tblPr>
        <w:tblW w:w="7274" w:type="dxa"/>
        <w:jc w:val="left"/>
        <w:tblInd w:w="0" w:type="dxa"/>
        <w:tblCellMar>
          <w:top w:w="28" w:type="dxa"/>
          <w:left w:w="28" w:type="dxa"/>
          <w:bottom w:w="28" w:type="dxa"/>
          <w:right w:w="28" w:type="dxa"/>
        </w:tblCellMar>
      </w:tblPr>
      <w:tblGrid>
        <w:gridCol w:w="353"/>
        <w:gridCol w:w="309"/>
        <w:gridCol w:w="312"/>
        <w:gridCol w:w="115"/>
        <w:gridCol w:w="115"/>
        <w:gridCol w:w="115"/>
        <w:gridCol w:w="339"/>
        <w:gridCol w:w="339"/>
        <w:gridCol w:w="851"/>
        <w:gridCol w:w="115"/>
        <w:gridCol w:w="115"/>
        <w:gridCol w:w="115"/>
        <w:gridCol w:w="308"/>
        <w:gridCol w:w="308"/>
        <w:gridCol w:w="592"/>
        <w:gridCol w:w="115"/>
        <w:gridCol w:w="115"/>
        <w:gridCol w:w="115"/>
        <w:gridCol w:w="257"/>
        <w:gridCol w:w="257"/>
        <w:gridCol w:w="641"/>
        <w:gridCol w:w="115"/>
        <w:gridCol w:w="115"/>
        <w:gridCol w:w="115"/>
        <w:gridCol w:w="255"/>
        <w:gridCol w:w="256"/>
        <w:gridCol w:w="517"/>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727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Claims Closed at December 31, 2021</w:t>
            </w:r>
          </w:p>
        </w:tc>
      </w:tr>
      <w:tr>
        <w:trPr/>
        <w:tc>
          <w:tcPr>
            <w:tcW w:w="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Policy Year</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br/>
              <w:t xml:space="preserve">Segment Excluding </w:t>
              <w:br/>
              <w:t>Commercial</w:t>
              <w:br/>
              <w:t>Auto</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br/>
              <w:t>Segment</w:t>
              <w:br/>
              <w:t>Commercial</w:t>
              <w:br/>
              <w:t>Auto</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br/>
              <w:t>Segment</w:t>
              <w:br/>
              <w:t>Individual</w:t>
              <w:br/>
              <w:t>Risk Workers’</w:t>
              <w:br/>
              <w:t>Comp</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br/>
              <w:t>Segment</w:t>
              <w:br/>
              <w:t>Fronting</w:t>
              <w:br/>
              <w:t>and</w:t>
              <w:br/>
              <w:t>Programs</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8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8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5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8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5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8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5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Investment Strategy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 substantial loss of capital. The vast majority of our investment portfolio is managed by third party, independent investment managers.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majority of our investment portfolio is invested in what we refer to as our Core Portfolio of investment grade fixed income securities. This portfolio provides predictable income with low risk of principal loss. We seek to augment the return on the Core Portfolio by investing in bank loans and other higher yielding securities, including dividend paying common equities and private investments. We designed these strategies to improve our investment return, and we are focused on opportunistic investing in areas where we believe our management, directors or employees have expertise or appropriate understanding of the risk and return of the investment.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generally focus on securities that provide some current income.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of affiliated and third party reinsurance contracts, we have a significant asset base at JRG Reinsurance Company Ltd, which is domiciled in Bermuda and is not subject to U.S. corporate taxation. At December 31, 2021, 41.2% of our invested assets were held at JRG Re.</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summary of our investment portfolio at December 31, 2021 is as follows:</w:t>
      </w:r>
    </w:p>
    <w:tbl>
      <w:tblPr>
        <w:tblW w:w="10205" w:type="dxa"/>
        <w:jc w:val="left"/>
        <w:tblInd w:w="0" w:type="dxa"/>
        <w:tblCellMar>
          <w:top w:w="28" w:type="dxa"/>
          <w:left w:w="28" w:type="dxa"/>
          <w:bottom w:w="28" w:type="dxa"/>
          <w:right w:w="28" w:type="dxa"/>
        </w:tblCellMar>
      </w:tblPr>
      <w:tblGrid>
        <w:gridCol w:w="949"/>
        <w:gridCol w:w="824"/>
        <w:gridCol w:w="82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55"/>
        <w:gridCol w:w="256"/>
        <w:gridCol w:w="367"/>
        <w:gridCol w:w="109"/>
        <w:gridCol w:w="109"/>
        <w:gridCol w:w="109"/>
        <w:gridCol w:w="307"/>
        <w:gridCol w:w="309"/>
        <w:gridCol w:w="594"/>
      </w:tblGrid>
      <w:tr>
        <w:trPr/>
        <w:tc>
          <w:tcPr>
            <w:tcW w:w="94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594"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Portfolio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Book Yield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Carrying</w:t>
              <w:br/>
              <w:t>Value</w:t>
            </w:r>
          </w:p>
        </w:tc>
      </w:tr>
      <w:tr>
        <w:trPr/>
        <w:tc>
          <w:tcPr>
            <w:tcW w:w="2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5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Yield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in Core and Bank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have generally managed our overall portfolio to a duration of 3 to 5 years. At December 31, 2021, the average duration of our investment portfolio was 4.0 years.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Core Portfolio</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Core Portfolio consists of cash, investment grade fixed income securities and a small dividend yield focused equity portfolio. Our objective in the Core Portfolio is to earn attractive risk-adjusted returns with a low risk of loss of principal. We use a third-party manager to manage the Core Portfolio.</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Bank Loans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Bank Loan portfolio primarily consists of investments in participations in syndicated bank loans, but may also include a small allocation of bonds. Bank loans in our portfolio are generally senior secured loans with an average credit quality of “B” as of December 31, 2021 and floating interest rates based on spreads over LIBOR. We believe bank loans are an attractive asset class because (1) floating-rate loans help to reduce our risk of loss in the event of rising interest rates, (2) the loans are generally senior secured, (3) the asset class has a history of relatively high recovery rates in the event of default, (4) the portfolio provides an attractive yield and (5) the maturities of the loans are relatively short (average of approximately 5 years). We invest in this asset class by owning individual loan participations that are carried at fair market value. We have over ten years of experience in investing in this asset class through a third-party manager.</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Incremental Yield Portfolio</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Incremental Yield Portfolio consists of investments in low investment grade and below investment grade bonds, preferred stocks, dividend paying common equities and exchange traded funds. The average credit quality of the fixed income securities in this portfolio as of December 31, 2021 is BBB. We generally invest in fixed income securities where we believe that risk of default is low relative to the potential yield on the securities. We own preferred stocks, generally in the financial services industry. In some instances, we will purchase exchange traded funds. However, these purchases are generally used as an effective means to get access to a high yielding asset class.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Private Investment Portfolio</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make selective investments in private debt or equity securities in areas where we see significant opportunity or attractive risk and return characteristics. We focus on investments where we believe we have an understanding of the risk and opportunity and have the ability to monitor them closely. At December 31, 2021, we held 12 private investments with a total carrying value of $51.9 million. Our portfolio consists of investments in wind and solar energy, banking, small cap equities, loans of middle market private equity sponsored companies, and tranches of distressed home loans. We are opportunistic in our private investment strategy and our portfolio may grow or shrink based on the opportunities available to us. Despite being only 2.4% of our portfolio, we believe our Private Investment Portfolio has added meaningful returns to our tangible equity. Our Private Investment strategy has significant risk and not all investments are successful. As a result, we intentionally keep this portfolio as a small portion of the overall investment portfolio.</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recent total returns on our portfolio are as follows:</w:t>
      </w:r>
    </w:p>
    <w:tbl>
      <w:tblPr>
        <w:tblW w:w="6263" w:type="dxa"/>
        <w:jc w:val="left"/>
        <w:tblInd w:w="0" w:type="dxa"/>
        <w:tblCellMar>
          <w:top w:w="28" w:type="dxa"/>
          <w:left w:w="28" w:type="dxa"/>
          <w:bottom w:w="28" w:type="dxa"/>
          <w:right w:w="28" w:type="dxa"/>
        </w:tblCellMar>
      </w:tblPr>
      <w:tblGrid>
        <w:gridCol w:w="396"/>
        <w:gridCol w:w="346"/>
        <w:gridCol w:w="352"/>
        <w:gridCol w:w="109"/>
        <w:gridCol w:w="109"/>
        <w:gridCol w:w="109"/>
        <w:gridCol w:w="307"/>
        <w:gridCol w:w="309"/>
        <w:gridCol w:w="271"/>
        <w:gridCol w:w="109"/>
        <w:gridCol w:w="109"/>
        <w:gridCol w:w="109"/>
        <w:gridCol w:w="255"/>
        <w:gridCol w:w="256"/>
        <w:gridCol w:w="271"/>
        <w:gridCol w:w="109"/>
        <w:gridCol w:w="109"/>
        <w:gridCol w:w="109"/>
        <w:gridCol w:w="308"/>
        <w:gridCol w:w="308"/>
        <w:gridCol w:w="271"/>
        <w:gridCol w:w="109"/>
        <w:gridCol w:w="109"/>
        <w:gridCol w:w="109"/>
        <w:gridCol w:w="266"/>
        <w:gridCol w:w="266"/>
        <w:gridCol w:w="773"/>
      </w:tblGrid>
      <w:tr>
        <w:trPr/>
        <w:tc>
          <w:tcPr>
            <w:tcW w:w="3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Trailing 3 years</w:t>
              <w:br/>
              <w:t>Ended 2021</w:t>
            </w:r>
          </w:p>
        </w:tc>
      </w:tr>
      <w:tr>
        <w:trPr/>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7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Total returns are calculated as the realized or unrealized gain or loss of an asset plus interest and dividends paid while the asset is held.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consider a portion of our investment portfolio to be invested in non-traditional investments. We consider non-traditional investments to include investments that are (1) not rated fixed income securities (2) non-listed equities or (3) investments that generally have less liquidity than rated fixed income securities or listed equities. Non-traditional investments held at December 31, 2021 and their respective percentage of our total cash and invested assets (excluding restricted cash equivalents) at such date consist of syndicated bank loans (6.7%) and private investments (2.2%). We will continue to actively review opportunities to invest in non-traditional assets and may invest in additional non-traditional assets in the future.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invested assets totaled $2,130.5 million as of December 31, 2021. The weighted average credit rating of our portfolio of fixed maturity securities, bank loans and preferred stocks as of December 31, 2021 was “A”. We have intentionally maintained a cautious interest rate risk position by having an average duration of 4.0 years at December 31, 2021. This compares to an average duration at December 31, 2020 of 3.8 years. Based on the current duration of 4.0 years, a 1.0% increase in interest rates would result in a pre-tax decline in the market value of our portfolio of approximately $83.8 million.</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Insurance Cycle Management and Growth</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insurance and reinsurance business is cyclical in nature, with “hard” and “soft” cycles. Hard markets occur when insurance underwriters limit their exposure in a line of business or across their entire portfolio.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 There is generally a correlation between interest rates and the willingness of insurance companies to commit their capital to writing insurance. When fixed income yields are low, insurance companies need to raise insurance prices to improve underwriting results in order to offset loss of investment income.</w:t>
      </w:r>
    </w:p>
    <w:p>
      <w:pPr>
        <w:pStyle w:val="TextBody"/>
        <w:spacing w:lineRule="auto" w:line="276" w:before="0" w:after="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are currently in a growth phase for our U.S. primary operations. In both our Excess and Surplus Lines and Specialty Admitted Insurance segments, we are experiencing growth in premiums driven by favorable rates as well as increases in policy count and exposures. The growth in the Excess and Surplus Lines segment was impacted by the termination of our insurance contracts with Rasier effective December 31, 2019. The Rasier account generated $374.2 million of gross written premium in 2019, but none in 2020 and 2021. Excluding Rasier, E&amp;S gross written premium increased 27.5% in 2020, from $548.2 million in 2019 to $699.1 million in 2020. The table below shows the changes in gross written premiums we have experienced in our operating segments from 2019 through 2021.</w:t>
      </w:r>
    </w:p>
    <w:tbl>
      <w:tblPr>
        <w:tblW w:w="10205" w:type="dxa"/>
        <w:jc w:val="left"/>
        <w:tblInd w:w="0" w:type="dxa"/>
        <w:tblCellMar>
          <w:top w:w="28" w:type="dxa"/>
          <w:left w:w="28" w:type="dxa"/>
          <w:bottom w:w="28" w:type="dxa"/>
          <w:right w:w="28" w:type="dxa"/>
        </w:tblCellMar>
      </w:tblPr>
      <w:tblGrid>
        <w:gridCol w:w="626"/>
        <w:gridCol w:w="330"/>
        <w:gridCol w:w="332"/>
        <w:gridCol w:w="109"/>
        <w:gridCol w:w="109"/>
        <w:gridCol w:w="109"/>
        <w:gridCol w:w="211"/>
        <w:gridCol w:w="976"/>
        <w:gridCol w:w="109"/>
        <w:gridCol w:w="109"/>
        <w:gridCol w:w="109"/>
        <w:gridCol w:w="109"/>
        <w:gridCol w:w="255"/>
        <w:gridCol w:w="256"/>
        <w:gridCol w:w="483"/>
        <w:gridCol w:w="109"/>
        <w:gridCol w:w="109"/>
        <w:gridCol w:w="109"/>
        <w:gridCol w:w="211"/>
        <w:gridCol w:w="976"/>
        <w:gridCol w:w="109"/>
        <w:gridCol w:w="109"/>
        <w:gridCol w:w="109"/>
        <w:gridCol w:w="109"/>
        <w:gridCol w:w="266"/>
        <w:gridCol w:w="266"/>
        <w:gridCol w:w="483"/>
        <w:gridCol w:w="109"/>
        <w:gridCol w:w="109"/>
        <w:gridCol w:w="109"/>
        <w:gridCol w:w="211"/>
        <w:gridCol w:w="976"/>
        <w:gridCol w:w="109"/>
        <w:gridCol w:w="109"/>
        <w:gridCol w:w="109"/>
        <w:gridCol w:w="109"/>
        <w:gridCol w:w="255"/>
        <w:gridCol w:w="256"/>
        <w:gridCol w:w="547"/>
      </w:tblGrid>
      <w:tr>
        <w:trPr/>
        <w:tc>
          <w:tcPr>
            <w:tcW w:w="62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12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288"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Written Premiums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2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8" w:type="dxa"/>
            <w:gridSpan w:val="3"/>
            <w:tcBorders>
              <w:top w:val="single" w:sz="8" w:space="0" w:color="CCEEFF"/>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CCEEFF"/>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47" w:type="dxa"/>
            <w:tcBorders>
              <w:top w:val="single" w:sz="8" w:space="0" w:color="CCEEFF"/>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In years prior to those presented, the business written at our U.S. primary operations has, at times, been subject to “soft” market conditions, reflected both in price decreases and reduced underlying exposures. Our Excess and Surplus Lines segment is the most sensitive to hard and soft markets. We have, therefore, sought to diversify this business by geography, line of business and revenue stream. While we have been growing this business and achieving increasing or stable rates for several periods through December 31, 2021, there will likely be periods in the future where our growth moderates, stagnates or turns negative. The market for most lines of commercial insurance, other than workers' compensation, are currently in a hardening phase.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has historically been able to make an underwriting profit regardless of the state of the underwriting cycle. This segment's weighted average combined ratio for 2012 through 2021 is 95.2%.</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Traditionally, admitted insurance lines have been very susceptible to market cycles. We believe this trend is continuing. We seek to isolate ourselves from these trends in our Specialty Admitted Insurance segment by writing lines of business we believe are slightly less competitive, by prudently purchasing reinsurance and by being willing to dramatically reduce our writings when market conditions warrant.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material portion of the profitability we seek to achieve from our fronting business will come from fee income that is generated via policies that are issued by our insurance companies and then mostly or wholly reinsured to third parties. Because we earn substantial fees from underwriting business on which we retain little or no insurance risk, this business can be profitable to us even in soft market conditions. We have $434.2 million of gross written premiums for fronting and program business for 2021 ($68.3 million on a net basis), and we expect our fee income will continue to grow in future periods and provide us with a steady revenue stream that will be relatively insulated from conditions in the admitted insurance market.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the Casualty Reinsurance segment, we have the ability to manage the cycle by growing or shrinking our business according to market conditions and the corresponding prices and terms being offered for the assumption of specific risks. We have a small team of seven people in Bermuda who underwrite and administer the business written by JRG Re in Bermuda.</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compete in a variety of markets against a variety of competitors depending on the nature of the risk and coverage being underwritten. The competition for any one account may range from large international firms to smaller regional companies in the domiciles in which we operate. To remain competitive, our strategy includes, among other measures: (1) focusing on rate adequacy and underwriting discipline, (2) leveraging our distribution network, (3) controlling expenses, (4) maintaining financial strength and issuer credit ratings and (5) providing quality services to agents and policyholders.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Excess and Surplus Lines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Competition within the E&amp;S lines marketplace comes from a wide range of carriers. In addition to mature E&amp;S companies that operate nationwide, there is competition from carriers formed in recent years. The Excess and Surplus Lines segment may also compete with national and regional carriers from the standard market willing to underwrite selected accounts on an admitted basis. Competitors in this segment include ACE Westchester Specialty Group, AmRisc Insurance Company (Truist), Apollo Syndicate, Alleghany Corporation, Arrowhead General Insurance Agency, Inc., Ategrity Specialty Insurance Company, Axis Insurance Company (Axis Capital Holdings Limited), Beazley Group (Lloyd’s), Brit Insurance (Lloyd’s), Colony Specialty Insurance Company (Argo Group International Holdings, Ltd.), Fairfax Financial Holdings, Ltd., Hiscox Insurance Company (Lloyd’s), Houston Casualty Company (a subsidiary of Tokio Marine HCC), Kinsale Capital Group, Lexington Insurance Company (American International Group, Inc.), Markel Corporation, Navigators Insurance Company (Hartford), OneBeacon (Intact Financial Corporation), QBE Insurance Group Ltd., RLI Corp., E&amp;S/Specialty (Nationwide Mutual Group), Starr Insurance Company (C.V. Starr &amp; Company), Swiss Re Ltd, United Specialty Insurance Company, W.R. Berkley, and other large national and multi-national insurance carriers. In addition, in the last twelve months, there are several newly formed or repurposed start-up companies that are focusing on writing Excess and Surplus lines insurance and we expect will be competing with us for this business.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Specialty Admitted Insurance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Due to the diverse nature of the products offered by the Specialty Admitted Insurance segment, competition comes from various sources. The majority of the competition for our workers’ compensation business comes from regional companies or regional subsidiaries of national carriers in the domiciles in which they operate. National carriers tend to compete for fronting and program accounts along all product lines. Competitors in our workers’ compensation business include Builders Mutual Insurance Company, Accident Fund Insurance Company of America, W. R. Berkley Corporation, American Interstate Insurance Company (AMERISAFE, Inc.), and Amtrust Group. Competition for our fronting business includes but is not limited to State National (now part of Markel), Argo Group, Clear Blue, Spinnaker, Trisura, Red Point, Equity Insurance Company, Worth Insurance, and Amtrust. In addition, in the last 12 months, there are several newly formed fronting companies that we expect will be competing with us for this business.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Casualty Reinsurance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reinsurance industry is highly competitive. We expect to compete with major reinsurers, most of which are well-established, have a significant operating history and strong financial strength ratings and have developed long-standing client relationships. Competitors in this segment include AXA XL, Axis Re, MS Amlin, QBE Re, Renaissance Re, Sompo International Re, Swiss Re, Transatlantic Re, various Lloyd's syndicates, and other carriers that underwrite U.S. casualty reinsurance. In addition, in the last 12 months, there are several newly formed reinsurance companies that are planning on writing casualty reinsurance and we expect will be competing with us for this business.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Bermuda Insurance Regulation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1978 and related rules and regulations (the “Insurance Act”), which regulates the insurance business of both Carolina Re and JRG Re, provides that no person shall carry on insurance business in or from within Bermuda unless registered as an insurer under the Insurance Act by the Bermuda Monetary Authority (the “BMA”). The BMA, in deciding whether to grant registration,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The registration of an applicant as an insurer is subject to its complying with the terms of its registration and such other conditions as the BMA may impose at any time.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not necessary that the insurance company be incorporated in Bermuda. A foreign corporation may obtain a permit under the Companies Act 1981 of Bermuda (the “Companies Act”) to carry on business in Bermuda and then be registered as an insurer in Bermuda under the Insurance Act.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does not distinguish between insurers and reinsurers; companies are registered (licensed) under the Insurance Act as “insurers” (although in certain circumstances a condition to registration may be imposed to the effect that the company may carry on only reinsurance business). The Insurance Act uses the defined term “insurance business” to include reinsurance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also grants to the BMA powers to supervise, investigate and intervene in the affairs of insurance companies.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 Insurance Advisory Committee appointed by the Bermuda Minister of Finance advises the BMA on matters connected with the discharge of the BMA’s functions and subcommittees thereof supervise, investigate and review the law and practice of insurance in Bermuda, including reviews of accounting and administrative procedures.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imposes solvency and liquidity standards on Bermuda insurance companies, as well as auditing and reporting requirements.</w:t>
      </w:r>
    </w:p>
    <w:p>
      <w:pPr>
        <w:pStyle w:val="TextBody"/>
        <w:spacing w:lineRule="auto" w:line="288" w:before="0" w:after="120"/>
        <w:ind w:left="0" w:right="0" w:firstLine="360"/>
        <w:rPr/>
      </w:pPr>
      <w:r>
        <w:rPr>
          <w:rFonts w:ascii="Times New Roman;sans-serif" w:hAnsi="Times New Roman;sans-serif"/>
          <w:b w:val="false"/>
          <w:color w:val="000000"/>
          <w:sz w:val="20"/>
        </w:rPr>
        <w:t>Certain significant aspects of the Bermuda insurance regulatory framework applicable to Class 3A insurers and/or Class 3B insurers are set</w:t>
      </w:r>
      <w:r>
        <w:rPr>
          <w:color w:val="000000"/>
        </w:rPr>
        <w:t xml:space="preserve"> </w:t>
      </w:r>
      <w:r>
        <w:rPr>
          <w:rFonts w:ascii="Times New Roman;sans-serif" w:hAnsi="Times New Roman;sans-serif"/>
          <w:b w:val="false"/>
          <w:color w:val="000000"/>
          <w:sz w:val="20"/>
        </w:rPr>
        <w:t>forth below.</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Classification of Insurers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distinguishes between insurers carrying on long-term business, insurers carrying on general business and insurers carrying on special purpose business. There are several classifications of insurers carrying on general business, ranging from Class 1 insurers (pure captives) to Class 4 insurers (large commercial underwriters). Carolina Re is licensed as a Class 3A insurer and JRG Re is licensed as a Class 3B insurer and each is regulated as such under the Insurance Act.</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Minimum Paid-Up Share Capital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Class 3A insurer and a Class 3B insurer are each required to maintain fully paid up share capital of at least $120,000.</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Principal Representative and Principal Office</w:t>
      </w:r>
    </w:p>
    <w:p>
      <w:pPr>
        <w:pStyle w:val="TextBody"/>
        <w:spacing w:lineRule="auto" w:line="288" w:before="0" w:after="120"/>
        <w:ind w:left="0" w:right="0" w:firstLine="360"/>
        <w:rPr/>
      </w:pPr>
      <w:r>
        <w:rPr>
          <w:rFonts w:ascii="Times New Roman;sans-serif" w:hAnsi="Times New Roman;sans-serif"/>
          <w:b w:val="false"/>
          <w:color w:val="000000"/>
          <w:sz w:val="20"/>
        </w:rPr>
        <w:t>A Class 3A insurer and a Class 3B insurer are each required to maintain a principal office and to appoint and maintain a principal representative in Bermuda. For the purposes of the Insurance Act, the principal office of Carolina Re and JRG Re is located at Wellesley House, 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Floor, 90 Pitts Bay Road, Pembroke, HM 08, Bermuda.</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Without a reason acceptable to the BMA, an insurer may not terminate the appointment of its principal representative, and the principal representative may not cease to act as such, unless 30 days’ prior notice in writing to the BMA is given of the intention to do so.</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the duty of the principal representative to forthwith notify the BMA where the principal representative reaches the view that there is a likelihood of the insurer (for which the principal representative acts) becoming insolvent, or on it coming to the knowledge of the principal representative, or the principal representative having reason to believe, that a reportable “event” has occurred. Examples of a reportable “event” include a failure by the insurer to comply substantially with a condition imposed upon it by the BMA relating to a solvency margin or a liquidity or other ratio, a significant loss reasonably likely to cause the insurer to fail to comply with its enhanced capital requirement (discussed below) and the occurrence of a material change (as such term is defined under the Insurance Act) in its business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Within 14 days of such notification to the BMA, the principal representative must furnish the BMA with a written report setting out all the particulars of the case that are available to the principal representative.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Where there has been a significant loss which is reasonably likely to cause the insurer to fail to comply with its enhanced capital requirement, the principal representative must also furnish the BMA with a capital and solvency return reflecting an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enhanced capital requirement prepared using post-loss data. The principal representative must provide this within 45 days of notifying the BMA regarding the loss.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where a notification has been made to the BMA regarding a material change, the principal representative has 30 days from the date of such notification to furnish the BMA with unaudited interim statutory financial statements in relation to such period as the BMA may require, together with a general business solvency certificate in respect of those statements.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Head Office</w:t>
      </w:r>
    </w:p>
    <w:p>
      <w:pPr>
        <w:pStyle w:val="TextBody"/>
        <w:spacing w:lineRule="auto" w:line="288" w:before="0" w:after="120"/>
        <w:rPr/>
      </w:pPr>
      <w:r>
        <w:rPr>
          <w:color w:val="000000"/>
        </w:rPr>
        <w:t>    </w:t>
      </w:r>
      <w:r>
        <w:rPr>
          <w:rFonts w:ascii="Times New Roman;sans-serif" w:hAnsi="Times New Roman;sans-serif"/>
          <w:b w:val="false"/>
          <w:color w:val="000000"/>
          <w:sz w:val="20"/>
        </w:rPr>
        <w:t xml:space="preserve">A Class 3A insurer and a Class 3B insurer shall each maintain its head office in Bermuda. In determining whether the insurer satisfies this requirement, the BMA shall consider,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the following factors: (i) where the underwriting, risk management and operational decision making of the insurer occurs; (ii) whether the presence of senior executives who are responsible for, and involved in, the decision making related to the insurance business of the insurer are located in Bermuda; and (iii) where meetings of the board of directors of the insurer occur. In making its determination, the BMA may also have regard to (a) the location where management of the insurer meets to effect policy decisions of the insurer; (b) the residence of the officers, insurance managers or employees of the insurer; and (c) the residence of one or more directors of the insurer in Bermuda. This provision does not apply to an insurer that has a permit to conduct business in Bermuda under the Companies Act or the Non-Resident Insurance Undertakings Act 1967.</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Loss Reserve Specialist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Class 3A insurer and a Class 3B insurer are each required to appoint an individual approved by the BMA to be its loss reserve specialist. In order to qualify as an approved loss reserve specialist, the applicant must be an individual qualified to provide an opinion in accordance with the requirements of the Insurance Act and the BMA must be satisfied that the individual is fit and proper to hold such an appointment.</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 Class 3A insurer and a Class 3B insurer are each required to submit annually an opinion of its approved loss reserve specialist with its capital and solvency return in respect of its total general business insurance technical provisions (i.e. the aggregate of its net premium provisions, net loss and loss expense provisions and risk margin, as each is reported in the insurer’s statutory economic balance sheet). The loss reserve specialist’s opinion must state, among other things, whether or not the aggregate amount of technical provisions shown in the statutory economic balance sheet as at the end of the relevant financial year (i) meets the requirements of the Insurance Act and (ii) makes reasonable provision for the total technical provisions of the insurer under the terms of its insurance contracts and agreements.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Annual Financial Statements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Class 3A insurer and Class 3B insurer are each required to prepare and submit to the BMA, on an annual basis, audited financial statements which have been prepared under generally accepted accounting principles or international financial reporting standards (“GAAP financial statements”) and audited statutory financial statements.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Insurance Act prescribes rules for the preparation and substance of statutory financial statements (which include, in statutory form, a balance sheet, an income statement, a statement of capital and surplus and notes thereto). The statutory financial statements include detailed information and analysis regarding premiums, claims, reinsurance and investments of the insurer.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insurer’s annual GAAP financial statements, and the auditor’s report thereon, and the statutory financial statements are required to be filed with the BMA within four months from the end of the relevant financial year (unless specifically extended with the approval of the BMA). The statutory financial statements do not form a part of the public records maintained by the BMA but the GAAP financial statements are available for public inspection.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Declaration of Compliance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time of filing its statutory financial statements, a Class 3A insurer and a Class 3B insurer are each also required to deliver to the BMA a declaration of compliance, in such form and with such content as may be prescribed by the BMA, declaring whether or not the insurer has, with respect to the preceding financial year (i) complied with all requirements of the minimum criteria applicable to it, (ii) complied with the minimum margin of solvency as at its financial year end, (iii) complied with the applicable enhanced capital requirements as at its financial year end, (iv) complied with applicable conditions, directions and restrictions imposed on, or approvals granted to, the insurer and (v) complied with the minimum liquidity ratio for general business as at its financial year end. The declaration of compliance is required to be signed by two directors of the insurer, and if the insurer has failed to comply with any of the requirements referenced in (i) through (v) above or observe any limitations, restrictions or conditions imposed upon the issuance of its license, if applicable, the insurer will be required to provide the BMA with particulars of such failure in writing. A Class 3A insurer and a Class 3B insurer shall be liable to a civil penalty by way of a fine for failure to comply with a duty imposed on it in connection with the delivery of the declaration of compliance.</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Annual Statutory Financial Return and Annual Capital and Solvency Return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Class 3A insurer and a Class 3B insurer are each required to file with the BMA a statutory financial return no later than four months after its financial year end (unless specifically extended with the approval of the BMA).</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statutory financial return of an insurer shall consist of (i) an insurer information sheet, (ii) an auditor’s report, (iii) the statutory financial statements and (iv) notes to the statutory financial statements.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insurer information sheet shall state, among other matters, (i) whether the general purpose financial statements of the insurer for the relevant year have been audited and an unqualified opinion issued, (ii) the minimum margin of solvency applying to the insurer and whether such margin was met, (iii) whether or not the minimum liquidity ratio applying to the insurer for the relevant year was met and (iv) whether or not the insurer has complied with every condition attached to its certificate of registration. The insurer information sheet shall state if any of the questions identified in items (ii), (iii) or (iv) above is answered in the negative, whether or not the insurer has taken corrective action in any case and, where the insurer has taken such action, describe the action in an attached statement.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directors are required to certify whether the minimum solvency margin has been met, and the independent approved auditor is required to state whether in its opinion it was reasonable for the directors to make this certification.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Where an insurer’s accounts have been audited for any purpose other than compliance with the Insurance Act, a statement to that effect must be filed with the statutory financial return.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addition, each year the insurer is required to file with the BMA a capital and solvency return along with its annual statutory financial return. The prescribed form of capital and solvency return comprises the insurer’s Bermuda Solvency Capital Requirement (“BSCR”) model or an approved internal capital model in lieu thereof, together with such schedules as prescribed by the Insurance (Prudential Standards) (Class 3A Solvency Requirement) Rules 2011 for Class 3A insurers and the Insurance (Prudential Standards) (Class 4 and 3B Solvency Requirement) Rules 2008 for Class 3B insurers, respectively, as each are amended from time to time.</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Neither the statutory financial return nor the capital and solvency return is available for public inspection.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Quarterly Financial Return</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 Class 3B insurer, not otherwise subject to group supervision, is required to prepare and file quarterly financial returns with the BMA on or before the last day of the months of May, August and November of each year. The quarterly financial returns consist of (i) quarterly unaudited financial statements for each financial quarter (which must minimally include a balance sheet and income statement and must also be recent and not reflect a financial position that exceeds two months), (ii) a list and details of material intra-group transactions that the Class 3B insurer is a party to and the Class 3B insurer’s risk concentrations that have materialized since the most recent quarterly or annual financial returns, details surrounding all intra-group reinsurance and retrocession arrangements and other intra-group risk transfer insurance business arrangements that have materialized since the most recent quarterly or annual financial returns and (iii) details of the ten largest exposures to unaffiliated counterparties and any other unaffiliated counterparty exposures exceeding 10% of the Class 3B insurer’s statutory capital and surplus.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Public Disclosures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commercial insurers and insurance groups are required under the Insurance Act to prepare and file with the BMA, and also publish on their web site, a financial condition report. The BMA has discretion to approve modifications and exemptions to the public disclosure rules on application by the insurer if, among other things, the BMA is satisfied that the disclosure of certain information will result in a competitive disadvantage or compromise confidentiality obligations of the insurer.</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Independent Approved Auditor</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 Class 3A insurer and a Class 3B insurer must each appoint an independent auditor who will audit and report on the insurer’s GAAP financial statements and statutory financial statements,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Non-insurance Business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 xml:space="preserve">No Class 3A insurer or Class 3B insurer may engage in non-insurance business unless that non-insurance business is ancillary to its insurance business. Non-insurance business means any business other than insurance business and includes carrying on investment business, managing an investment fund as operator, carrying on business as a fund administrator,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carrying on banking business, underwriting debt or securities or otherwise engaging in investment banking, engaging in commercial or industrial activities and carrying on the business of management, sales or leasing of real property.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Minimum Liquidity Ratio</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provides a minimum liquidity ratio for general business insurers. A Class 3A insurer and a Class 3B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reinsurance balances receivable, funds held by ceding reinsurers and any other assets which the BMA, on application in any particular case made to it with reasons, accepts in that case.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certain categories of assets which, unless specifically permitted by the BMA, do not automatically qualify as relevant assets, such as unquoted equity securities, investments in and advances to affiliates and real estate and collateral loans.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relevant liabilities are total general business insurance reserves and total other liabilities less deferred income taxes and letters of credit, guarantees and other instruments.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Minimum Solvency Margin and Enhanced Capital Requirements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provides that the value of the statutory assets of an insurer must exceed the value of its statutory liabilities by an amount greater than its prescribed minimum solvency margin (“MSM”).</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MSM that must be maintained by a Class 3A insurer and a Class 3B insurer with respect to its general business is the greater of (i) $1,000,000, (ii) 20% of the first $6,000,000 of net premiums written (but if the net premiums written are in excess of $6,000,000, the figure is $1,200,000 plus 15% of net premiums written in excess of $6,000,000) or (iii) 15% of the aggregate of net loss and loss expense provisions and other insurance general business reserves or (iv) 25% of the ECR (as defined below) as reported at the end of the relevant year.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Class 3A insurers and Class 3B insurers are also required to maintain available statutory economic capital and surplus at a level equal to or in excess of its enhanced capital requirement (“ECR”) which is established by reference to either the BSCR model or an approved internal capital model.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BSCR model is a risk-based capital model which provides a method for determining an insurer’s capital requirements (statutory economic capital and surplus) by taking into account the risk characteristics of different aspects of the insurer’s business. The BSCR formula establishes capital requirements for ten categories of risk: fixed income investment risk, equity investment risk, interest rate/liquidity risk, currency risk, concentration risk, premium risk, reserve risk, credit risk, catastrophe risk and operational risk. For each category, the capital requirement is determined by applying factors to asset, premium, reserve, creditor, probable maximum loss and operation items, with higher factors applied to items with greater underlying risk and lower factors for less risky items.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not specifically referred to in the Insurance Act (or required thereunder), the BMA has also established a target capital level (“TCL”) for each Class 3A insurer and Class 3B insurer equal to 120% of its ECR. The TCL serves as an early warning tool for the BMA, and failure to maintain statutory capital at least equal to the TCL will likely result in increased regulatory oversight.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insurer which at any time fails to meet its MSM requirements must, upon becoming aware of such failure, immediately notify the BMA and, within 14 days thereafter, file a written report with the BMA containing particulars of the circumstances that gave rise to the failure and setting out its plan detailing specific actions to be taken and the expected timeframe in which the insurer intends to rectify the failure.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insurer which at any time fails to meet its applicable ECR shall, upon becoming aware of that failure or of having reason to believe that such a failure has occurred, immediately notify the BMA in writing and within 14 days of such notification file with the BMA a written report containing particulars of the circumstances leading to the failure, and a plan detailing the manner, specific actions to be taken and time within which the insurer intends to rectify the failure, and within 45 days of becoming aware of that failure or of having reason to believe that such a failure has occurred, furnish the BMA with (i) unaudited statutory economic balance sheets and unaudited interim statutory financial statements prepared in accordance with GAAP covering such period as the BMA may require; (ii) the opinion of a loss reserve specialist in relation to the total general business insurance technical provisions as set out in the economic balance sheet, where applicable; (iii) a general business solvency certificate in respect of the financial statements; and (iv) a capital and solvency return reflecting an enhanced capital requirement prepared using post failure data where applicable.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Eligible Capital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enable the BMA to better assess the quality of an insurer’s capital resources, a Class 3A insurer and a Class 3B insurer are each required to disclose the makeup of its capital in accordance with a “3-tiered eligible capital system”. Under this system, all of the insurer’s capital instruments will be classified as either basic or ancillary capital which in turn will be classified into one of three tiers based on their “loss absorbency” characteristics. Highest quality capital will be classified as Tier 1 Capital, and lesser quality capital will be classified as either Tier 2 Capital or Tier 3 Capital. Under this regime, up to certain specified percentages of Tier 1, Tier 2 and Tier 3 Capital may be used to support the insurer’s MSM, ECR and TCL.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characteristics of the capital instruments that must be satisfied to qualify as Tier 1, Tier 2 and Tier 3 Capital are set out in the Insurance (Eligible Capital) Rules 2012, and amendments thereto. Under these rules, Tier 1, Tier 2 and Tier 3 Capital may, until January 1, 2026, include capital instruments that do not satisfy the requirement that the instrument be non-redeemable or settled only with the issuance of an instrument of equal or higher quality upon a breach, or if it would cause a breach, of the ECR.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Where the BMA has previously approved the use of certain instruments for capital purposes, the BMA’s consent will need to be obtained if such instruments are to remain eligible for use in satisfying the MSM and the ECR.</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Code of Conduct</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Insurance Code of Conduct (the “Insurance Code”) prescribes the duties, standards, procedures and sound business principles with which all insurers registered under the Insurance Act must comply. The BMA will assess an insurer’s compliance with the Insurance Code in a proportional manner relative to the nature, scale and complexity of its business. Failure to comply with the requirements of the Insurance Code will be taken into account by the BMA in determining whether an insurer is conducting its business in a sound and prudent manner as prescribed by the Insurance Act, may result in the BMA exercising its powers of intervention and investigation (see below) and will be a factor in calculating the operational risk charge under the insurer’s BSCR or approved internal model.</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Restrictions on Dividends and Distributions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Class 3A insurer and a Class 3B insurer are each prohibited from declaring or paying a dividend if it is in breach of its MSM, ECR or minimum liquidity ratio or if the declaration or payment of such dividend would cause such a breach. Where an insurer fails to meet its MSM or minimum liquidity ratio on the last day of any financial year, it will be prohibited from declaring or paying any dividends during the next financial year without the approval of the BMA.</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 Class 3A insurer and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Reduction of Capital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No Class 3A insurer or Class 3B insurer may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 (such as letters of credit).</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 Class 3A insurer or Class 3B insurer seeking to reduce its respective statutory capital by 15% or more, as set out in its previous year’s financial statements, is also required to submit an affidavit signed by at least two directors (one of whom must be a Bermuda-resident director if any of the insurer’s directors are resident in Bermuda) and the principal representative stating that the proposed reduction will not cause it to fail its relevant margins and such other information as the BMA may require. Where such an affidavit is filed, it shall be available for public inspection at the offices of the BMA.</w:t>
      </w:r>
    </w:p>
    <w:p>
      <w:pPr>
        <w:pStyle w:val="TextBody"/>
        <w:spacing w:lineRule="auto" w:line="417" w:before="0" w:after="120"/>
        <w:rPr>
          <w:rFonts w:ascii="Times New Roman;sans-serif" w:hAnsi="Times New Roman;sans-serif"/>
          <w:b/>
          <w:i/>
          <w:color w:val="000000"/>
          <w:sz w:val="20"/>
        </w:rPr>
      </w:pPr>
      <w:r>
        <w:rPr>
          <w:rFonts w:ascii="Times New Roman;sans-serif" w:hAnsi="Times New Roman;sans-serif"/>
          <w:b/>
          <w:i/>
          <w:color w:val="000000"/>
          <w:sz w:val="20"/>
        </w:rPr>
        <w:t>Policyholder Priority</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 xml:space="preserve">In the event of the liquidation or winding up of an insurer, policyholders’ liabilities receive prior payment ahead of general unsecured creditors. Subject to the prior payment of preferential debts under the Employment Act 2000 and the Companies Act, the insurance debts of an insurer must be paid in priority to all other unsecured debts of the insurer. Insurance debt is defined as a debt to which an insurer is or may become liable pursuant to an insurance contract, excluding debts owed to an insurer under an insurance contract where the insurer is the person insured. Insurance contract is defined as any contract of insurance, capital redemption contract or a contract that has been recorded as insurance business in the financial statements of the insurer pursuant to the Insurance Accounts Regulations 1980 or the Insurance Account Rules 2016, as applicable.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Fit and Proper Controller</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BMA maintains supervision over the controllers of all registered insurers in Bermuda.</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controller includes (i) the managing director of the registered insurer or its parent company, (ii) the chief executive of the registered insurer or of its parent company, (iii) a shareholder controller, and (iv) any person in accordance with whose directions or instructions the directors of the registered insurer or of its parent company are accustomed to act.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definition of shareholder controller is set out in the Insurance Act, but generally refers to (i) a person who holds 10% or more of the shares carrying rights to vote at a shareholders’ meeting of the registered insurer or its parent company, (ii) a person who is entitled to exercise 10% or more of the voting power at any shareholders’ meeting of such registered insurer or its parent company, or (iii) a person who is able to exercise significant influence over the management of the registered insurer or its parent company by virtue of its shareholding or its entitlement to exercise, or control the exercise of, the voting power at any shareholders’ meeting.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shareholder controller that owns 10% or more, but less than 20% of the shares as described above is defined as a 10% shareholder controller. A shareholder controller that owns 20% or more, but less than 33% of the shares as described above is defined as a 20% shareholder controller. A shareholder controller that owns 33% or more but less than 50% of the shares as described above is defined as a 33% shareholder controller. A shareholder controller that owns 50% or more of the shares as described above is defined as a 50% shareholder controller.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 the shares of Carolina Re’s and JRG Re’s parent company are traded on a recognized stock exchange, a person who becomes a 10%, 20%, 33% or 50% shareholder controller of the insurer, shall, within 45 days, notify the BMA in writing that he or she has become such a controller. In addition, a person who is a shareholder controller of Carolina Re or JRG Re must serve on the BMA a notice in writing that he or she has reduced or disposed of his or her holding in the insurer where the proportion of voting rights in the insurer held by him or her will have reached or has fallen below 10%, 20%, 33% or 50% as the case may be, not later than 45 days after such disposal.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person who contravenes the Insurance Act by failing to give notice or knowingly becomes a controller of any description before the required 45 days has elapsed is guilty of an offence and liable to a fine of $25,000 on summary conviction.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BMA may file a notice of objection to any person who has become a controller of any description where it appears that such person is not or is no longer, a fit and proper person to be a controller of the registered insurer. 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 Any person who continues to be a controller of any description after having received a notice of objection shall be guilty of an offense and shall be liable on summary conviction to a fine of $25,000 (and a continuing fine of $500 per day for each day that the offense is continuing) or, if convicted on indictment, to a fine of $100,000 and/or two years in prison.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Notification by Registered Person of Change of Controllers and Officers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All registered insurers are required to give written notice to the BMA of the fact that a person has become, or ceased to be, a controller or officer of the insurer within 45 days of becoming aware of such fact. An officer in relation to a registered insurer means a director, chief executive or senior executive performing duties of underwriting, actuarial, risk management, compliance, internal audit, finance or investment matters.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Notification of Material Changes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All registered insurers are required to give notice to the BMA of their intention to effect a material change within the meaning of the Insurance Act. For the purposes of the Insurance Act, the following changes are material: (i) the transfer or acquisition of insurance business being part of a scheme falling under Section 25 of the Insurance Act or Section 99 of the Companies Act, (ii) the amalgamation with or acquisition of another firm, (iii) engaging in unrelated business that is retail business, (iv) the acquisition of a controlling interest in an undertaking that is engaged in non-insurance business which offers services and products to persons who are not affiliates of the insurer, (v) outsourcing all or substantially all of the company’s actuarial, risk management compliance or internal audit functions, (vi) outsourcing all or a material part of an insurer’s underwriting activity, (vii) the transfer other than by way of reinsurance of all or substantially all of a line of business, (viii) expansion into a material new line of business, (ix) the sale of an insurer, and (x) outsourcing of an officer role.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No registered insurer shall take any steps to give effect to a material change unless it has first served notice on the BMA that it intends to effect such material change, and before the end of 30 days, either the BMA has notified such company in writing that it has no objection to such change or that period has lapsed without the BMA having issued a notice of objection.</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Notification of Cyber Reporting Events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Every insurer is required to notify the BMA on it coming to the knowledge of the insurer, or where the insurer has reason to believe that a Cyber Reporting Event has occurred. Within fourteen days of such notification, the insurer must also furnish the BMA with a written report setting out all the particulars of the Cyber Reporting Event that are available to it. A Cyber Reporting Event includes any act that results in the unauthorized access to, disruption, or misuse of electronic systems or information stored on such systems of an insurer, including breach of security leading to the loss or unlawful destruction or unauthorized disclosure of or access to such systems or information where there is a likelihood of an adverse impact to policyholders, clients or the insurer's insurance business, or an event that has occurred for which notice is required to be provided to a regulatory body or government agency.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Notification of Other Events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Every insurer is required to forthwith notify the BMA on it coming to the knowledge of the insurer, or where insurer has reason to believe that the insurer has failed to comply with a condition imposed upon it by the BMA or that the insurer, or a shareholder controller or officer of the insurer is involved in any criminal proceedings whether in Bermuda or abroad.</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Supervision, Investigation, Intervention and Disclosure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BMA may, by notice in writing served on a registered person or a designated insurer, require the registered person or designated insurer to provide such information and/or documentation as the BMA may reasonably require with respect to matters that are likely to be material to the performance of its supervisory functions under the Insurance Act. In addition, it may require such person’s auditor, underwriter, accountant or any other person with relevant professional skill of such registered person or designated insurer to prepare a report on any aspect pertaining thereto. In the case of a report, the person so appointed shall immediately give the BMA written notice of any fact or matter of which he becomes aware or which indicates to him that any condition attaching to his registration under the Insurance Act is not or has not, or may not be or may not have, been fulfilled and that such matters are likely to be material to the performance of its functions under the Insurance Act. If it appears to the BMA to be desirable in the interests of the clients of a registered person or relevant insurance group, the BMA may also exercise these powers in relation to subsidiaries, parent companies and other affiliates of the registered person or designated insurer.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If the BMA deems it necessary to protect the interests of the policyholders or potential policyholders of an insurer or insurance group, it may appoint one or more competent persons to investigate and report on the nature, conduct or state of the insurer’s or the insurance group’s business, or any aspect thereof, or the ownership or control of the insurer or insurance group. If the person so appointed thinks it necessary for the purposes of the investigation, such person may also investigate the business of any person who is or has been, at any relevant time, a member of the insurance group or of a partnership of which the person being investigated is a member. In this regard, it shall be the duty of every person who is or was a controller, officer, employee, agent, banker, auditor, accountant, barrister and attorney or insurance manager to produce to the person appointed such documentation as the appointed person may reasonably require for purposes of the investigation, and to attend and answer questions relevant to the investigation and to otherwise provide such assistance as may be necessary in connection therewith.</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Where the BMA suspects that a person has failed to properly register under the Insurance Act or that a registered person or designated insurer has failed to comply with a requirement of the Insurance Act or that a person is not, or is no longer, a fit and proper person to perform functions in relation to a regulated activity, it may, by notice in writing, carry out an investigation into such person (or any other person connected thereto). In connection therewith, the BMA may require every person who is or was a controller, officer, employee, agent, banker, auditor, accountant, barrister and attorney or insurance manager to make a report and produce such documents in his care, custody and control and to attend before the BMA to answer questions relevant to the BMA’s investigation and to take such actions as the BMA may direct. The BMA may also enter any premises for the purposes of carrying out its investigation and may petition the court for a warrant if it believes a person has failed to comply with a notice served on him, there are reasonable grounds for suspecting the completeness of any information or documentation produced in response to such notice, or that its directions will not be complied with or that any relevant documents would be removed, tampered with or destroyed.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If it appears to the BMA that the business of the registered insurer is being conducted in a way that there is a significant risk of the insurer becoming insolvent or being unable to meet its obligations to policyholders, or that the insurer is in breach of the Insurance Act or any conditions imposed upon its registration, or the minimum criteria stipulated in the Insurance Act is not or has not been fulfilled in respect of a registered insurer, or that a person has become a controller without providing the BMA with the appropriate notice or in contravention of a notice of objection, or the registered insurer is in breach of its ECR, or that a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designated insurer is in breach of any provision of the Insurance Act or the regulations or rules applicable to it, the BMA may issue such directions as it deems desirable for safeguarding the interests of policyholders or potential policyholders of the insurer or the insurance group. The BMA may, among other things, direct an insurer, for itself and in its capacity as designated insurer of the insurance group of which it is a member, (i) not to take on any new insurance business, (ii) not to vary any insurance contract if the effect would be to increase the insurer’s liabilities, (iii) not to make certain investments, (iv) to realize certain investments, (v) to maintain in or transfer to the custody of a specified bank, certain assets, (vi) not to declare or pay any dividends or other distributions or to restrict the making of such payments, (vii) to limit its premium income, (viii) not to enter into specified transactions with any specified person or persons of a specified class, (ix) to provide such written particulars relating to the financial circumstances of the insurer as the BMA thinks fit, (x) as an individual insurer only, and not in its capacity as designated insurer, to obtain the opinion of a loss reserve specialist and submit it to the BMA, and/or (xi) to remove a controller or officer.</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BMA has the power to assist other regulatory authorities, including foreign insurance regulatory authorities, with their investigations involving insurance and reinsurance companies in Bermuda if it is satisfied that the assistance being requested is in connection with the discharge of regulatory responsibilities and that such cooperation is in the public interest. The grounds for disclosure by the BMA to a foreign regulatory authority without consent of the insurer are limited and the Insurance Act provides for sanctions for breach of the statutory duty of confidentiality.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Cancellation of Insurer’s Registration</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An insurer’s registration may be cancelled by the BMA at the request of the insurer or on certain grounds specified in the Insurance Act. Failure by the insurer to comply with its obligations under the Insurance Act, or if the BMA believes that the insurer has not been carrying on business in accordance with sound insurance principles, would be examples of such grounds.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Certain Other Bermuda Law Considerations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Corporate Bermuda Law Considerations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Although James River Group Holdings, Ltd. is incorporated in Bermuda, it is designated as a non-resident for Bermuda exchange control purposes by the BMA. Pursuant to its non-resident status, James River Group Holdings, Ltd. may engage in transactions in currencies other than the Bermuda dollar, and there are no restrictions on its ability to transfer funds (other than funds denominated in Bermuda dollars) in and out of Bermuda or to pay dividends to non-residents who are holders of its common shares in currencies other than the Bermuda dollar.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Bermuda law, share certificates are issued only in the names of companies, partnerships or individuals. In the case of an applicant acting in a special capacity (for example, as an executor or trustee), certificates may, at the request of the applicant, record the capacity in which the applicant is acting. Notwithstanding the recording of any such special capacity, we are not bound to investigate or see to the execution of any such trust. We will take no notice of any trust applicable to any of our common shares whether or not we have notice of such trust.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James River Group Holdings, Ltd., Carolina Re and JRG Re is incorporated in Bermuda as an “exempted company.” Under Bermuda law, exempted companies are companies formed for the purpose of conducting business outside Bermuda from a principal place of business in Bermuda. As a result, they are exempt from Bermuda laws restricting the percentage of share capital that may be held by non-Bermudians. However, exempted companies may not participate in certain business transactions, including: (i) the acquisition or holding of land in Bermuda except that required for their business and held by way of lease or tenancy for a term not exceeding 50 years or, with the consent of the Minister of Finance granted in his discretion by way of lease or tenancy for a term not exceeding 21 years in order to provide accommodation or recreational facilities for its officers and employees, (ii) the taking of mortgages on land in Bermuda to secure an amount in excess of B.D.$50,000 without the consent of the Minister of Finance, (iii) the acquisition of any bonds or debentures secured by any land in Bermuda, other than certain types of Bermuda government securities or securities issued by Bermuda public authorities, or (iv) the carrying on of business of any kind in Bermuda, except in furtherance of business carried on outside Bermuda or under license granted by the Minister of Finance. Generally, it is not permitted without a special license granted by the Minister of Finance to insure Bermuda domestic risks or risks of persons of, in or based in Bermuda. Each of Carolina Re and JRG Re is a licensed insurer in Bermuda, and so it may carry on activities from Bermuda that are related to and in support of its insurance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Each of James River Group Holdings, Ltd., Carolina Re and JRG Re must comply with the provisions of the Companies Act regulating the payment of dividends and making distributions from contributed surplus. A company may not declare or pay a dividend, or make a distribution out of contributed surplus, if there are reasonable grounds for believing that (i) it is, or would after the payment be, unable to pay its liabilities as they become due, or (ii) the realizable value of the assets would thereby be less than its liabilities. In addition, certain provisions of the Insurance Act will limit our ability to pay dividends.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Companies Act, where a Bermuda company issues shares at a premium (that is, for a price above the par value), whether for cash or otherwise, a sum equal to the aggregate amount or value of the premium on those shares must be transferred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to an account called “the share premium account.” The provisions of the Companies Act relating to the reduction of the share capital of a company apply as if the share premium account were paid up share capital of that company, except for certain matters such as: (i) paying up unissued shares to be issued to members as fully paid bonus shares, (ii) writing off the preliminary expenses of the company or the expenses of, or the commission paid or discount allowed on any issue of shares or debentures of the company, or (iii) providing for the premiums payable on redemption of shares or of any debentures of the company. The paid up share capital may not be reduced if, on the date the reduction is to be effected, there are reasonable grounds for believing that the company is, or after the reduction would be, unable to pay its liabilities as they become due. See “- Restrictions on Dividends and Distributions”.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Securities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in cases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would include our common shares) are listed on an “Appointed Stock Exchange” (which would include the NASDAQ Stock Market). In granting the general permission, the BMA accepts no responsibility for our financial soundness or the correctness of any of the statements made or opinions expressed herein.</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We have received consent from the BMA to issue, grant, create, sell and transfer freely any of our shares, stock, bonds, notes (other than promissory notes), debentures, debenture stock, units under a unit trust scheme, shares in an oil royalty, options, warrants, coupons, rights and depository receipts to and among persons who are either resident or non-resident of Bermuda for exchange control purposes.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Economic Substance</w:t>
      </w:r>
    </w:p>
    <w:p>
      <w:pPr>
        <w:pStyle w:val="TextBody"/>
        <w:spacing w:lineRule="auto" w:line="288" w:before="0" w:after="120"/>
        <w:rPr/>
      </w:pPr>
      <w:r>
        <w:rPr>
          <w:color w:val="000000"/>
        </w:rPr>
        <w:t>    </w:t>
      </w:r>
      <w:r>
        <w:rPr>
          <w:rFonts w:ascii="Times New Roman;sans-serif" w:hAnsi="Times New Roman;sans-serif"/>
          <w:b w:val="false"/>
          <w:color w:val="000000"/>
          <w:sz w:val="20"/>
        </w:rPr>
        <w:t xml:space="preserve">Under the Economic Substance Act 2018 and related regulations (collectively, the "ESA"), each entity resident in Bermuda that carries on a "relevant activity" is required to comply with the economic substance requirements under the ESA, unless resident for tax purposes in a jurisdiction outside Bermuda that is not on the EU list of non-cooperative jurisdictions for tax purposes. Relevant activities include,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xml:space="preserve">, insurance and holding entity activities, as each is defined in the ESA. </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Compliance requires that the entity is managed and directed in Bermuda, core income generating activities (which in relation to insurance includes predicting and calculating risk, insuring or re-insuring against risk, providing client services and preparing regulatory reports) are undertaken in Bermuda with respect to the relevant activity, the entity maintains adequate physical presence in Bermuda, there are adequate full time employees in Bermuda with suitable qualifications and there is adequate operating expenditure incurred in Bermuda in relation to the relevant activity. Entities in scope will also need to file an annual declaration form in respect of its relevant activity or activities.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In relation to carrying on the relevant activity of insurance, compliance with the ESA also requires compliance with requirements in the Companies Act relating to corporate governance and the requirements of the Insurance Act and other instruments (including the Insurance Code) made thereunder. The Bermuda Registrar of Companies (the "Registrar") will have regard to an insurer's compliance with the Insurance Act and the Companies Act in his assessment of compliance with economic substance requirements and on the basis that an insurer complies with such requirements, the insurer will generally be considered to operate in Bermuda with adequate substance. An insurer will be required to complete and file a declaration form, and the Registrar will also have regard to the information provided in the declaration form in making his assessment of compliance with economic substance requirements.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Holding entities are subject to minimum economic substance requirements comprising (in the case of an exempted company), compliance with the corporate governance requirements set forth in the Companies Act and the filing of a declaration form. The ESA also requires such a holding entity to have adequate people for holding and managing equity participations and have adequate premises in Bermuda.</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Any entity that must satisfy economic substance requirements but fails to do so could face automatic disclosure to competent authorities in the EU of the information filed by the entity with the Registrar in connection with the economic substance requirements and may also face financial penalties, restriction or regulation of its business activities and/or may be struck off as a registered entity in Bermuda.</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Bermuda Work Permit Considerations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Bermuda law, non-Bermudians (other than spouses of Bermudians and individuals holding permanent resident’s certificates) may not engage in any gainful occupation in Bermuda without an appropriate government work permit.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Standard work permits can be obtained for a one-, two-, three-, four- or five-year period. Where a standard work permit is being applied for, it is a requirement that the job must be advertised for three days (within an eight-day period) in the local newspaper and advertised for eight consecutive days on the Bermuda Government Job Board. Should no Bermudian (or spouse of a Bermudian or holder of a permanent resident’s certificate) meet the minimum standards as stipulated in the advertisements, the employer may then apply for a standard work permit for the non-Bermudian. Where such persons apply, employers must complete a Recruitment Disclosure Form, within the Standard Work Permit Application Form, and provide a summary of all applicants that are Bermudian, the spouse of the Bermudian or the holder of a permanent resident's certificate, including their qualifications. The Department of Immigration will compare the qualifications and experience of any Bermudian applicants (or spouse of a Bermudian or holder of a permanent resident’s certificate) to that stipulated in the advertisements and to the non-Bermudian to be satisfied that the role could not have been filled by a Bermudian (or spouse of a Bermudian or holder of a permanent resident’s certificate). In addition to the advertising, there are other documents that are required prior to the Department of Immigration making its decision.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position for which the standard work permit is being applied is that of a Chief Executive Officer or other chief officer post, the Minister of Labour allows an automatic waiver from the requirement to advertise the job and on occasion may waive the requirement to advertise for other senior executive positions.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an employer wishes to change an employee’s job title, provided that the job description, duties, remuneration and benefits remain unchanged, the employer does not need to advertise or obtain the permission of the Minister of Labour to do this, but it must inform the Department of Immigration and pay the necessary fee after the change has occurred.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an employer wishes to promote an employee currently on a work permit from his current job to another within the same business, the permission of the Minister of Labour must first be obtained. The employer will need to provide evidence of internal recruitment efforts and consideration of internal Bermudian/spouse of Bermudian candidates.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temporary work permit can take up to 10 working days to process and a standard work permit takes four weeks to process.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Employers have the right to appeal to the Minister following any decision made by the Board or the Minister. Appeals should be submitted on letter form to the Department for the attention of the Chief Immigration Officer, made within seven (7) working days of the date of the refusal letter.</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U.S. Insurance Regulation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State Regulation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U.S. insurance subsidiaries are subject to extensive regulation and supervision by their state of domicile, as well as those states in which they do business. The purpose of such regulation and supervision is primarily to provide safeguards for policyholders, rather than to protect the interests of shareholders. The insurance laws of the various states establish regulatory agencies with broad administrative powers, including the power to grant or revoke operating licenses and regulate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In Ohio, the domiciliary state of James River Insurance and Falls Lake National Insurance Company (“Falls Lake National”), the limitation is the greater of statutory net income for the preceding calendar year or 10% of the statutory surplus at the end of the preceding calendar year, provided that such dividends may only be paid out of the earned surplus of each of the companies without obtaining regulatory approvals.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Company, this limitation is the greater of statutory net income excluding realized capital gains of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reduction of statutory surplus to inadequate levels and could refuse to permit the payment of dividends calculated under any applicable formula.</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are required to file quarterly and annual reports with the appropriate regulatory agency in its state of domicile and with The National Association of Insurance Commissioners (“NAIC”) based on applicable statutory regulations, which differ from U.S. generally accepted accounting principles. Their business and accounts are subject to examination by such agencies at any time.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filing requirements on certain transactions between related companies,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related companies include transfers of assets, loans, reinsurance agreements, service agreements, certain dividend payments by the insurance companies and certain other material transactions and modifications to such transactions. In 2012, the NAIC adopted significant changes to the insurance holding company act and regulations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its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In addition, in 2012, the NAIC adopted the Risk Management and Own Risk and Solvency Assessment Model Act (the “ORSA Model Act”). The ORSA Model Act, when adopted by the various states, requires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prior written approval must be obtained from the insurer’s domiciliary state insurance regulator. These laws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 regulations, “control” over an insurer is generally presumed to exist if any person, directly or indirectly, owns, controls, holds the power to vote or holds proxies representing, 10 percent or more of the voting securities of that insurer. Indirect ownership includes ownership of the Company’s common shares.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Under state insurance guaranty fund laws, insurance companies doing business in a state can be assessed for certain obligations of insolvent insurance companies to such insolvent companies’ policyholders and claimants. Maximum assessments allowed in any one year generally vary between one percent and two percent of annual premiums written in that state, but it is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possible that caps on such assessments could be raised if there are numerous or large insolvencies. In most states, guaranty fund assessments are recoverable either through future policy surcharges or offsets to state premium tax liabilities.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At December 31, 2021, the Company’s U.S.-based insurance subsidiaries had total adjusted statutory capital of $325.4 million, which is in excess of the minimum risk-based capital requirement.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response to the growing threat of cyber-attacks in the insurance industry, certain jurisdictions have begun to consider new cybersecurity measures, including the adoption of cybersecurity laws and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The following states have either adopted the NAIC Insurance Data Security Model Law or similar laws that govern the cybersecurity and data protection practices of insurers, insurance agents, and other licensed entities registered under state insurance laws: Alabama, California, Connecticut, Delaware, Indiana, Iowa, Louisiana, Maine, Michigan, Minnesota, Mississippi, New Hampshire, New York, North Dakota, Ohio, South Carolina, Tennessee, Virginia and Wisconsin. We continue to monitor whether the other states in which we conduct business adopt the NAIC’s Insurance Data Security Model Law.</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From time to time, states consider and/or enact laws that may alter or increase state authority to regulate insurance companies and insurance holding companies. States also consider and/or enact laws that impact the competitive environment and marketplace for property-casualty insurance. Changes in legislation or regulations and actions by regulators, including changes in administrative and enforcement policies, could require operational modifications from time to time. We cannot predict the effect that such changes or actions would have on our business, financial condition or results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Federal Regulation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established the Federal Insurance Office which is authorized to study, monitor and report to Congress on the insurance industry and to recommend that the Financial Stability Oversight Council (“FSOC”)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Additionally, the Dodd-Frank Act streamlined E&amp;S placements, the payment of E&amp;S taxes, the regulation of credit for reinsurance, and simplified the process for insurers to become an eligible E&amp;S insurer in the United States.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Changes to federal legislation and administrative policies in several areas, including changes in federal taxation, can also significantly impact the insurance industry and us.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December 20, 2019, the Terrorism Risk Insurance Act of 2002 and its successors, the Terrorism Risk Insurance Extension Act of 2005, the Terrorism Risk Insurance Program Reauthorization Act of 2007, and the Terrorism Risk Insurance Program Reauthorization Act of 2015 (collectively, the “Terrorism Acts”), were extended through December 31, 2027. Under the Terrorism Acts, commercial property and casualty insurers, in exchange for making terrorism insurance available, may be entitled to be reimbursed by the federal government for a portion of their aggregate losses. As required by the Terrorism Acts, we offer policyholders in specific lines of commercial insurance the option to elect terrorism coverage.</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order for a loss to be covered under the Terrorism Acts, the loss must meet the aggregate industry loss minimum and must be the result of an act of terrorism as certified by the Secretary of the Treasury.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Geographic Information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each of the years ended December 31, 2021, 2020 and 2019, 100% of our gross written premiums and net earned premiums were generated from policies issued to U.S.-based insureds.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believe that by understanding and leveraging the different dimensions of diversity in our workforce, we drive empowerment, collaboration and innovation needed to be a leader in our industry. As of December 31, 2021, we had 638 employees located in the United States and Bermuda, all classified as full-time. Of that population, 58% were female and 42% were male. Among the 98% of our employees who chose to disclose their race and ethnicity, approximately 14% identified as Black or African American, 3% as Hispanic or Latino, 6% as Asian, 2% as two or more races, less than 1% as Native Hawaiian or other Pacific Islander, and less than 1% as American Indian or Alaska Native.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Over the last year, our Diversity, Equity and Inclusion (DEI) committee has made significant progress in bringing additional awareness and focus to DEI topics throughout the company and in the locations where we operate. The committee is both diverse and made up of employees from all segments, levels and office locations. The primary objectives of the committee are to increase awareness of diversity and inclusion, provide education opportunities to all employees, improve understanding of how diversity and inclusion affect our corporate objectives, and identify and address potential roadblocks to diversity and equity in hiring, promotion, physical environment and professional development.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recognize the mutual benefits for our company and our employees to further their formal education and professional development. Our Employee Development and Education Assistance program provides financial assistance for courses, development programs and professional affiliations. Additionally, employees have access to an online learning management system that hosts courses and modules across a wide range of topics.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offer a competitive benefits package that is designed to support the well-being of our employees. Our benefits include medical, dental and vision insurance, a comprehensive employee assistance program to support the mental health of our employees and their families, employer-paid life and disability plans, contributions to employee retirement accounts through a company match with immediate vesting as well as paid parental leave and adoption assistance.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July of 2021, after more than a year and a half of our offices being closed to all non-essential staff due to the COVID-19 pandemic, we reopened our offices on a voluntary basis. We built a reopening plan that reflected the shared goals and needs of our employees and business, placing an emphasis on remaining safe, productive and connected. Safety measures and procedures have been implemented throughout our offices to help ensure that all staff working in the office remain safe.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value the opinions and diverse perspectives of our employees and utilize the feedback that we receive throughout the year to help develop many of our company programs, policies, and benefits. We conduct an annual engagement survey followed by voluntary focus group sessions to better assess how motivated and engaged our employees are to perform their best each day. New hire feedback is collected following an employee’s first 30 days of employment, which allows us to reflect upon and improve aspects of our recruitment and onboarding processes. In addition to the formal surveys and feedback meetings, we collect valuable input through our Employee Suggestion Program where employees may express their feedback regarding any aspect of their employment with our company.</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use licensed and proprietary systems and technologies in our underwriting. The licenses have terms that expire at various times. We believe that we can utilize other available systems and technologies in the event that the licenses are not renewed upon their expiration.</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0" w:after="120"/>
        <w:ind w:left="0" w:right="0" w:firstLine="405"/>
        <w:rPr/>
      </w:pPr>
      <w:r>
        <w:rPr>
          <w:rFonts w:ascii="Times New Roman;sans-serif" w:hAnsi="Times New Roman;sans-serif"/>
          <w:b w:val="false"/>
          <w:color w:val="000000"/>
          <w:sz w:val="20"/>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http://www.jrgh.net, as soon as reasonably practicable after they are filed electronically with the SEC. Copies are also available, without charge, by writing to us at James River Group Holdings, Ltd., Wellesley House, 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Floor, 90 Pitts Bay Road, Pembroke, HM 08, Bermuda. The information on our web site is not a part of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 xml:space="preserve">Summary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actual incurred losses may be greater than our loss and loss adjustment expense reserves, which could have a material adverse effect on our financial condition and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risk management is based on estimates and judgments that are subject to significant uncertainties.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we are unable to retain key management and employees or recruit other qualified personnel, we may be materially adversely affected.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Adverse economic factors could result in the sale of fewer policies than expected or an increase in frequency or severity of claims and premium defaults or both, which, in turn, could affect our growth and profitability.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decline in our financial strength rating may result in a reduction of new or renewal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distribute products through a select group of brokers and agents, several of which account for a significant portion of our business, and there can be no assurance that such relationships will continue, or if they do continue, that the relationship will be on favorable terms to us.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Brokers or agents that produce our business may not forward premiums to us that they collect from our policyholders, and as a result, we may not receive compensation for coverage set forth in the underlying policy.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rely on a select group of customers for a significant portion of our business, and the loss or termination of our relationship with any such customers, or a material reduction in their business, could materially adversely affect our rate of growth, results of operations and financial condition.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be unable to obtain reinsurance coverage at reasonable prices or on terms that provide us adequate protection.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have primary liability on our insurance policies for losses, even if reinsurance counterparties or insurance companies with which we have a fronting arrangement fail to make any contractually obligated payments with respect to such loss, or if we do not receive indemnification payments pursuant to an arrangement we have with a former customer.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we are unable to underwrite risks accurately and charge and collect competitive yet profitable rates to our policyholders, our business, financial condition and results of operations will be materially adversely affected.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failure of any of the loss limitations or exclusions we employ, or changes in other claims or coverage issues, could result in higher than anticipated losses.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have exposure to losses arising from unpredictable natural disasters, terrorist acts, and other catastrophic events, the occurrence of which could result in an increase in the number or value of claims and could exceed the amount of reinsurance we purchased to protect us from such claims.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global coronavirus outbreak could harm business and results of operations of the Company.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 of emerging claim and coverage issues on our business is uncertain, and may result in coverage of risks that we did not factor in our policy prices.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investment portfolio is subject to significant market and credit risks, which could result in a material adverse impact on our financial condition or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are subject to extensive regulation, and the cost of compliance with such regulation or new regulation, or the results of non-compliance, may materially adversely affect our ability to achieve our business objectives and additionally may materially adversely affect our financial condition and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or agents we have appointed, may act based on inaccurate or incomplete information regarding the accounts we underwrite, the result of which may be to cause us to misprice our policies.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Agents may exceed their authority or commit fraud when binding policies on our behalf, causing us to make underwriting decisions on inadequate or inaccurate information.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reinsurance business is subject to loss settlements made by ceding companies and fronting carriers over which we have no control that are binding upon us, which could materially adversely affect our performance.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could be forced to sell investments to meet our liquidity requirements, causing us to incur losses on the investments.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require additional capital in the future, which may not be available or available only on unfavorable terms.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credit agreements contain a number of financial and other covenants, the breach of which could result in acceleration of payment of amounts due under our credit facilities.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If we are unable to keep pace with the technological advancements in the insurance industry, our ability to compete effectively could be impaired.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actual renewals of our existing contracts do not meet expectations, our premiums written in future years and our future results of operations could be materially adversely affected.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California, North Carolina, Ohio, or Virginia significantly increase the assessments our insurance companies are required to pay, our financial condition and results of operations will suffer.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use of third-party claims administrators in certain lines of business may achieve less desirable results which could cause us to incur higher losses and loss adjustment expenses.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Taxation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U.S. tax laws and the interpretation of certain provisions of the 2017 Tax Act (including the regulations promulgated with respect thereto), which may be retroactive, could have a significant impact on the Company and/or persons who own our shares.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JRG Re and James River Group Holdings UK Limited may be subject to U.S. federal income taxation and our non-U.K. companies may be subject to U.K. taxation, which may have a material adverse effect on our operating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Persons who own our shares may be subject to U.S. federal income taxation on our undistributed earnings and may recognize ordinary income upon disposition of shares, non-corporate persons who own our shares may not qualify for the reduced tax rate for qualified dividend income on the dividends paid by us in the future, and tax-exempt organizations who own our shares may recognize unrelated business taxable income.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Ownership of Our Common Shares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amount of dividends that we may pay to our common shareholders is subject to restriction pursuant to the terms of the Series A Preferred Shares, and we cannot assure you that we will declare or pay dividends on our common shares in the future.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issuance of the Series A Preferred Shares reduces the relative voting power of holders of our common shares, and the conversion of those shares into common shares would dilute the ownership of common shareholders and may adversely affect the market price of our common shares.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Dividends paid by our U.S. subsidiaries to James River UK may not be eligible for benefits under the U.S.-U.K. income tax treaty, reducing the amount of funds that would be available for the payment of dividends.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bye-laws and provisions of Bermuda law may impede or discourage a change of control transaction, which could deprive our investors of the opportunity to receive a premium for their shares.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Bermuda law differs from the laws in effect in the United States and may afford less protection to holders of our shares.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There are regulatory limitations on the ownership and transfer of our common shares.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operating results have in the past varied from quarter to quarter and may not be indicative of our long-term prospects.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Litigation and legal proceedings against us or our subsidiaries could have a material adverse effect on our business, financial condition and/or results of operations.</w:t>
      </w:r>
    </w:p>
    <w:p>
      <w:pPr>
        <w:pStyle w:val="TextBody"/>
        <w:spacing w:before="0" w:after="0"/>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actual incurred losses may be greater than our loss and loss adjustment expense reserves, which could have a material adverse effect on our financial condition and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insurance and reinsurance industry, there is always the risk that reserves may prove inadequate, and actual results always differ from our reserve estimates. It is possible for insurance and reinsurance companies to underestimate the cost of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claims. Our estimates could prove to be low, and this underestimation could have a material adverse effect on our financial strength. For example, in our Casualty Reinsurance segment, we experienced adverse development on the reserves for losses and loss adjustment expenses of: $137.6 million for the calendar year ended December 31, 2021 primarily in underwriting years 2014 through 2018; $37.8 million in 2020 primarily in accident years 2014 through 2018; and $23.1 million in 2019 primarily in accident years 2011 through 2016. In addition, for the commercial auto business in our Excess and Surplus Lines segment, we experienced adverse development on the reserves for losses and loss adjustment expenses of: $200.1 million for the calendar year ended December 31, 2021 principally relating to the 2019 and prior accident years; $91.4 million in 2020 principally relating to the 2018 and prior accident years; and $57.4 million in 2019 principally relating to the 2016 and 2017 accident years. We cannot assure you that we will not have further adverse development in our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uncertainties we encounter in establishing our reserves for losses and related expenses in connection with our insurance businesses include: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2021.</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New theories of liability are enforced retroactively from time to time by courts. See also</w:t>
      </w:r>
      <w:r>
        <w:rPr>
          <w:color w:val="000000"/>
          <w:highlight w:val="white"/>
        </w:rPr>
        <w:t xml:space="preserve"> “</w:t>
      </w:r>
      <w:r>
        <w:rPr>
          <w:rFonts w:ascii="Times New Roman;sans-serif" w:hAnsi="Times New Roman;sans-serif"/>
          <w:b w:val="false"/>
          <w:i/>
          <w:color w:val="000000"/>
          <w:sz w:val="20"/>
          <w:highlight w:val="white"/>
        </w:rPr>
        <w:t>The effect of emerging claim and coverage issues on our business is uncertain</w:t>
      </w:r>
      <w:r>
        <w:rPr>
          <w:color w:val="000000"/>
          <w:highlight w:val="white"/>
        </w:rPr>
        <w:t xml:space="preserve">” </w:t>
      </w:r>
      <w:r>
        <w:rPr>
          <w:rFonts w:ascii="Times New Roman;sans-serif" w:hAnsi="Times New Roman;sans-serif"/>
          <w:b w:val="false"/>
          <w:color w:val="000000"/>
          <w:sz w:val="20"/>
          <w:highlight w:val="white"/>
        </w:rPr>
        <w:t>risk factor herein</w:t>
      </w:r>
      <w:r>
        <w:rPr>
          <w:rFonts w:ascii="Times New Roman;sans-serif" w:hAnsi="Times New Roman;sans-serif"/>
          <w:b w:val="false"/>
          <w:color w:val="000000"/>
          <w:sz w:val="20"/>
        </w:rPr>
        <w:t>.</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We occasionally enter new lines of insurance, and as a consequence, we sometimes have to make estimates of future losses for risk classes with which we do not have a great deal of loss experience. This lack of loss experience may contribute to making errors of judgment when establishing reserves.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increased lapse of time from the occurrence of an event to the reporting of the claim and the ultimate resolution or settlement of the claim.</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diversity of development patterns among different types of reinsurance treaties.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necessary reliance on the ceding company for information regarding claims.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risk management is based on estimates and judgments that are subject to significant uncertainties.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Small changes in assumptions, which depend heavily on our judgment and foresight, can have a significant impact on the modeled outputs. Although we believe that these probabilistic measures provide a meaningful indicator of the relative risk of certain events and changes to our business over time, these measures do not predict our actual exposure to, nor guarantee our successful management of, future losses that could have a material adverse effect on our financial condition and results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If we are unable to retain key management and employees or recruit other qualified personnel, we may be materially adversely affected.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depends, in large part, on our ability to retain our experienced management team and key employees.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 compensation and/or permanent remote work arrangements to our key management or employees to incentivize them to leave our Company, or alternatively, to make it more difficult for us to hire such persons. Additionally, the transition to remote work by employees has allowed competitors that are located in different states or parts of the country to solicit our employees without requiring their relocation. Although we have employment agreements with the majority of the members of our senior management team, we do not have employment agreements with our senior underwriters or claims personnel. Our inability to attract and retain qualified personnel and the loss of services of key personnel could have a material adverse effect on our financial condition and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if members of management or a significant number of our employees should become unavailable due to an outbreak of COVID-19 among them, whether due to a return to work in an office environment or otherwise, our operations could be disrupted, which may have a detrimental impact on our business.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Factors such as business revenue, economic conditions, the volatility and strength of the capital markets, inflation and COVID-19 or other pandemics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or not pay premiums on our policies when due. These outcomes would reduce our underwriting profit to the extent these factors are not reflected in the rates we charge.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underwrite a significant portion of our insurance in (i) the Excess and Surplus Lines segment in California, Florida, Texas and New York, (ii) the individual risk workers’ compensation business of the Specialty Admitted Insurance segment in North Carolina, Georgia, Missouri, and Virginia, and (iii) the fronting and program business of the Specialty Admitted Insurance segment in California, Michigan, New York, Texas, and Georgia. Any economic downturn or reduced business activities in any such state, or other states where we conduct business, could have a material adverse effect on our financial condition and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current high inflationary environment persists over an extended period of time, it could adversely affect the adequacy of our reserves by increasing average loss costs over time, negatively impact the values of our investments and our investment returns, and may increase our compensation expenses.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 decline in our financial strength rating may result in a reduction of new or renewal business.</w:t>
      </w:r>
    </w:p>
    <w:p>
      <w:pPr>
        <w:pStyle w:val="TextBody"/>
        <w:spacing w:lineRule="auto" w:line="288" w:before="0" w:after="120"/>
        <w:ind w:left="0" w:right="0" w:firstLine="360"/>
        <w:rPr/>
      </w:pPr>
      <w:r>
        <w:rPr>
          <w:rFonts w:ascii="Times New Roman;sans-serif" w:hAnsi="Times New Roman;sans-serif"/>
          <w:b w:val="false"/>
          <w:color w:val="000000"/>
          <w:sz w:val="20"/>
        </w:rPr>
        <w:t>Companies, insurers and reinsurance brokers use ratings from independent ratings agencies as an important means of assessing the financial strength and quality of reinsurers.</w:t>
      </w:r>
      <w:r>
        <w:rPr>
          <w:color w:val="000000"/>
          <w:highlight w:val="white"/>
        </w:rPr>
        <w:t xml:space="preserve"> </w:t>
      </w:r>
      <w:r>
        <w:rPr>
          <w:rFonts w:ascii="Times New Roman;sans-serif" w:hAnsi="Times New Roman;sans-serif"/>
          <w:b w:val="false"/>
          <w:color w:val="000000"/>
          <w:sz w:val="20"/>
          <w:highlight w:val="white"/>
        </w:rPr>
        <w:t>A.M. Best has assigned a financial strength rating of “A-” (Excellent), which is the fourth highest of 13 ratings that A.M. Best issues, to each of James River Insurance, James River Casualty, Falls Lake Fire and Casualty, Falls Lake National, Stonewood Insurance, JRG Re and Carolina Re</w:t>
      </w:r>
      <w:r>
        <w:rPr>
          <w:rFonts w:ascii="Times New Roman;sans-serif" w:hAnsi="Times New Roman;sans-serif"/>
          <w:b w:val="false"/>
          <w:color w:val="000000"/>
          <w:sz w:val="20"/>
        </w:rPr>
        <w:t>.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we change our business practices from our organizational business plan in a manner that no longer supports our A.M. Best’s rating;</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unfavorable financial, regulatory or market trends affect us, including excess market capacity;</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our losses exceed our loss reserves;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we have unresolved issues with government regulators;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we are unable to retain our senior management or other key personnel;</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 xml:space="preserve">if our investment portfolio incurs significant losses; </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A.M. Best alters its capital adequacy assessment methodology in a manner that would adversely affect our rating; or</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if A.M. Best reduces its assessment of our enterprise risk management (as was the case in the May 2021 downgrade described below).</w:t>
      </w:r>
    </w:p>
    <w:p>
      <w:pPr>
        <w:pStyle w:val="TextBody"/>
        <w:spacing w:lineRule="auto" w:line="288" w:before="0" w:after="120"/>
        <w:ind w:left="0" w:right="0" w:firstLine="360"/>
        <w:rPr/>
      </w:pPr>
      <w:r>
        <w:rPr>
          <w:rFonts w:ascii="Times New Roman;sans-serif" w:hAnsi="Times New Roman;sans-serif"/>
          <w:b w:val="false"/>
          <w:color w:val="000000"/>
          <w:sz w:val="20"/>
        </w:rPr>
        <w:t xml:space="preserve">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increase collateral required for our assumed reinsurance business, trigger termination of assumed and/or ceded reinsurance contracts, trigger termination rights in certain of our agreements with MGAs in our Specialty Admitted segment, or result in a default under our credit facilities. See the Risk Factor </w:t>
      </w:r>
      <w:r>
        <w:rPr>
          <w:color w:val="000000"/>
        </w:rPr>
        <w:t>“</w:t>
      </w:r>
      <w:r>
        <w:rPr>
          <w:rFonts w:ascii="Times New Roman;sans-serif" w:hAnsi="Times New Roman;sans-serif"/>
          <w:b w:val="false"/>
          <w:i/>
          <w:color w:val="000000"/>
          <w:sz w:val="20"/>
        </w:rPr>
        <w:t>Our credit agreements contain a number of financial and other covenants, the breach of any of which could result in acceleration of payment of amounts due under our credit facilities.”</w:t>
      </w:r>
    </w:p>
    <w:p>
      <w:pPr>
        <w:pStyle w:val="TextBody"/>
        <w:spacing w:lineRule="auto" w:line="288" w:before="0" w:after="120"/>
        <w:ind w:left="0" w:right="0" w:firstLine="360"/>
        <w:rPr/>
      </w:pPr>
      <w:r>
        <w:rPr>
          <w:rFonts w:ascii="Times New Roman;sans-serif" w:hAnsi="Times New Roman;sans-serif"/>
          <w:b w:val="false"/>
          <w:color w:val="000000"/>
          <w:sz w:val="20"/>
        </w:rPr>
        <w:t xml:space="preserve">On May 7, 2021, A.M. Best announced that it downgraded the financial strength rating on our regulated insurance subsidiaries from “A” to “A-” (Excellent) with a negative outlook, as a result of the recurring nature of our adverse reserve development in our commercial auto lines and A.M. Best’s reduction of its assessment of our enterprise risk management. On September 30, 2021, A.M. Best revised the outlook to stable from negative and affirmed the financial strength rating of “A-” (Excellent) on our regulated insurance subsidiaries following the announcement of a retroactive legacy reinsurance transaction described in more detail under </w:t>
      </w:r>
      <w:r>
        <w:rPr>
          <w:color w:val="000000"/>
        </w:rPr>
        <w:t>“</w:t>
      </w:r>
      <w:r>
        <w:rPr>
          <w:rFonts w:ascii="Times New Roman;sans-serif" w:hAnsi="Times New Roman;sans-serif"/>
          <w:b w:val="false"/>
          <w:color w:val="000000"/>
          <w:sz w:val="20"/>
        </w:rPr>
        <w:t>Item 1. Business–Business Segments–Purchase of Reinsurance–Amounts Recoverable from an Indemnifying Party and Reinsurer on Legacy Commercial Auto Book”.</w:t>
      </w:r>
    </w:p>
    <w:p>
      <w:pPr>
        <w:pStyle w:val="TextBody"/>
        <w:spacing w:lineRule="auto" w:line="288" w:before="0" w:after="120"/>
        <w:ind w:left="0" w:right="0" w:firstLine="360"/>
        <w:rPr/>
      </w:pPr>
      <w:r>
        <w:rPr>
          <w:rFonts w:ascii="Times New Roman;sans-serif" w:hAnsi="Times New Roman;sans-serif"/>
          <w:b w:val="false"/>
          <w:color w:val="000000"/>
          <w:sz w:val="20"/>
          <w:highlight w:val="white"/>
        </w:rPr>
        <w:t>In addition, in view of the earnings and capital pressures recently experienced by many financial institutions, including insurance companies, i</w:t>
      </w:r>
      <w:r>
        <w:rPr>
          <w:rFonts w:ascii="Times New Roman;sans-serif" w:hAnsi="Times New Roman;sans-serif"/>
          <w:b w:val="false"/>
          <w:color w:val="000000"/>
          <w:sz w:val="20"/>
        </w:rPr>
        <w:t xml:space="preserve">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or reinsurance contracts. </w:t>
      </w:r>
      <w:r>
        <w:rPr>
          <w:rFonts w:ascii="Times New Roman;sans-serif" w:hAnsi="Times New Roman;sans-serif"/>
          <w:b w:val="false"/>
          <w:color w:val="000000"/>
          <w:sz w:val="20"/>
          <w:highlight w:val="white"/>
        </w:rPr>
        <w:t>See also “Item 7. Management’s Discussion and Analysis of Financial Condition and Results of Operations—Ratings.”</w:t>
      </w:r>
    </w:p>
    <w:p>
      <w:pPr>
        <w:pStyle w:val="TextBody"/>
        <w:spacing w:lineRule="auto" w:line="276" w:before="0" w:after="120"/>
        <w:rPr>
          <w:rFonts w:ascii="Times New Roman;sans-serif" w:hAnsi="Times New Roman;sans-serif"/>
          <w:b/>
          <w:i/>
          <w:color w:val="000000"/>
          <w:sz w:val="20"/>
        </w:rPr>
      </w:pPr>
      <w:r>
        <w:rPr>
          <w:rFonts w:ascii="Times New Roman;sans-serif" w:hAnsi="Times New Roman;sans-serif"/>
          <w:b/>
          <w:i/>
          <w:color w:val="000000"/>
          <w:sz w:val="20"/>
        </w:rPr>
        <w:t>We distribute products through a select group of brokers and agents, several of which account for a significant portion of our business, and there can be no assurance that such relationships will continue, or if they do continue, that the relationship will be on favorable terms to us. In addition, reliance on brokers and agents subjects us to their credit risk.</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distribute our products through a select group of brokers and agents. In 2021:</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Excess and Surplus Lines segment conducted business with three brokers that produced an aggregate of $568.9 million in gross written premiums, or 68.2% of that segment’s gross written premiums for the year;</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Specialty Admitted Insurance segment conducted business with two agencies that produced $213.6 million in gross written premiums, representing 43.5% of that segment’s gross written premiums for the year;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Casualty Reinsurance segment conducted business with three brokers that generated $153.9 million of gross written premiums, or 84.5% of that segment’s gross written premiums for the year.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the relationship with any of these brokers will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premiums from policyholders, where the business is produced by brokers or agents, are collected directly by the brokers or agents and forwarded to our insurance subsidiaries. In certain jurisdictions, when the insured pays its policy premium to brokers or agents for payment on behalf of our insurance subsidiaries, the premiums might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 material to date, there may be instances where brokers and agents collect premiums but do not remit them to us and we may be required under applicable law to provide the coverage set forth in the policy despite the absence of premiums.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rely on a select group of customers for a significant portion of our business, and the loss or termination of our relationship with any of these customers, or a material reduction in business with any of these customers, could materially adversely affect our rate of growth, results of operations and financial condition.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largest customer, Atlas General Insurance Services, accounted for approximately $124.1 million of our gross written premium in 2021, representing 8.2% of our gross written premiums in 2021. No insured generated 10.0% or more of consolidated gross written premiums for 2021.</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Atlas General Insurance Services was also our largest customer in 2020, accounting for approximately $125.5 million of our gross written premium, representing 10.0% of our gross written premiums in 2020. No other insured generated 10.0% or more of consolidated gross written premiums for 2020.</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loss or termination of our relationship with Atlas General Insurance Services, or another significant customer, or a material reduction in business with any such party, could materially adversely affect our rate of growth, results of operations and financial condition.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 xml:space="preserve">We may be unable to obtain reinsurance coverage at reasonable prices or on terms that provide us adequate protection.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purchase reinsurance in many of our lines of business to help manage our exposure to insurance and reinsurance risks that we underwrite and to reduce volatility in our results. In addition, JRG Re has managed its risk through retrocession arrangements with third-party reinsurers. A retrocession is a practice whereby a reinsurer cedes risk to one or more other reinsurers.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objective to grow our fee-based fronting business. As a result, our ability to manage volatility and avoid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 Reinsurance capacity has become more restricted making reinsurance placements more challenging during 2021 than in prior years.</w:t>
      </w:r>
    </w:p>
    <w:p>
      <w:pPr>
        <w:pStyle w:val="TextBody"/>
        <w:spacing w:lineRule="auto" w:line="288" w:before="0" w:after="120"/>
        <w:ind w:left="0" w:right="0" w:firstLine="360"/>
        <w:rPr/>
      </w:pPr>
      <w:r>
        <w:rPr>
          <w:rFonts w:ascii="Times New Roman;sans-serif" w:hAnsi="Times New Roman;sans-serif"/>
          <w:b w:val="false"/>
          <w:color w:val="000000"/>
          <w:sz w:val="20"/>
        </w:rPr>
        <w:t>Many reinsurance companies have begun to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and more exclusions, limiting the protection provided under the reinsurance contract.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w:t>
      </w:r>
      <w:r>
        <w:rPr>
          <w:color w:val="000000"/>
          <w:highlight w:val="white"/>
        </w:rPr>
        <w:t xml:space="preserve"> </w:t>
      </w:r>
      <w:r>
        <w:rPr>
          <w:rFonts w:ascii="Times New Roman;sans-serif" w:hAnsi="Times New Roman;sans-serif"/>
          <w:b w:val="false"/>
          <w:color w:val="000000"/>
          <w:sz w:val="20"/>
          <w:highlight w:val="white"/>
        </w:rPr>
        <w:t>See also “Item 1. Business — Business Segments—Purchase of Reinsurance.”</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are subject to credit risk with regard to our reinsurance counterparties, insurance companies with which we have a fronting arrangement and an indemnification arrangement we have with a former customer.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Although reinsurance makes the assuming reinsurer liable to us to the extent of the risk ceded, we are not relieved of our primary liability to our insureds as the direct insurer. At December 31, 2021, reinsurance recoverables on unpaid losses from our three largest reinsurers was $706.9 million in the aggregate and represented 52.4% of the total balance. Additionally, prepaid reinsurance premiums ceded to three reinsurers at December 31, 2021 was $143.6 million in the aggregate, or 49.3% of the total balance of prepaid reinsurance premiums. In addition to reinsurance purchased to manage our ongoing business, we entered into a loss portfolio transfer reinsurance transaction on our legacy commercial auto lines business in our Excess &amp; Surplus Lines segment (the “Commercial Auto LPT”). At December 31, 2021, reinsurance recoverables on the Commercial Auto LPT were $272.3 million (including $256.5 million of unpaid recoverables and $15.9 million of paid recoverables).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December 31, 2021, all of our material reinsurance recoverable amounts are from companies with A.M. Best ratings of “A-" (Excellent) or better, are collateralized by the reinsurer for our benefit through letters of credit or funds held in trust accounts, or represent recoverables from a state residual market for automobile insurance, but we cannot be sure that our reinsurers will pay all reinsurance claims on a timely basis or at all. For example, reinsurers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to pay us does not lessen our contractual obligations to insureds. If a reinsurer fails to pay the expected portion of a claim or claims, our net losses might increase substantially and materially adversely affect our financial condition. Any disputes regarding reinsurance contracts, indemnification arrangements and related agreements could be time-consuming, costly and uncertain of success.</w:t>
      </w:r>
    </w:p>
    <w:p>
      <w:pPr>
        <w:pStyle w:val="TextBody"/>
        <w:spacing w:lineRule="auto" w:line="288" w:before="0" w:after="120"/>
        <w:ind w:left="0" w:right="0" w:firstLine="360"/>
        <w:rPr/>
      </w:pPr>
      <w:r>
        <w:rPr>
          <w:rFonts w:ascii="Times New Roman;sans-serif" w:hAnsi="Times New Roman;sans-serif"/>
          <w:b w:val="false"/>
          <w:color w:val="000000"/>
          <w:sz w:val="20"/>
        </w:rPr>
        <w:t xml:space="preserve">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reserve for uncollectible reinsurance. </w:t>
      </w:r>
      <w:r>
        <w:rPr>
          <w:rFonts w:ascii="Times New Roman;sans-serif" w:hAnsi="Times New Roman;sans-serif"/>
          <w:b w:val="false"/>
          <w:color w:val="000000"/>
          <w:sz w:val="20"/>
          <w:highlight w:val="white"/>
        </w:rPr>
        <w:t>See also “Item 1. Business— Business Segments— Purchase of Reinsurance.”</w:t>
      </w:r>
    </w:p>
    <w:p>
      <w:pPr>
        <w:pStyle w:val="TextBody"/>
        <w:spacing w:lineRule="auto" w:line="288" w:before="0" w:after="120"/>
        <w:ind w:left="0" w:right="0" w:firstLine="360"/>
        <w:rPr/>
      </w:pPr>
      <w:r>
        <w:rPr>
          <w:rFonts w:ascii="Times New Roman;sans-serif" w:hAnsi="Times New Roman;sans-serif"/>
          <w:b w:val="false"/>
          <w:color w:val="000000"/>
          <w:sz w:val="20"/>
        </w:rPr>
        <w:t>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and in situations where we do obtain collateral for the obligations of the other insurance entity, it is possible that the collateral could be insufficient to cover all claims, either as a result of a decline in the value of the collateral, an increase in the obligations being collateralized, or a failure of management to monitor the adequacy of the collateral held. In that event, we would be contractually entitled to recovery from the entity for which we are fronting, but it is possible that, for any of a variety of reasons, the other party could default in its obligations.</w:t>
      </w:r>
      <w:r>
        <w:rPr>
          <w:color w:val="000000"/>
          <w:highlight w:val="white"/>
        </w:rPr>
        <w:t xml:space="preserve"> </w:t>
      </w:r>
      <w:r>
        <w:rPr>
          <w:rFonts w:ascii="Times New Roman;sans-serif" w:hAnsi="Times New Roman;sans-serif"/>
          <w:b w:val="false"/>
          <w:color w:val="000000"/>
          <w:sz w:val="20"/>
          <w:highlight w:val="white"/>
        </w:rPr>
        <w:t>See also “Item 1. Business— Business Segments—Specialty Admitted Insurance Segment—Fronting &amp; Program Business.”</w:t>
      </w:r>
    </w:p>
    <w:p>
      <w:pPr>
        <w:pStyle w:val="TextBody"/>
        <w:spacing w:lineRule="auto" w:line="288" w:before="0" w:after="120"/>
        <w:ind w:left="0" w:right="0" w:firstLine="360"/>
        <w:rPr/>
      </w:pPr>
      <w:r>
        <w:rPr>
          <w:rFonts w:ascii="Times New Roman;sans-serif" w:hAnsi="Times New Roman;sans-serif"/>
          <w:b w:val="false"/>
          <w:color w:val="000000"/>
          <w:sz w:val="20"/>
        </w:rPr>
        <w:t>We are exposed to credit risk relating to a set of insurance contracts previously issued to Rasier, under which the Company pays losses and loss adjustment expenses on the contracts. Rasier is contractually obligated to reimburse us for the losses and loss adjustment expenses paid on their behalf pursuant to indemnification agreements with it. This reimbursement obligation is supported by collateral posted for our benefit in a trust account from time to time. If Rasier fails to reimburse us, and the collateral posted for our benefit to support their reimbursement obligations is insufficient, our financial condition and results of operations could be materially adversely affected. S</w:t>
      </w:r>
      <w:r>
        <w:rPr>
          <w:rFonts w:ascii="Times New Roman;sans-serif" w:hAnsi="Times New Roman;sans-serif"/>
          <w:b w:val="false"/>
          <w:color w:val="000000"/>
          <w:sz w:val="20"/>
          <w:highlight w:val="white"/>
        </w:rPr>
        <w:t>ee also "Item 1. Business— Business Segments— Purchase of Reinsurance — Amounts Recoverable from an Indemnifying Party."</w:t>
      </w:r>
    </w:p>
    <w:p>
      <w:pPr>
        <w:pStyle w:val="TextBody"/>
        <w:spacing w:lineRule="auto" w:line="288" w:before="0" w:after="120"/>
        <w:rPr/>
      </w:pPr>
      <w:r>
        <w:rPr>
          <w:rFonts w:ascii="Times New Roman;sans-serif" w:hAnsi="Times New Roman;sans-serif"/>
          <w:b/>
          <w:i/>
          <w:color w:val="000000"/>
          <w:sz w:val="20"/>
        </w:rPr>
        <w:t>If we are unable to underwrite risks accurately and charge and collect competitive yet profitable rates to our policyholders, our business, financial condition and results of operations will be materially adversely affected</w:t>
      </w:r>
      <w:r>
        <w:rPr>
          <w:rFonts w:ascii="Times New Roman;sans-serif" w:hAnsi="Times New Roman;sans-serif"/>
          <w:b/>
          <w:color w:val="000000"/>
          <w:sz w:val="20"/>
        </w:rPr>
        <w: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 materially adversely affect our results of operations and our profitability. Alternatively, we could set our premiums too high, which could reduce our competitiveness and lead to lower revenues.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collect and properly analyze a substantial volume of data from our insureds;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develop, test and apply appropriate actuarial projections and rating formulas;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closely monitor and timely recognize changes in trends;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project both frequency and severity of our insureds’ losses with reasonable accuracy.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seek to implement our pricing accurately in accordance with our assumptions. Our ability to undertake these efforts successfully and, as a result, accurately price our policies, is subject to a number of risks and uncertainties, including:</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insufficient or unreliable data;</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incorrect or incomplete analysis of available data;</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uncertainties generally inherent in estimates and assumptions;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failure to implement appropriate actuarial projections and rating formulas or other pricing methodologies;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regulatory constraints on rate increases;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failure to accurately estimate investment yields and the duration of our liability for loss and loss adjustment expenses;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unanticipated court decisions, legislation or regulatory action.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charging profitable rates on the insurance policies we issue, we also must be able to collect the premiums, deductibles, and self-insured retentions that our insureds agreed to pay at the inception of their policies. The inability or refusal of our insureds to pay the amounts owed by them pursuant to their policies undermines our goal of underwriting risk accurately and charging competitive yet profitable rates, and could adversely affect our results of operations and our profitability.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failure of any of the loss limitations or exclusions we employ, or changes in other claims or coverage issues, could have a material adverse effect on our financial condition or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For example, in response to the COVID-19 pandemic, there have been proposals by federal and state lawmakers to retroactively amend business interruption insurance policies to cover claims related to COVID-19 when such insurance policies otherwise would exclude such risks. Further, a number of states have instituted, and other states are considering instituting, changes designed to effectively expand workers’ compensation coverage by creating presumptions of compensability of claims for certain types of workers. These types of governmental actions could result in higher than anticipated losses and loss adjustment expenses, which could have a material adverse effect on our financial condition or results of operations. In some instances, these changes may not become apparent until sometime after we have issued insurance policies that are affected by the changes. As a result, the full extent of liability under our insurance contracts may not be known for many years after a contract is issued.</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 xml:space="preserve">We have exposure to losses arising from unpredictable natural disasters, terrorist acts, and other catastrophic events. Claims from these events could reduce our earnings and cause volatility in our results of operations.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exposure to losses arising from unpredictable natural disasters, terrorist acts, and other catastrophic events. These events can cause losses in a variety of our property-casualty lines and generally result in an increase in the number of claims filed as well as the amount of compensation sought by claimants.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incidence and severity of natural disasters, terrorist acts, and other catastrophic events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cause us to pay reinstatement premiums, reduce our earnings and cash flows, cause volatility in our results of operations and cash flows for any fiscal period or materially impact our financial condition. For example, for the third quarter ending September 30, 2021, we incurred $5.0 million in net catastrophe losses related to Hurricane Ida.</w:t>
      </w:r>
    </w:p>
    <w:p>
      <w:pPr>
        <w:pStyle w:val="TextBody"/>
        <w:spacing w:lineRule="auto" w:line="288" w:before="0" w:after="120"/>
        <w:ind w:left="0" w:right="0" w:firstLine="360"/>
        <w:rPr/>
      </w:pPr>
      <w:r>
        <w:rPr>
          <w:rFonts w:ascii="Times New Roman;sans-serif" w:hAnsi="Times New Roman;sans-serif"/>
          <w:b w:val="false"/>
          <w:color w:val="000000"/>
          <w:sz w:val="20"/>
        </w:rPr>
        <w:t>A large-scale pandemic, the continued threat or occurrence of terrorism, within the United States and abroad, or military and other actions, and heightened security measures in response to these types of threats may cause significant volatility and losses in our investment portfolio from declines in the equity markets and from interest rate changes in the United States, Europe and elsewhere, and result in loss of life, property damage, disruptions to commerce and reduced economic activity. Some of our assets in our investment portfolio may be adversely affected by declines in the equity markets and reduced economic activity caused by a large-scale pandemic or the continued threat of terrorism. Additionally, a large-scale pandemic or terrorist act could have a material effect on sales, profitability, competitiveness, marketability of product offerings, liquidity and operating results. See “</w:t>
      </w:r>
      <w:r>
        <w:rPr>
          <w:rFonts w:ascii="Times New Roman;sans-serif" w:hAnsi="Times New Roman;sans-serif"/>
          <w:b w:val="false"/>
          <w:i/>
          <w:color w:val="000000"/>
          <w:sz w:val="20"/>
        </w:rPr>
        <w:t>The global coronavirus outbreak could harm business and results of operations of the Company</w:t>
      </w:r>
      <w:r>
        <w:rPr>
          <w:color w:val="000000"/>
        </w:rPr>
        <w:t xml:space="preserve">” </w:t>
      </w:r>
      <w:r>
        <w:rPr>
          <w:rFonts w:ascii="Times New Roman;sans-serif" w:hAnsi="Times New Roman;sans-serif"/>
          <w:b w:val="false"/>
          <w:color w:val="000000"/>
          <w:sz w:val="20"/>
        </w:rPr>
        <w:t>risk factor herein.</w:t>
      </w:r>
    </w:p>
    <w:p>
      <w:pPr>
        <w:pStyle w:val="TextBody"/>
        <w:spacing w:lineRule="auto" w:line="288" w:before="0" w:after="12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The global coronavirus outbreak could harm business and results of operations of the Company.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2019, a coronavirus (COVID-19) outbreak was reported in China, and, in March 2020, the World Health Organization declared it a pandemic. COVID-19 variants continue to spread throughout the United States and Bermuda, the countries in which the Company operates. In response, many governments, including Bermuda, the state and local governments of the States of Virginia and North Carolina, and governments in many other states in which our policyholders are located, instituted emergency restrictions that substantially limited the operation of non-essential businesses and the activities of individuals. Many jurisdictions impose, ease, and reinstate emergency restrictions in response to the spread of COVID-19 variants.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and severity of COVID-19 on the economy is not known nor is the ultimate length of the restrictions and any accompanying effects caused by it.</w:t>
      </w:r>
    </w:p>
    <w:p>
      <w:pPr>
        <w:pStyle w:val="TextBody"/>
        <w:spacing w:lineRule="auto" w:line="288" w:before="0" w:after="120"/>
        <w:ind w:left="0" w:right="0" w:firstLine="360"/>
        <w:rPr/>
      </w:pPr>
      <w:r>
        <w:rPr>
          <w:rFonts w:ascii="Times New Roman;sans-serif" w:hAnsi="Times New Roman;sans-serif"/>
          <w:b w:val="false"/>
          <w:color w:val="000000"/>
          <w:sz w:val="20"/>
        </w:rPr>
        <w:t>The effect of COVID-19 and related events, including those described above and those not yet known, could have a negative effect on the stock price, business prospects, financial condition and results of operations of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 deterioration in the credit quality of reinsurers or insurance entities with which we have a fronting arrangement or the inability of reinsurers or the insurance entities for which we are fronting to</w:t>
      </w:r>
      <w:r>
        <w:rPr>
          <w:color w:val="000000"/>
          <w:highlight w:val="white"/>
        </w:rPr>
        <w:t xml:space="preserve"> </w:t>
      </w:r>
      <w:r>
        <w:rPr>
          <w:rFonts w:ascii="Times New Roman;sans-serif" w:hAnsi="Times New Roman;sans-serif"/>
          <w:b w:val="false"/>
          <w:color w:val="000000"/>
          <w:sz w:val="20"/>
          <w:highlight w:val="white"/>
        </w:rPr>
        <w:t>pay their obligations to the Company</w:t>
      </w:r>
      <w:r>
        <w:rPr>
          <w:rFonts w:ascii="Times New Roman;sans-serif" w:hAnsi="Times New Roman;sans-serif"/>
          <w:b w:val="false"/>
          <w:color w:val="000000"/>
          <w:sz w:val="20"/>
        </w:rPr>
        <w:t>. The impact of the pandemic may also exacerbate the other risks described in this "Risk Factors" section. The occurrence of any of the events described in these risk factors could have a material adverse effect on the Company's financial condition and results of operations.</w:t>
      </w:r>
    </w:p>
    <w:p>
      <w:pPr>
        <w:pStyle w:val="TextBody"/>
        <w:spacing w:lineRule="auto" w:line="276" w:before="0" w:after="120"/>
        <w:rPr>
          <w:rFonts w:ascii="Times New Roman;sans-serif" w:hAnsi="Times New Roman;sans-serif"/>
          <w:b/>
          <w:i/>
          <w:color w:val="000000"/>
          <w:sz w:val="20"/>
        </w:rPr>
      </w:pPr>
      <w:r>
        <w:rPr>
          <w:rFonts w:ascii="Times New Roman;sans-serif" w:hAnsi="Times New Roman;sans-serif"/>
          <w:b/>
          <w:i/>
          <w:color w:val="000000"/>
          <w:sz w:val="20"/>
        </w:rPr>
        <w:t>The effect of emerging claim and coverage issues on our business is uncertain.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or reinsurance contracts that are affected by the changes. As a result, the full extent of liability under our insurance or reinsurance contracts may not be known for many years after a contract is issued.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Four examples of unanticipated risks that affected the insurance industry are: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Asbestos liability applied to manufacturers of products and contractors who installed those products;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 xml:space="preserve">Apportionment of liability for settlement assigned to subcontractors who may have been involved in mundane tasks (such as installing sheetrock in a home);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 xml:space="preserve">Court decisions, such as the 1995 </w:t>
      </w:r>
      <w:r>
        <w:rPr>
          <w:rFonts w:ascii="Times New Roman;sans-serif" w:hAnsi="Times New Roman;sans-serif"/>
          <w:b w:val="false"/>
          <w:color w:val="000000"/>
          <w:sz w:val="20"/>
          <w:u w:val="single"/>
        </w:rPr>
        <w:t>Montrose</w:t>
      </w:r>
      <w:r>
        <w:rPr>
          <w:color w:val="000000"/>
        </w:rPr>
        <w:t xml:space="preserve"> </w:t>
      </w:r>
      <w:r>
        <w:rPr>
          <w:rFonts w:ascii="Times New Roman;sans-serif" w:hAnsi="Times New Roman;sans-serif"/>
          <w:b w:val="false"/>
          <w:color w:val="000000"/>
          <w:sz w:val="20"/>
        </w:rPr>
        <w:t>decision in California, that read policy exclusions narrowly so as to expand coverage, thereby requiring insurers to create and write new exclusions.;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Social inflation trends, including higher and more frequent claims, more favorable judgments and legislated increases.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investment portfolio is subject to significant market and credit risks, which could result in a material adverse impact on our financial condition or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pStyle w:val="TextBody"/>
        <w:spacing w:lineRule="auto" w:line="288" w:before="0" w:after="120"/>
        <w:ind w:left="0" w:right="0" w:firstLine="360"/>
        <w:rPr/>
      </w:pPr>
      <w:r>
        <w:rPr>
          <w:rFonts w:ascii="Times New Roman;sans-serif" w:hAnsi="Times New Roman;sans-serif"/>
          <w:b w:val="false"/>
          <w:color w:val="000000"/>
          <w:sz w:val="20"/>
        </w:rPr>
        <w:t>Our primary market risk exposures are to changes in interest rates and equity prices.</w:t>
      </w:r>
      <w:r>
        <w:rPr>
          <w:color w:val="000000"/>
          <w:highlight w:val="white"/>
        </w:rPr>
        <w:t xml:space="preserve"> </w:t>
      </w:r>
      <w:r>
        <w:rPr>
          <w:rFonts w:ascii="Times New Roman;sans-serif" w:hAnsi="Times New Roman;sans-serif"/>
          <w:b w:val="false"/>
          <w:color w:val="000000"/>
          <w:sz w:val="20"/>
          <w:highlight w:val="white"/>
        </w:rPr>
        <w:t>See "Item 7A. Quantitative and Qualitative Disclosures About Market Risk.”</w:t>
      </w:r>
      <w:r>
        <w:rPr>
          <w:color w:val="000000"/>
        </w:rPr>
        <w:t xml:space="preserve"> </w:t>
      </w:r>
      <w:r>
        <w:rPr>
          <w:rFonts w:ascii="Times New Roman;sans-serif" w:hAnsi="Times New Roman;sans-serif"/>
          <w:b w:val="false"/>
          <w:color w:val="000000"/>
          <w:sz w:val="20"/>
        </w:rPr>
        <w:t>In recent years, interest rates have been at or near historic lows. A protracted low interest rate environment would continue to place pressure on net investment income, particularly related to fixed income securities and short-term investments, which, in turn, may materially adversely affect our operating results. Future increases in interest rates could cause the values of our fixed income securities portfolios to decline, with the magnitude of the decline depending on the duration of our portfolio and the amount by which interest rates increase. Some fixed income securities have call or prepayment options, which represent possible reinvestment risk in declining rate environments. Other fixed income securities such as mortgage-backed and asset-backed securities carry prepayment risk or, in a rising interest rate environment, may not pre-pay as quickly as expected. In addition, individual securities in our fixed income securities portfolio are subject to credit risk and default. Downgrades in the credit ratings of fixed maturities can have a significant negative effect on the market valuation of such securities.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a financial crisis or severe downturn in public debt and equity markets, we could incur substantial realized and unrealized investment losses in future periods, which could have a material adverse impact on our financial condition, results of operations, debt and financial strength ratings, insurance subsidiaries’ capital liquidity and ability to access capital markets.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value of our investment portfolio is subject to the risk that certain investments may default or become impaired due to deterioration in the financial condition of one or more issuers of the securities held, or due to deterioration in the financial condition of an insurer that guarantees an issuer’s payments of such investments. Such defaults and impairments could reduce our net investment income and result in realized investment losses.</w:t>
      </w:r>
    </w:p>
    <w:p>
      <w:pPr>
        <w:pStyle w:val="TextBody"/>
        <w:spacing w:lineRule="auto" w:line="288" w:before="0" w:after="120"/>
        <w:ind w:left="0" w:right="0" w:firstLine="360"/>
        <w:rPr/>
      </w:pPr>
      <w:r>
        <w:rPr>
          <w:rFonts w:ascii="Times New Roman;sans-serif" w:hAnsi="Times New Roman;sans-serif"/>
          <w:b w:val="false"/>
          <w:color w:val="000000"/>
          <w:sz w:val="20"/>
        </w:rPr>
        <w:t>We hold investments in bank loans (6.7% of the carrying value of our cash and invested assets (excluding restricted cash equivalents) as of December 31, 2021.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As of December 31, 2021, the fair value of our investments in bank loans was $156.0 million</w:t>
      </w:r>
      <w:r>
        <w:rPr>
          <w:rFonts w:ascii="Times New Roman;sans-serif" w:hAnsi="Times New Roman;sans-serif"/>
          <w:b w:val="false"/>
          <w:color w:val="000000"/>
          <w:sz w:val="20"/>
          <w:highlight w:val="white"/>
        </w:rPr>
        <w:t>.</w:t>
      </w:r>
    </w:p>
    <w:p>
      <w:pPr>
        <w:pStyle w:val="TextBody"/>
        <w:spacing w:lineRule="auto" w:line="288" w:before="0" w:after="12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December 31, 2021, we held equity investments of $26.9 million in non-public limited liability companies that have invested in renewable energy investments. These investments were sponsored and are managed by an entity for which two former directors serve as officers. We invested in the equity of these projects because we anticipate earning attractive risk-adjusted returns from these investments. However, our investments in these projects are illiquid and the ultimate results from these investments may be unknown for some time.</w:t>
      </w:r>
    </w:p>
    <w:p>
      <w:pPr>
        <w:pStyle w:val="TextBody"/>
        <w:spacing w:lineRule="auto" w:line="288" w:before="0" w:after="120"/>
        <w:ind w:left="0" w:right="0" w:firstLine="360"/>
        <w:rPr/>
      </w:pPr>
      <w:r>
        <w:rPr>
          <w:rFonts w:ascii="Times New Roman;sans-serif" w:hAnsi="Times New Roman;sans-serif"/>
          <w:b w:val="false"/>
          <w:color w:val="000000"/>
          <w:sz w:val="20"/>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$25.0 million at December 31, 2021. These investments were designed to provide diversification of risk and enhance the return on the overall portfolio. However, these investments entail substantial risks and 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Times New Roman;sans-serif" w:hAnsi="Times New Roman;sans-serif"/>
          <w:b w:val="false"/>
          <w:i/>
          <w:color w:val="000000"/>
          <w:sz w:val="20"/>
        </w:rPr>
        <w:t>i.e.</w:t>
      </w:r>
      <w:r>
        <w:rPr>
          <w:rFonts w:ascii="Times New Roman;sans-serif" w:hAnsi="Times New Roman;sans-serif"/>
          <w:b w:val="false"/>
          <w:color w:val="000000"/>
          <w:sz w:val="20"/>
        </w:rPr>
        <w:t>, the carrying amount) does not reflect prices at which actual transactions would occur.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BMA and various state insurance departments, as applicable.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become subject to additional government or market regulation which may have a material adverse impact on our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Market disruptions like those experienced during the credit-driven financial market collapse in 2008, as well as the dramatic increase in the capital allocated to alternative asset management during recent years, have led to increased governmental as well as self-regulatory scrutiny of the insurance industry in general. In addition, certain legislation proposing greater regulation of the industry is periodically considered by governing bodies of some jurisdictions as well as the U.S. federal government. The credit-driven equity market collapse in 2008 or other significant market disruptions may increase the likelihood that some increased regulation of the industry is mandated.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we are a Bermuda company, we are subject to changes in Bermuda law and regulation that may have a material adverse impact on our operations, including through the imposition of tax liability or increased regulatory supervision. In addition, we will be exposed to any changes in the political environment in Bermuda.</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business could be materially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corporate governance and the taxation of reinsurance companies. The Dodd-Frank Act also established the Federal Insurance Office, which is authorized to study, monitor and report to Congress on the insurance industry and to recommend that the FSOC designate an insurer as an entity posing risks to U.S. financial stability in the event of the insurer’s material financial distress or failure. In December 2013, the Federal Insurance Office issued a report on alternatives to modernize and improve the system of insurance regulation in the United States, including increasing national uniformity through either a federal charter or effective action by the states. Any additional regulations established as a result of the Dodd-Frank Act or actions in response to the Federal Insurance Office Report could increase our costs of compliance or lead to disciplinary action.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Bermuda insurance and reinsurance regulatory framework has become subject to increased scrutiny in many jurisdictions. The BMA sought “regulatory equivalency” which enables Bermuda’s commercial insurers to transact business with the European Union on a “level playing field”. In connection with its initial efforts to achieve equivalency under Solvency II, the BMA implemented and imposed additional requirements on the companies it regulates, such as JRG Re and Carolina Re. On November 26, 2015, via delegated act, the European Commission granted Bermuda’s commercial insurers full equivalence in all areas of Solvency II for an indefinite period of time. The European Commission’s act was reviewed and approved by the European Parliament and Council. On March 4, 2016, the delegated act was published in the official journal of the European Union. The grant of full equivalence came into force on March 24, 2016 and applies from January 1, 2016.</w:t>
      </w:r>
    </w:p>
    <w:p>
      <w:pPr>
        <w:pStyle w:val="TextBody"/>
        <w:spacing w:lineRule="auto" w:line="288" w:before="0" w:after="120"/>
        <w:ind w:left="0" w:right="0" w:firstLine="360"/>
        <w:rPr/>
      </w:pPr>
      <w:r>
        <w:rPr>
          <w:rFonts w:ascii="Times New Roman;sans-serif" w:hAnsi="Times New Roman;sans-serif"/>
          <w:b w:val="false"/>
          <w:color w:val="000000"/>
          <w:sz w:val="20"/>
        </w:rPr>
        <w:t>Additionally, the regulatory environment surrounding information security and privacy is increasingly demanding. We are subject to numerous U.S. federal and state laws governing the protection of personal and confidential information of our clients and employees, and new privacy laws have been adopted or are being considered at the state and federal level that may be applicable to us. The NAIC adopted an Insurance Data Security Model Law on October 24, 2017, which requires licensed insurance entities to comply with detailed information security requirements. To date, the following states have either adopted the NAIC Insurance Data Security Model Law or similar laws that govern the cybersecurity and data protection practices of insurers, insurance agents, and other licensed entities registered under state insurance laws</w:t>
      </w:r>
      <w:r>
        <w:rPr>
          <w:rFonts w:ascii="Times New Roman;sans-serif" w:hAnsi="Times New Roman;sans-serif"/>
          <w:b w:val="false"/>
          <w:color w:val="000000"/>
          <w:sz w:val="20"/>
          <w:highlight w:val="white"/>
        </w:rPr>
        <w:t xml:space="preserve">: Alabama, California, Connecticut, Delaware, Indiana, Iowa, Louisiana, Maine, Michigan, Minnesota, Mississippi, New Hampshire, New York, North Dakota, Ohio, South Carolina, Tennessee, Virginia and Wisconsin. </w:t>
      </w:r>
      <w:r>
        <w:rPr>
          <w:rFonts w:ascii="Times New Roman;sans-serif" w:hAnsi="Times New Roman;sans-serif"/>
          <w:b w:val="false"/>
          <w:color w:val="000000"/>
          <w:sz w:val="20"/>
        </w:rPr>
        <w:t xml:space="preserve">It is not yet known whether, and to what extent, other state legislatures or insurance regulators where we operate will enact the NAIC Insurance Data Security Model Law in whole or in part, or in a modified form. Such enactments, especially if inconsistent between states or with existing laws and regulations, could raise compliance costs or increase the risk of noncompliance, with the attendant risk of being subject to regulatory enforcement actions and penalties, as well as reputational harm. Further, the California Consumer Privacy Act of 2018 (the "CCPA") went into force on January 1, 2020. The CCPA requires that companies subject to its jurisdictional reach provide specific disclosures regarding privacy practices and give Californians the ability to ask for access to or the deletion of their personal information. It also limits the ability of a company to sell data about California residents. Regulations implementing the CCPA went into effect in 2020, and other states may pass similar legislation. In November 2020, the California Privacy Rights Act (the "CPRA") was approved in California and amends the CCPA. The CPRA goes into effect on January 1, 2023 and implementing regulations are expected sometime during 2022. The CCPA and CPRA may impose compliance costs, and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ambiguities surrounding the CCPA and CPRA increase the risk of noncompliance, with the attendant risk of being subject to regulatory enforcement actions and penalties, as well as class action litigation. Any such events could potentially have an adverse impact on our business, financial condition or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admitted insurance and reinsurance subsidiaries are subject to extensive regulation, primarily by California (the domiciliary state for Falls Lake Fire and Casualty Company), Ohio (the domiciliary state for James River Insurance and Falls Lake National), North Carolina (the domiciliary state for Stonewood Insurance), Virginia (the domiciliary state for James River Casualty), Bermuda (the domicile of JRG Re and Carolina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and Carolina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 Failure by any of our insurance subsidiaries to comply with applicable regulations could result in a requirement for that subsidiary to cease writing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pStyle w:val="TextBody"/>
        <w:spacing w:lineRule="auto" w:line="288" w:before="0" w:after="120"/>
        <w:ind w:left="0" w:right="0" w:firstLine="360"/>
        <w:rPr/>
      </w:pPr>
      <w:r>
        <w:rPr>
          <w:rFonts w:ascii="Times New Roman;sans-serif" w:hAnsi="Times New Roman;sans-serif"/>
          <w:b w:val="false"/>
          <w:color w:val="000000"/>
          <w:sz w:val="20"/>
        </w:rPr>
        <w:t xml:space="preserve">The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w:t>
      </w:r>
      <w:r>
        <w:rPr>
          <w:rFonts w:ascii="Times New Roman;sans-serif" w:hAnsi="Times New Roman;sans-serif"/>
          <w:b w:val="false"/>
          <w:color w:val="000000"/>
          <w:sz w:val="20"/>
          <w:highlight w:val="white"/>
        </w:rPr>
        <w:t>For additional information, see “Item 1. Business—Regulation—U.S. Insurance Regulation—State Regulation.”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various state insurance regulators have increased their focus on risks within an insurer’s holding company system that may pose enterprise risk to the insurer. In 2012, the NAIC adopted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requirement.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2012, the NAIC also adopted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 xml:space="preserve">Changing climate conditions may increase the frequency and severity of catastrophic events and thereby adversely affect our financial condition and results of operations.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growing scientific consensus that global warming and other climate changes are increasing the frequency and severity of catastrophic weather and other events, such as hurricanes, fires, tornadoes, windstorms, floods and 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have exposure to losses from terrorism for which we are required by law to provide coverage.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U.S. insurers are required by state and federal law to offer coverage for terrorism in certain commercial lines, including workers’ compensation. As discussed under “Item 1. Business—Regulation—U.S. Insurance Regulation—Federal Regulation,” the Terrorism Acts require commercial property and casualty insurance companies to offer coverage for acts of terrorism, whether foreign or domestic, and established a federal assistance program through the end of 2027 to help cover claims related to future terrorism-related losses. The impact of any terrorist act is unpredictable, and the ultimate impact on us would depend upon the nature, extent, location and timing of such an act.</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or agents we have appointed, may act based on inaccurate or incomplete information regarding the accounts we underwrite, or such agents may exceed their authority or commit fraud when binding policies on our behalf.</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and our MGAs and other agents who have the ability to bind our policies,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pStyle w:val="TextBody"/>
        <w:spacing w:lineRule="auto" w:line="288" w:before="0" w:after="120"/>
        <w:ind w:left="0" w:right="0" w:firstLine="360"/>
        <w:rPr/>
      </w:pPr>
      <w:r>
        <w:rPr>
          <w:rFonts w:ascii="Times New Roman;sans-serif" w:hAnsi="Times New Roman;sans-serif"/>
          <w:b w:val="false"/>
          <w:color w:val="000000"/>
          <w:sz w:val="20"/>
        </w:rPr>
        <w:t>In addition, in the Specialty Admitted Insurance segment, MGAs and other agents have the authority to bind policies on our behalf within prescribed underwriting guidelines, and third party administrators manage and pay claims on our behalf and advise us with respect to case reserves. If any such agents exceed their authority, breach their obligations to us, fail to maintain proper licenses, have weak internal controls, or engage in fraudulent activities, our reputation could suffer, we may experience regulatory intervention, or our financial condition and results of operations could be materially adversely affected.</w:t>
      </w:r>
      <w:r>
        <w:rPr>
          <w:color w:val="000000"/>
        </w:rPr>
        <w:t xml:space="preserve"> </w:t>
      </w:r>
      <w:r>
        <w:rPr>
          <w:rFonts w:ascii="Times New Roman;sans-serif" w:hAnsi="Times New Roman;sans-serif"/>
          <w:b w:val="false"/>
          <w:color w:val="000000"/>
          <w:sz w:val="20"/>
        </w:rPr>
        <w:t>Although we are continually monitoring these agents and administrators, our monitoring efforts may not be adequate.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insurance and reinsurance business is historically cyclical, and we may experience periods with excess underwriting capacity and unfavorable premium rates, which could materially adversely affect our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insurers and reinsurers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during our Company’s short history. The supply of insurance and reinsurance is related to prevailing prices, the level of insured losses and the level of capital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available to the industry that, in turn, may fluctuate in response to changes in rates of return on investments being earned in the insurance and reinsurance industry. As a result, the insurance and reinsurance business historically has been a cyclical industry characterized by periods of intense price competition due to excessive underwriting capacity as well as periods when shortages of capacity increased premium levels. Demand for insurance and reinsurance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and reinsurance industry.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predict with certainty whether market conditions will improve, remain constant or deteriorate. Negative market conditions may impair our ability to underwrite insurance and reinsurance at rates we consider appropriate and commensurate relative to the risk assumed. If we cannot underwrite insurance or reinsurance at appropriate rates, our ability to transact business will be materially adversely affected. Any of these factors could lead to a material adverse effect on our business, financial condition and results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reinsurance business is subject to loss settlements made by ceding companies and fronting carriers over which we have no control, which could materially adversely affect our performance.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Where JRG Re enters into assumed reinsurance contracts with third parties, all loss settlements made by the ceding company will be unconditionally binding upon us, provided they are within the terms of the underlying policies and within the terms of the relevant contract. While we believe the ceding companies will settle such claims in good faith, we are bound to accept the claims settlements agreed to by the ceding companies. Under the underlying policies, each ceding company typically bears the burden of proving that a contractual exclusion applies to a loss, and there may be circumstances where the facts of a loss are insufficient to support the application of an exclusion. In such circumstances, we assume such losses under the reinsured policies, which could materially adversely affect our performance.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could be forced to sell investments to meet our liquidity requirements.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invest the premiums we receive from our insureds and ceding companies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employees could take excessive risks, which could negatively affect our financial condition and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an insurance enterprise, we are in the business of binding certain risks. The employees who conduct our business, including executive officers and other members of management, underwriters, claims professionals, and other employees, do so in part by making decisions and choices that involve exposing us to risk. These include decisions such as setting underwriting guidelines and standards, product design and pricing, determining which business opportunities to pursue, claims management decisions, and other decisions. Although we employ controls and procedures designed to monitor employees’ business decisions and prevent us from taking excessive risks, these controls and procedures may not be effective. If our employees take excessive risks, the impact of those risks could have a material adverse effect on our financial condition and business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require additional capital in the future, which may not be available or available only on unfavorable terms.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independent rating agencies, and our regulators. To the extent that our existing capital is insufficient to fund our future operating requirements, cover claim losses, satisfy ratings agencies in order to maintain a satisfactory rating, or meet the capital requirements of our regulators in order to maintain our insurance licenses, we may need to raise additional capital in the future through offerings of debt, hybrid or equity securities or through suspension or reduction of dividends, or otherwise to:</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fund liquidity needs caused by underwriting or investment losses;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replace capital lost in the event of significant reinsurance losses or adverse reserve developments;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satisfy letters of credit or guarantee bond requirements that may be imposed by our clients or by regulators;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meet rating agency or regulatory capital requirements; or</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respond to competitive pressures.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pPr>
      <w:r>
        <w:rPr>
          <w:rFonts w:ascii="Times New Roman;sans-serif" w:hAnsi="Times New Roman;sans-serif"/>
          <w:b w:val="false"/>
          <w:color w:val="000000"/>
          <w:sz w:val="20"/>
        </w:rPr>
        <w:t>Any equity or debt financing, if available at all, may be on terms that are unfavorable to us. Further, any additional capital raised through the sale of equity could dilute shareholders' ownership interest in the Company and would likely cause the value of our shares to decline. For example, in May 2021, we raised $192.1 million in equity capital (the “May Equity Offering”) to protect our balance sheet after experiencing $170.0 million of adverse development on our commercial auto business in the first quarter of 2021 almost entirely related to a previously canceled account that has been in run-off since 2019. In the May Equity Offering, we announced the offering of 6,497,500 shares at $31.00 per share the day after our shares had a closing market price equal to $46.50. In addition, our ability to raise debt and certain types of equity capital may be constrained by covenants in our existing credit facilities. See the Risk Factor</w:t>
      </w:r>
      <w:r>
        <w:rPr>
          <w:color w:val="000000"/>
        </w:rPr>
        <w:t xml:space="preserve"> </w:t>
      </w:r>
      <w:r>
        <w:rPr>
          <w:rFonts w:ascii="Times New Roman;sans-serif" w:hAnsi="Times New Roman;sans-serif"/>
          <w:b w:val="false"/>
          <w:i/>
          <w:color w:val="000000"/>
          <w:sz w:val="20"/>
        </w:rPr>
        <w:t xml:space="preserve">"Our credit agreements contain financial and other covenants, the breach of which could result in acceleration of payment of amounts due under our credit facilities" </w:t>
      </w:r>
      <w:r>
        <w:rPr>
          <w:rFonts w:ascii="Times New Roman;sans-serif" w:hAnsi="Times New Roman;sans-serif"/>
          <w:b w:val="false"/>
          <w:color w:val="000000"/>
          <w:sz w:val="20"/>
        </w:rPr>
        <w:t>below. Additional capital raised through the issuance of debt would most likely result in creditors having rights, preferences and privileges senior or otherwise superior to those of the holders of our shares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pStyle w:val="TextBody"/>
        <w:spacing w:lineRule="auto" w:line="288" w:before="0" w:after="120"/>
        <w:rPr/>
      </w:pPr>
      <w:r>
        <w:rPr>
          <w:rFonts w:ascii="Times New Roman;sans-serif" w:hAnsi="Times New Roman;sans-serif"/>
          <w:b/>
          <w:i/>
          <w:color w:val="000000"/>
          <w:sz w:val="20"/>
        </w:rPr>
        <w:t>Our credit agreements contain financial and other covenants, the breach of any of which could result in acceleration of payment of amounts due under our credit facilities</w:t>
      </w:r>
      <w:r>
        <w:rPr>
          <w:rFonts w:ascii="Times New Roman;sans-serif" w:hAnsi="Times New Roman;sans-serif"/>
          <w:b/>
          <w:color w:val="000000"/>
          <w:sz w:val="20"/>
        </w:rPr>
        <w: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an outstanding unsecured balance of approximately $247.3 million in the aggregate under our two bank credit agreements. The agreements contain certain financial covenants that require us to maintain consolidated net worth in excess of a specified minimum amount and a leverage ratio as of the end of any fiscal quarter not in excess of 0.35 to 1. The agreements contain other covenants which, among other things, require ongoing compliance with applicable insurance regulations and require each of our regulated insurance subsidiaries to maintain ratings from A.M. Best not lower than an A-. A breach of any of these covenants could result in acceleration of our obligations to repay our outstanding indebtedness under such agreement if we are unable to obtain a waiver or amendment from our lenders, and otherwise could impair our ability to borrow funds or result in higher borrowing costs.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operate in a highly competitive environment and we may not continue to be able to compete effectively against larger or more well-established business rivals.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pStyle w:val="TextBody"/>
        <w:spacing w:lineRule="auto" w:line="288" w:before="0" w:after="120"/>
        <w:ind w:left="0" w:right="0" w:firstLine="360"/>
        <w:rPr/>
      </w:pPr>
      <w:r>
        <w:rPr>
          <w:rFonts w:ascii="Times New Roman;sans-serif" w:hAnsi="Times New Roman;sans-serif"/>
          <w:b w:val="false"/>
          <w:color w:val="000000"/>
          <w:sz w:val="20"/>
        </w:rPr>
        <w:t>In particular, competition in the insurance and reinsurance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our underwriting team in the particular lines of insurance and reinsurance we seek to underwrite.</w:t>
      </w:r>
      <w:r>
        <w:rPr>
          <w:color w:val="000000"/>
          <w:highlight w:val="white"/>
        </w:rPr>
        <w:t xml:space="preserve"> </w:t>
      </w:r>
      <w:r>
        <w:rPr>
          <w:rFonts w:ascii="Times New Roman;sans-serif" w:hAnsi="Times New Roman;sans-serif"/>
          <w:b w:val="false"/>
          <w:color w:val="000000"/>
          <w:sz w:val="20"/>
          <w:highlight w:val="white"/>
        </w:rPr>
        <w:t>See also “Item 1. Business—Competition.”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number of new, proposed or potential legislative or industry developments could further increase competition in our industry. These developments include: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An increase in capital-raising by companies in our lines of business, which has resulted in new entrants to our markets and an excess of capital in the industry;</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deregulation of commercial insurance lines in certain states and the possibility of federal regulatory reform of the insurance industry, which could increase competition from standard carriers for our E&amp;S lines of insurance business;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Changing practices facilitated by the Internet may lead to greater competition in the insurance business. Among the possible changes are shifts in the way in which commercial insurance is purchased, which could affect both admitted and E&amp;S lines.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assurance that we will be able to continue to compete successfully in the insurance or reinsurance markets. Increased competition in these markets could result in a change in the supply and/or demand for insurance or reinsurance, affect our ability to price our products at risk-adequate rates, affect our ability to retain business with existing customers, or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underwrite new business on favorable terms. If this increased competition so limits our ability to transact business, our operating results could be materially adversely affected.</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 xml:space="preserve">If we are unable to keep pace with the technological advancements in the insurance industry, our ability to compete effectively could be impaired.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committed to developing and maintaining information technology systems that will allow our insurance subsidiaries to compete effectively. There can be no assurance that the development of current technology for future use will not result in our being competitively disadvantaged, especially with those carriers that have greater resources. If we are unable to keep pace with the advancements being made in technology, our ability to compete with other insurance companies who have advanced technological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If actual renewals of our existing contracts do not meet expectations, our premiums written in future years and our future results of operations could be materially adversely affected.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Most of our contracts are written for a one-year term. In our financial forecasting process, we make assumptions about the renewal of our prior year’s contracts. The insurance and reinsurance industries have historically been cyclical businesses with intense competition, often based on price. If actual renewals do not meet expectations or if we choose not to write a renewal (including in connection with the early termination of insurance policies), our premiums written in future years and our future operations could be materially adversely affected.</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change our underwriting guidelines or our strategy without shareholder approval.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materially different from the strategy or underwriting guidelines described in the section titled "Business" or elsewhere in this Annual Report.</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ability to implement our business strategy could be delayed or adversely affected by Bermuda employment restrictions relating to the ability to obtain and retain work permits for key employees in Bermuda.</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Bermuda law, non-Bermudians (other than spouses of Bermudians and holders of permanent residents’ certificates) may not engage in any gainful occupation in Bermuda without a valid government work permit. A work permit may be granted or renewed upon showing that, after proper public advertisement, no Bermudian, spouse of a Bermudian or a holder of a permanent resident’s certificate who meets the minimum standards reasonably required by the employer has applied for the job. A work permit is issued with an expiry date (up to five years) and no assurances can be given that any work permit will be issued or, if issued, renewed upon the expiration of the relevant term. If work permits are not obtained or are not renewed for our key employees, we would lose their services, which could materially affect our business. In addition, government office closures in Bermuda due to the COVID-19 pandemic caused delays in the issuance of work permits in 2021, which has in turn caused delays in the filling of key positions in our Bermuda office. </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If California, North Carolina, Ohio, or Virginia significantly increase the assessments our insurance companies are required to pay, our financial condition and results of operations will suffer.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insurance companies are subject to assessments in California (the domiciliary state for Falls Lake Fire and Casualty Company), North Carolina (the domiciliary state for Stonewood Insurance), Ohio (the domiciliary state for James River Insurance and Falls Lake National) and Virginia (the domiciliary state for James River Casualty),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U.S.-based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use of third-party claims administrators in certain lines of business may result in higher losses and loss adjustment expenses.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Excess and Surplus Lines and Specialty Admitted Insurance segments handled all claims using employed staff. As we have entered new lines of business, we now use third-party claims administrators and contract employees to administer claims subject to the supervision of our employed staff. It is possible that these contract employees and third-party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claims administrators may achieve less desirable results on claims than has historically been the case for our internal staff, which could result in significantly higher losses and loss adjustment expenses in those lines of business.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Risks Related to Taxation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ongoing effect of the 2017 Tax Act may have a significant impact on the Company.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Tax Act, enacted on December 22, 2017, introduced significant changes to the Internal Revenue Code of 1986, as amended (the “Code”).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(“CFC”) rules, and make it more difficult for a foreign insurance company to avoid being treated as a passive foreign investment company (“PFIC”).</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is continued uncertainty regarding how these and other provisions of the Tax Act will be interpreted, although guidance in proposed and final forms has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Given the complexity of the Tax Act, you are strongly encouraged to consult your own tax advisor regarding its potential impact on the U.S. federal income tax consequences to you considering your particular circumstances.</w:t>
      </w:r>
    </w:p>
    <w:p>
      <w:pPr>
        <w:pStyle w:val="TextBody"/>
        <w:spacing w:lineRule="auto" w:line="288" w:before="0" w:after="120"/>
        <w:ind w:left="0" w:right="0" w:firstLine="360"/>
        <w:rPr/>
      </w:pPr>
      <w:r>
        <w:rPr>
          <w:rFonts w:ascii="Times New Roman;sans-serif" w:hAnsi="Times New Roman;sans-serif"/>
          <w:b w:val="false"/>
          <w:i/>
          <w:color w:val="000000"/>
          <w:sz w:val="20"/>
        </w:rPr>
        <w:t>Base Erosion and Anti-Abuse Tax</w:t>
      </w:r>
      <w:r>
        <w:rPr>
          <w:rFonts w:ascii="Times New Roman;sans-serif" w:hAnsi="Times New Roman;sans-serif"/>
          <w:b w:val="false"/>
          <w:color w:val="000000"/>
          <w:sz w:val="20"/>
        </w:rPr>
        <w:t>. The Tax Act’s BEAT provision imposes a minimum tax on “applicable taxpayers,” which are generally corporations that are part of a group with at least $500 million of applicable annual gross receipts and that make certain payments to related foreign persons, including payments that are deductible for U.S. tax purposes, payments to purchase depreciable or amortizable property, and reinsurance payments. BEAT subjects the “modified taxable income” of an applicable taxpayer to tax at a rate of 10% in 2020-2025, and 12.5% in 2026 and thereafter. In general, modified taxable income is calculated by adding back to a taxpayer’s regular taxable income the amount of certain “base erosion tax benefits” with respect to certain "base erosion payments" to foreign affiliates, as well as the “base erosion percentage” of any net operating loss deductions. BEAT applies to the extent it exceeds a taxpayer’s regular corporate income tax liability (determined without regard to certain tax credits).</w:t>
      </w:r>
    </w:p>
    <w:p>
      <w:pPr>
        <w:pStyle w:val="TextBody"/>
        <w:spacing w:lineRule="auto" w:line="288" w:before="0" w:after="120"/>
        <w:ind w:left="0" w:right="0" w:firstLine="360"/>
        <w:rPr/>
      </w:pPr>
      <w:r>
        <w:rPr>
          <w:rFonts w:ascii="Times New Roman;sans-serif" w:hAnsi="Times New Roman;sans-serif"/>
          <w:b w:val="false"/>
          <w:color w:val="000000"/>
          <w:sz w:val="20"/>
        </w:rPr>
        <w:t xml:space="preserve">The U.S. Internal Revenue Service (the “IRS”) and U.S. Department of the Treasury released final regulations regarding BEAT in December 2019 and October 2020, which provide guidance related to the mechanics of determining, among other things, the classification as an “applicable taxpayer,” a taxpayer’s “base erosion payments,” and a taxpayer’s “modified taxable income,” as well as the application of those concepts in context of certain arrangements between domestic reinsurance companies and foreign related insurance companies. </w:t>
      </w:r>
      <w:r>
        <w:rPr>
          <w:rFonts w:ascii="Times New Roman;sans-serif" w:hAnsi="Times New Roman;sans-serif"/>
          <w:b w:val="false"/>
          <w:color w:val="000000"/>
          <w:sz w:val="20"/>
          <w:highlight w:val="white"/>
        </w:rPr>
        <w:t>We have analyzed the regulations and have concluded that we will be subject to additional tax if regular U.S. income tax does not exceed a minimum amount. I</w:t>
      </w:r>
      <w:r>
        <w:rPr>
          <w:rFonts w:ascii="Times New Roman;sans-serif" w:hAnsi="Times New Roman;sans-serif"/>
          <w:b w:val="false"/>
          <w:color w:val="000000"/>
          <w:sz w:val="20"/>
        </w:rPr>
        <w:t>n response to the Tax Act, we made changes to our structure in 2018 to minimize the impact of BEAT. The applicability of BEAT depends on a number of factors and the extent to which we may be subject to BEAT in future periods as a result of changes in interpretations, as well as additional regulatory guidance that may be issued, is currently unknown.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U.S. persons who own our shares may be subject to U.S. federal income taxation on our undistributed earnings and may recognize ordinary income upon disposition of shares.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considered a PFIC (as defined in Section 1297(a) of the Code)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PFIC rules include provisions intended to provide an exception for qualifying insurance corporations (“QIC”) engaged in the active conduct of an insurance business. Generally, a QIC is a company (i) that would be subject to tax under special provisions related to insurance companies if the company was a U.S. entity, and (ii) the applicable insurance liabilities of which constitute more than 25% of its total assets as reported on the company’s applicable financial statement. On December 4, 2020, the IRS and U.S. Department of the Treasury released final regulations and proposed regulations that provide guidance regarding the PFIC rules and the QIC exception. More specifically, the complex regulations provide, among other things, clarity on the application of "applicable insurance liabilities" and the "applicable financial statement," as well as the requirements to be engaged in the “active conduct” of an insurance business. The IRS has requested comments on several aspects of the proposed regulations, which are not effective until adopted in final form. It is uncertain when the proposed regulations will be finalized, and whether the provisions of any final or temporary regulations will vary from the proposed regulations.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not and have not been, and currently do not expect to become, a PFIC for U.S. federal income tax purposes. Our belief that we are not and have not been a PFIC is based, in part, on the fact that we believe that we are a QIC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engaged in the active conduct of an insurance business. We are continuing to monitor the final regulations, but do not currently expect them to have a material impact on the Company. New regulations or pronouncements interpreting or clarifying these rules may be forthcoming. We cannot predict what impact, if any, such guidance would have on an investor that is subject to U.S. federal income taxation. As a result, we cannot assure you that we, or one of our subsidiaries, will not be deemed a PFIC by the IRS. If we, or one of our subsidiaries, were considered a PFIC, it could have material adverse tax consequences for an investor that is subject to U.S. federal income taxation.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non-U.S. corporation generally will be classified as a CFC if U.S. persons, each of whom owns, directly, indirectly, or constructively, at least 10% of the voting power or value of such corporation’s stock (“U.S. 10% Shareholders”), own in the aggregate more than 50% of the voting power or value of the stock of such corporation. The Tax Act eliminated the prohibition on “downward attribution” from non-U.S. persons to U.S. persons under the CFC constructive ownership rules. As a result, our U.S. subsidiaries are deemed to own all of the stock of our non-U.S. subsidiaries (other than James River Group Holdings UK Limited (“James River UK”)) for purposes of classifying those non-U.S. subsidiaries as CFCs. The legislative history under the Tax Act indicates that this change to the CFC constructive ownership rules was not intended to cause our non-U.S. subsidiaries to be treated as CFCs with respect to a 10% U.S. Shareholder that is not related (within the meaning of Section 954(d)(3) of the Code) to our U.S. subsidiary. However, it is not clear whether the IRS or a court would interpret the change made by the Tax Act in a manner consistent with such indicated intent.</w:t>
      </w:r>
    </w:p>
    <w:p>
      <w:pPr>
        <w:pStyle w:val="TextBody"/>
        <w:spacing w:lineRule="auto" w:line="288" w:before="0" w:after="120"/>
        <w:ind w:left="0" w:right="0" w:firstLine="360"/>
        <w:rPr/>
      </w:pPr>
      <w:r>
        <w:rPr>
          <w:rFonts w:ascii="Times New Roman;sans-serif" w:hAnsi="Times New Roman;sans-serif"/>
          <w:b w:val="false"/>
          <w:color w:val="000000"/>
          <w:sz w:val="20"/>
        </w:rPr>
        <w:t xml:space="preserve">Under these rules, if a foreign corporation is a CFC, each U.S. 10% Shareholder who owns directly or indirectly shares of the CFC on the last day of the CFC’s taxable year must annually include in its taxable income its pro rata share of the CFC’s “subpart F income,” even if no distributions are made. Subpart F income typically includes “foreign personal holding company income” (such as interest, dividends and other types of passive income), as well as insurance and reinsurance income (including underwriting and investment income). In general (subject to the special rules applicable to “related person insurance income” described below), for purposes of taking into account insurance income, a foreign insurance company will be treated as a CFC if U.S. 10% Shareholders collectively own more than 25% of the voting power or value of the company’s shares at any point during any year. </w:t>
      </w:r>
      <w:r>
        <w:rPr>
          <w:rFonts w:ascii="Times New Roman;sans-serif" w:hAnsi="Times New Roman;sans-serif"/>
          <w:b w:val="false"/>
          <w:color w:val="000000"/>
          <w:sz w:val="20"/>
          <w:highlight w:val="white"/>
        </w:rPr>
        <w:t xml:space="preserve">As discussed above, we cannot assure you that we are not and will not become a CFC. </w:t>
      </w:r>
      <w:r>
        <w:rPr>
          <w:rFonts w:ascii="Times New Roman;sans-serif" w:hAnsi="Times New Roman;sans-serif"/>
          <w:b w:val="false"/>
          <w:color w:val="000000"/>
          <w:sz w:val="20"/>
        </w:rPr>
        <w:t>If you are a U.S. person, we strongly urge you to consult your own tax advisor concerning the CFC rules.</w:t>
      </w:r>
    </w:p>
    <w:p>
      <w:pPr>
        <w:pStyle w:val="TextBody"/>
        <w:spacing w:lineRule="auto" w:line="288" w:before="0" w:after="120"/>
        <w:ind w:left="0" w:right="0" w:firstLine="360"/>
        <w:rPr/>
      </w:pPr>
      <w:r>
        <w:rPr>
          <w:rFonts w:ascii="Times New Roman;sans-serif" w:hAnsi="Times New Roman;sans-serif"/>
          <w:b w:val="false"/>
          <w:i/>
          <w:color w:val="000000"/>
          <w:sz w:val="20"/>
        </w:rPr>
        <w:t>Related Person Insurance Income</w:t>
      </w:r>
      <w:r>
        <w:rPr>
          <w:rFonts w:ascii="Times New Roman;sans-serif" w:hAnsi="Times New Roman;sans-serif"/>
          <w:b w:val="false"/>
          <w:color w:val="000000"/>
          <w:sz w:val="20"/>
        </w:rPr>
        <w:t>. If (i) our gross income attributable to insurance or reinsurance policies pursuant to which the direct or indirect insureds are our direct or indirect U.S. shareholders or persons related to such U.S. shareholders equals or exceeds 20% of our gross insurance income in any taxable year; and (ii) direct or indirect insureds and persons related to such insureds own directly or indirectly 20% or more of the voting power or value of our shares (together, the “RPII Test”), a U.S. person who owns any of our shares directly or indirectly on the last day of such taxable year would most likely be required to include its allocable share of our related person insurance income for such taxable year in its income, even if no distributions are made. We do not believe that the 20% gross insurance income threshold has been, or will be, met. However, we cannot assure you that this will continue to be the case. Consequently, we cannot assure you that a person who is a direct or indirect U.S. shareholder will not be required to include amounts in its income in respect of related person insurance income in any taxable year.</w:t>
      </w:r>
    </w:p>
    <w:p>
      <w:pPr>
        <w:pStyle w:val="TextBody"/>
        <w:spacing w:lineRule="auto" w:line="288" w:before="0" w:after="120"/>
        <w:ind w:left="0" w:right="0" w:firstLine="360"/>
        <w:rPr/>
      </w:pPr>
      <w:r>
        <w:rPr>
          <w:rFonts w:ascii="Times New Roman;sans-serif" w:hAnsi="Times New Roman;sans-serif"/>
          <w:b w:val="false"/>
          <w:i/>
          <w:color w:val="000000"/>
          <w:sz w:val="20"/>
        </w:rPr>
        <w:t>Dispositions of Our Shares</w:t>
      </w:r>
      <w:r>
        <w:rPr>
          <w:rFonts w:ascii="Times New Roman;sans-serif" w:hAnsi="Times New Roman;sans-serif"/>
          <w:b w:val="false"/>
          <w:color w:val="000000"/>
          <w:sz w:val="20"/>
        </w:rPr>
        <w:t>. If a U.S. shareholder is treated as disposing of shares in a CFC of which it is a U.S. 10% Shareholder, or of shares in a foreign insurance corporation that has related person insurance income and in which U.S. persons collectively own 25% or more of the voting power or value of the company’s shares, any gain from the disposition will generally be treated as a dividend to the extent of the U.S. shareholder’s portion of the corporation’s undistributed earnings and profits, as the case may be, that were accumulated during the period that the U.S. shareholder owned the shares. In addition, the shareholder will be required to comply with certain reporting requirements.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Company, JRG Re and James River Group Holdings UK Limited may be subject to U.S. federal income taxation.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JRG Re are each incorporated under the laws of Bermuda and James River UK is incorporated under the laws of England and Wales. Carolina Re is incorporated under the laws of Bermuda, but is taxed as a U.S. domestic corporation as a result of an election under Section 953(d) of the Code.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JRG Re, as contemplated, will not cause them to be treated as engaging in a U.S. trade or business and as such, will not be subject to current U.S. federal income taxation on their net income. However, there are no definitive standards provided by the Code, regulations or court decisions as to the specific activities that constitute being engaged in the conduct of a trade or business within the United States, and any such determination is essentially factual in nature and must be made annually. The IRS could assert that our non-U.S. holding companies or JRG Re (or both) are engaged in a trade or business in the United States or, under the applicable income tax treaty, are engaged in a trade or business in the United States through a permanent establishment, and thus are subject to current U.S. federal income taxation. If our non-U.S. holding companies or JRG Re were deemed to be engaged in a trade or business in the United States (or, under the applicable income tax treaty, were deemed to be so engaged through a permanent establishment), our non-U.S. holding companies or JRG Re, as applicable, would become subject to U.S.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U.S. tax-exempt organizations who own our shares may recognize unrelated business taxable income.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tax-exempt organization may recognize unrelated business taxable income if a portion of our subpart F insurance income is allocated to it. In general, subpart F insurance income will be allocated to a tax-exempt organization owning (or treated as owning) our shares if we are a CFC as discussed above and it is a U.S. 10% Shareholder or we earn related person insurance income and we satisfy the RPII Test. We cannot assure you that U.S. persons holding our shares (directly or indirectly) will not be allocated subpart F insurance income. U.S. tax-exempt organizations should consult their own tax advisors regarding the risk of recognizing unrelated business taxable income due to their ownership of our shares.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become subject to U.S. withholding and information reporting requirements under the Foreign Account Tax Compliance Act (“FATCA”) provisions.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FATCA provisions of the Code generally impose a 30% withholding tax regime with respect to (i) certain U.S. source income (including interest and dividends) (“withholdable payments”) and (ii) “passthru payments” (generally, withholdable payments and payments that are attributable to withholdable payments) made by foreign financial institutions (“FFIs”). Under proposed regulations promulgated by the U.S. Department of the Treasury, on which taxpayers may rely until final regulations are issued, withholdable payments do not include gross proceeds from the sale or other disposition of property that can produce U.S. source interest or dividends. As a general matter, FATCA was designed to require U.S. persons’ direct and indirect ownership of certain non-U.S. accounts and non-U.S. entities to be reported to the IRS. The application of the FATCA withholding rules were phased in beginning July 1, 2014, with withholding on foreign passthru payments made by FFIs taking effect after the date of publication of final regulations defining the term foreign passthru payment.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United States has entered into intergovernmental agreements between the United States and Bermuda and between the United States and the United Kingdom (the “IGAs”), which potentially modify the FATCA withholding regime described above with respect to us and our common shares. There can be no certainty as to whether the Company, Carolina Re or JRG Re will be treated as a FFI under FATCA. We strongly urge you to consult your own tax advisor regarding the potential impact of FATCA, the IGAs and any non-U.S. legislation implementing FATCA.</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Changes in U.S. tax laws may be retroactive and could subject us and/or U.S. persons who own our shares to U.S. income taxation.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Apart from enactment of the Tax Act, other legislative proposals or administrative or judicial developments could also result in an increase in the amount of U.S. tax payable by us or by an owner of our shares or reduce the attractiveness of our products. Any such developments could materially adversely affect our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Tax Act, other tax laws and interpretations thereof, including with respect to whether a company is engaged in a U.S. trade or business, is a CFC, has related party insurance income, is a PFIC, or is subject to BEAT, are subject to change, possibly on a retroactive basis. There are currently only proposed regulations regarding the RPII Test. New regulations or pronouncements interpreting or clarifying such rules may be forthcoming from the IRS or the U.S. Department of the Treasury. We are not able to predict if, when or in what form such guidance will be provided and whether such guidance will have a retroactive effect.</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If reinsurance premiums paid by our U.S. subsidiaries to our non-U.S. subsidiaries do not reflect arm’s-length terms, the IRS could seek to recharacterize the payments in a way that is unfavorable to us.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We have in place intercompany loans from our U.S. subsidiaries to our parent company and have intercompany reinsurance agreements among consolidated entities. We believe the terms of these transactions are appropriate and reflect arm’s-length arrangements and are consistent with all applicable rules and regulations. However, if the U.S. Department of the Treasury or the IRS reviews our intercompany agreements and successfully asserts, under Section 482 or 845 of the Code, that the terms do not reflect arm’s-length transactions, we may owe additional tax.</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Reduced tax rates for qualified dividend income may not be available in the future.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dividends paid on our common shares should qualify as “qualified dividend income” as long as the common shares are listed on a national securities exchange and we are not a PFIC. Qualified dividend income received by non-corporate U.S. persons is generally eligible for long-term capital gain rates. While the Tax Act did not modify these rules, there has been proposed legislation before the U.S. Senate and House of Representatives that would exclude shareholders of certain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foreign corporations from this advantageous tax treatment. If such legislation were to become law, non-corporate U.S. persons would no longer qualify for the reduced tax rate on the dividends paid by us.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non-U.K. companies may be subject to U.K. tax that may have a material adverse effect on our operating results.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intend to operate in such a manner so that none of our companies other than our intermediate holding company incorporated in the United Kingdom, James River UK, should be resident in the U.K. for tax purposes or have a permanent establishment in the U.K. Accordingly, we expect that none of our companies other than James River UK should be subject to U.K. taxation. However, since applicable law and regulations do not conclusively define the activities that constitute conducting business in the U.K. through a permanent establishment, the U.K. HM Revenue &amp; Customs might contend successfully that one or more of our other companies is conducting business in the U.K. through a permanent establishment in the U.K., and therefore such entities could become subject to U.K. taxation.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become subject to additional global taxes, including taxes in Bermuda after March 31, 2035, which may have a material adverse effect on our results of operations and your investment.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31, 2035, except insofar as such tax applies to persons ordinarily resident in Bermuda or to any taxes payable by us in respect of real property owned or leased by us in Bermuda. We cannot assure you that we will not be subject to any Bermuda tax after March 31, 2035.</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the Organization for Economic Co-operation and Development is coordinating a global effort to reform certain aspects of the international tax system. This effort included the December 2021 release of model rules for a 15% global minimum tax regime. If these model rules are partially or fully implemented globally, we could be subject to additional taxes and costs for tax compliance.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Risks Related to Ownership of Our Common Shares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price of our common shares may fluctuate significantly and you could lose all or part of your investment.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Volatility in the market price of our common shares may prevent you from being able to sell your common shares at or above the price you paid for your common shares. The market price for our common shares could fluctuate significantly for various reasons, including, without limitation:</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operating and financial performance and prospects;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quarterly or annual earnings or earnings estimates, or those of other companies in our industry;</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failure to meet external expectations or management guidance;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market reaction to adverse loss reserve development;</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loss of one or more individually large clients, and its impact on our growth rate, profitability and financial condition;</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adverse regulatory or rating agency action;</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exposure to capital market risks related to changes in interest rates, realized investment losses, credit spreads, equity prices, foreign exchange rates and performance of insurance-linked investments;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creditworthiness, financial condition, performance and prospects;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termination of payment of dividends on our common shares, or payment of a reduced amount of dividends;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actual or anticipated growth rates relative to our competitors;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perceptions of the investment opportunity associated with our common shares relative to other investment alternatives;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speculation by the investment community regarding our business;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future announcements concerning our business or our competitors’ businesses;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public’s reaction to our press releases, other public announcements and filings with the SEC;</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changes in accounting standards, policies, guidance, interpretations or principles;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market and industry perception of our success, or lack thereof, in pursuing our strategy;</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strategic actions by us or our competitors, such as acquisitions, restructurings, significant contracts or joint ventures;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catastrophes that are perceived by investors as impacting the insurance and reinsurance market in general;</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changes in laws or government regulation, including tax or insurance laws and regulations;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potential characterization of us as a PFIC;</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general market, economic and political conditions;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changes in conditions or trends in our industry, geographies or customers;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arrival and departure of key personnel;</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number of common shares that are publicly traded;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offering and issuance of common shares by us, or sales of common shares by our directors or executive officers; and</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adverse resolution of litigation against us.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stock markets, including the NASDAQ Stock Market (the market on which our common shares are traded), have experienced price and volume fluctuations that have affected and continue to affect the market prices of equity securities issued by many companies, including companies in our industry. In the past, some companies that have had volatile market prices for their securities have been subject to class action or derivative lawsuits. The filing of a lawsuit against us, regardless of the outcome, could have a negative effect on our business, as it could result in substantial legal costs and a diversion of management’s attention and resources. The Company had such a lawsuit filed against it following our May 2021 equity offering. The filing of this lawsuit against us, or any future filings of a lawsuit against us, regardless of the outcome, could have a negative effect on our business, as it could result in substantial legal costs and a diversion of management’s attention and resources. See “Item 3. Legal Proceedings” for more information.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of the factors described above, shareholders may not be able to resell their common shares at or above their purchase price or may not be able to resell them at all. These market and industry factors may materially reduce the market price of our common shares, regardless of our operating performance.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holders of the Series A Convertible Preferred Shares are entitled to vote up to 9.9% of the aggregate voting power of our then-outstanding common shares on an as converted basis or of the outstanding voting securities of the Company, and have rights to approve certain actions. Additionally, GPC Partners may exercise influence over us through their ability to designate a member of our board of directors.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are entitled to vote up to 9.9% of the aggregate voting power of the then-outstanding common shares on an as converted basis or of the outstanding voting securities of the Company with the holders of our common shares on all matters submitted for a vote of holders of common shares (voting together as one class). The holders of the Series A Preferred Shares will also be subject to the voting limitations imposed on all U.S. persons contained in our bye-laws to the extent such restrictions are applicable.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Investment Agreement dated February 24, 2022 (the “Investment Agreement”) by and between the Company and GPC Partners Investments (Thames) LP (“GPC Partners”), an affiliate of Gallatin Point Capital LLC, GPC Partners has the right to designate one candidate for nomination for election to our board of directors for so long as GPC Partners and its Permitted Transferees (as defined in the Investment Agreement) continue to beneficially own Series A Preferred Shares and/or common shares issued or issuable upon conversion of such Series A Preferred Shares that represent in the aggregate at least 50% of the number of common shares beneficially owned by the Investors, on an as-converted basis, as of the issuance date of the Series A Preferred Shares. Notwithstanding the fact that all directors will be subject to fiduciary duties to us and to applicable law, the interests of the director designated by GPC Partners may differ from the interests of our security holders as a whole or of our other directors.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holders of the Series A Preferred Shares are entitled to a separate class vote with respect to amendments to the Company’s organizational documents that have an adverse effect on the Series A Preferred Shares, including authorizations or issuances by the Company of securities that are senior to or pari passu with the Series A Preferred Shares, increases or decreases in the number of authorized Series A Preferred Shares, or the issuance of any additional Series A Preferred Shares other than in payment of dividends on the outstanding Series A Preferred Shares.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the holders of the Series A Preferred Shares may have the ability to influence the outcome of certain matters affecting our governance and capitalization.</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 xml:space="preserve">The issuance of the Series A Preferred Shares reduces the relative voting power of holders of our common shares, and the conversion of those shares into common shares would dilute the ownership of common shareholders and may adversely affect the market price of our common shares.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held by GPC Partners are entitled to vote up to 9.9% of the aggregate voting power of the then-outstanding common shares on an as converted basis or of the outstanding voting securities of the Company with the holders of our common shares on all matters submitted for a vote of holders of common shares (voting together as one class), which reduces the relative voting power of the holders of our common shares. In addition, the conversion of our Series A Preferred Shares into common shares or payment of dividends on the Series A Preferred Shares in common shares would dilute the ownership interest of existing holders of our common shares. Further, common shares issuable upon conversion of the Series A Preferred Shares, or as payment of dividends on the Series A Preferred Shares, may be sold by GPC Partners or its Permitted Transferees after the second anniversary of the Series A Preferred Shares issuance date. Any sale of common shares following conversion of the Series A Preferred Shares or payment of dividends on the Series A Preferred Shares in common shares, would increase the number of common shares available for public trading, and may adversely affect prevailing market prices of our common shares.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Series A Preferred Shares have rights, preferences and privileges that are not held by, and are preferential to the rights of, our common shareholders, which could adversely affect our liquidity and financial condition.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our Series A Preferred Shares have the right to receive a payment on account of the distribution of assets on any voluntary or involuntary liquidation, dissolution or winding up of the affairs of the Company before any payment may be made to holders of any other class or series of capital shares. In addition, dividends on the Series A Preferred Shares accrue and are cumulative at the rate of 7.0% of the $1,000 per share liquidation preference per annum, paid in cash, in-kind in common shares or in Series A Preferred Shares, at our election. On the five-year anniversary of the issuance date, and each five-year anniversary thereafter, the dividend rate on the liquidation preference will reset to a rate equal to the five-year U.S. treasury rate (calculated as set forth in the Certificate of Designations designating the Series A Preferred Shares (the “Certificate of Designations”)) plus 5.2%.</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also have certain repurchase rights. Upon prior written notice of certain change of control events (a “Fundamental Change”), each holder of outstanding Series A Preferred Shares may, at its election, (i) effective as of immediately prior to the Fundamental Change, convert all or a portion of its Series A Preferred Shares into common shares, or (ii) require the Company to repurchase any or all of such holder’s Series A Preferred Shares in cash at a purchase price per Series A Preferred Share equal to the liquidation preference of such Series A Preferred Share plus accrued and unpaid dividends.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dividend and share repurchase obligations could impact our liquidity and reduce the amount of cash flows available for working capital, capital expenditures, growth opportunities, acquisitions and other general corporate purposes, as well as for the payment of dividends to our common shareholders. Our obligations to the holders of the Series A Preferred Shares could also limit our ability to obtain additional financing, which could have an adverse effect on our financial condition. The preferential rights could also result in divergent interests between the holders of the holders of the Series A Preferred Shares and common shareholders.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bye-laws permit non-employee members of our board of directors and their affiliates to compete with us, which may result in conflicts of interest.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bye-laws provide that members of our board of directors (other than those who are our officers, managers or employees) and their affiliates do not have any duty to (i) communicate or present to the Company any investment or business opportunity or prospective transaction or arrangement in which the Company may have any interest or expectancy or (ii) refrain from engaging, directly or indirectly, in the same business activities or similar business activities or lines of business in which we operate. Our bye-laws will not restrict our non-employee directors, or their affiliates from acquiring and holding interests in businesses that compete directly or indirectly with us. Our non-employee directors and their affiliates may also pursue acquisition opportunities that may be complementary to our business and, as a result, those acquisition opportunities may not be available to us. These potential conflicts of interest could have a material adverse effect on our business, financial condition, results of operations or prospects if we are unable to pursue attractive corporate opportunities because they are allocated by our non-employee directors to themselves or their affiliates instead of being presented to us.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 amount of dividends that we may pay to our common shareholders is subject to restrictions pursuant to the terms of the Series a Preferred Shares, and we cannot assure you that we will declare or pay dividends on our common shares in the future.</w:t>
      </w:r>
    </w:p>
    <w:p>
      <w:pPr>
        <w:pStyle w:val="TextBody"/>
        <w:spacing w:lineRule="auto" w:line="288" w:before="0" w:after="120"/>
        <w:ind w:left="0" w:right="0" w:firstLine="360"/>
        <w:rPr/>
      </w:pPr>
      <w:r>
        <w:rPr>
          <w:rFonts w:ascii="Times New Roman;sans-serif" w:hAnsi="Times New Roman;sans-serif"/>
          <w:b w:val="false"/>
          <w:color w:val="000000"/>
          <w:sz w:val="20"/>
        </w:rPr>
        <w:t>The Certificate of Designations limits our ability to pay dividends to our shareholders.</w:t>
      </w:r>
      <w:r>
        <w:rPr>
          <w:color w:val="000000"/>
        </w:rPr>
        <w:t xml:space="preserve"> </w:t>
      </w:r>
      <w:r>
        <w:rPr>
          <w:rFonts w:ascii="Times New Roman;sans-serif" w:hAnsi="Times New Roman;sans-serif"/>
          <w:b w:val="false"/>
          <w:color w:val="000000"/>
          <w:sz w:val="20"/>
        </w:rPr>
        <w:t>If we pay cash dividends of more than $0.05 per common share per quarter, without the consent of at least the majority of the Series A Preferred Shares then outstanding, we will be required to reduce the conversion price of the Series A Preferred Shares.</w:t>
      </w:r>
      <w:r>
        <w:rPr>
          <w:color w:val="000000"/>
        </w:rPr>
        <w:t xml:space="preserve"> </w:t>
      </w:r>
      <w:r>
        <w:rPr>
          <w:rFonts w:ascii="Times New Roman;sans-serif" w:hAnsi="Times New Roman;sans-serif"/>
          <w:b w:val="false"/>
          <w:color w:val="000000"/>
          <w:sz w:val="20"/>
        </w:rPr>
        <w:t xml:space="preserve">Additionally, the payment of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also trigger a reduction of the conversion price applicable to the Series A Preferred Shares.</w:t>
      </w:r>
    </w:p>
    <w:p>
      <w:pPr>
        <w:pStyle w:val="TextBody"/>
        <w:spacing w:lineRule="auto" w:line="288" w:before="0" w:after="120"/>
        <w:ind w:left="0" w:right="0" w:firstLine="360"/>
        <w:rPr/>
      </w:pPr>
      <w:r>
        <w:rPr>
          <w:rFonts w:ascii="Times New Roman;sans-serif" w:hAnsi="Times New Roman;sans-serif"/>
          <w:b w:val="false"/>
          <w:color w:val="000000"/>
          <w:sz w:val="20"/>
        </w:rPr>
        <w:t xml:space="preserve">Additionally, the declaration, payment and amount of dividends is further subject to the discretion of our board of directors. Our board of directors may take into account a variety of factors when determining whether to declare any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related to our Series A Preferred Shares (5) the effect of a dividend or dividends upon our financial strength ratings and (6) any other factors that our board of directors deems relevant. </w:t>
      </w:r>
      <w:r>
        <w:rPr>
          <w:rFonts w:ascii="Times New Roman;sans-serif" w:hAnsi="Times New Roman;sans-serif"/>
          <w:b w:val="false"/>
          <w:color w:val="000000"/>
          <w:sz w:val="20"/>
          <w:highlight w:val="white"/>
        </w:rPr>
        <w:t xml:space="preserve">See also “Item 5. Market For Registrant’s Common Equity, Related Stockholder Matters and Issuer Purchases Of Equity Securities - Dividends.” </w:t>
      </w:r>
      <w:r>
        <w:rPr>
          <w:rFonts w:ascii="Times New Roman;sans-serif" w:hAnsi="Times New Roman;sans-serif"/>
          <w:b w:val="false"/>
          <w:color w:val="000000"/>
          <w:sz w:val="20"/>
        </w:rPr>
        <w:t>We cannot assure you that we will continue to pay dividends in the future, or that the amount of any such dividend will not decline from prior dividends we have paid.</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depend upon dividends and distributions from our subsidiaries, and we may be unable to distribute dividends to our shareholders to the extent we do not receive dividends from our subsidiaries.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that has no substantial operations of our own.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the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pStyle w:val="TextBody"/>
        <w:spacing w:lineRule="auto" w:line="288" w:before="0" w:after="120"/>
        <w:ind w:left="0" w:right="0" w:firstLine="360"/>
        <w:rPr/>
      </w:pPr>
      <w:r>
        <w:rPr>
          <w:rFonts w:ascii="Times New Roman;sans-serif" w:hAnsi="Times New Roman;sans-serif"/>
          <w:b w:val="false"/>
          <w:color w:val="000000"/>
          <w:sz w:val="20"/>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w:t>
      </w:r>
      <w:r>
        <w:rPr>
          <w:color w:val="000000"/>
          <w:highlight w:val="white"/>
        </w:rPr>
        <w:t xml:space="preserve"> </w:t>
      </w:r>
      <w:r>
        <w:rPr>
          <w:rFonts w:ascii="Times New Roman;sans-serif" w:hAnsi="Times New Roman;sans-serif"/>
          <w:b w:val="false"/>
          <w:color w:val="000000"/>
          <w:sz w:val="20"/>
          <w:highlight w:val="white"/>
        </w:rPr>
        <w:t>Falls Lake Fire and Casualty Compan</w:t>
      </w:r>
      <w:r>
        <w:rPr>
          <w:rFonts w:ascii="Times New Roman;sans-serif" w:hAnsi="Times New Roman;sans-serif"/>
          <w:b w:val="false"/>
          <w:color w:val="000000"/>
          <w:sz w:val="20"/>
        </w:rPr>
        <w:t xml:space="preserve">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w:t>
      </w:r>
      <w:r>
        <w:rPr>
          <w:rFonts w:ascii="Times New Roman;sans-serif" w:hAnsi="Times New Roman;sans-serif"/>
          <w:b w:val="false"/>
          <w:color w:val="000000"/>
          <w:sz w:val="20"/>
          <w:highlight w:val="white"/>
        </w:rPr>
        <w:t>See “Item 1. Business—Regulation—U.S. Insurance Regulation—State Regulation”</w:t>
      </w:r>
      <w:r>
        <w:rPr>
          <w:color w:val="000000"/>
        </w:rPr>
        <w:t xml:space="preserve"> </w:t>
      </w:r>
      <w:r>
        <w:rPr>
          <w:rFonts w:ascii="Times New Roman;sans-serif" w:hAnsi="Times New Roman;sans-serif"/>
          <w:b w:val="false"/>
          <w:color w:val="000000"/>
          <w:sz w:val="20"/>
        </w:rPr>
        <w:t>for more information. In addition, dividends paid by our U.S. subsidiaries to our U.K. holding company are subject to a 5% withholding tax by the IRS. Under U.K. domestic law, no withholding tax is applied to dividends paid by U.K. tax resident companies.</w:t>
      </w:r>
    </w:p>
    <w:p>
      <w:pPr>
        <w:pStyle w:val="TextBody"/>
        <w:spacing w:lineRule="auto" w:line="288" w:before="0" w:after="120"/>
        <w:ind w:left="0" w:right="0" w:firstLine="360"/>
        <w:rPr/>
      </w:pPr>
      <w:r>
        <w:rPr>
          <w:rFonts w:ascii="Times New Roman;sans-serif" w:hAnsi="Times New Roman;sans-serif"/>
          <w:b w:val="false"/>
          <w:color w:val="000000"/>
          <w:sz w:val="20"/>
        </w:rPr>
        <w:t xml:space="preserve">Carolina Re and JRG Re, which are domiciled in Bermuda, are registered as a Class 3A and Class 3B, respectively, insurer under the Insurance Act. The Insurance Act, the conditions listed in the insurance license and the applicable approvals issued by the BMA provide that Carolina Re and JRG Re are required to maintain a combined minimum statutory solvency margin of approximately $167.1 million as of December 31, 2021. See “Item 1. </w:t>
      </w:r>
      <w:r>
        <w:rPr>
          <w:rFonts w:ascii="Times New Roman;sans-serif" w:hAnsi="Times New Roman;sans-serif"/>
          <w:b w:val="false"/>
          <w:color w:val="000000"/>
          <w:sz w:val="20"/>
          <w:highlight w:val="white"/>
        </w:rPr>
        <w:t>Business—Regulation—Bermuda Insurance Regulation—Minimum Solvency Margin and Enhanced Capital Requirements”</w:t>
      </w:r>
      <w:r>
        <w:rPr>
          <w:color w:val="000000"/>
        </w:rPr>
        <w:t xml:space="preserve"> </w:t>
      </w:r>
      <w:r>
        <w:rPr>
          <w:rFonts w:ascii="Times New Roman;sans-serif" w:hAnsi="Times New Roman;sans-serif"/>
          <w:b w:val="false"/>
          <w:color w:val="000000"/>
          <w:sz w:val="20"/>
        </w:rPr>
        <w:t xml:space="preserve">for more information. A Class 3A and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3A or Class 3B insurer fails to meet its minimum solvency margin or minimum liquidity ratio on the last day of any financial year, it is prohibited from declaring or paying any dividends during the next financial year without the approval of the BMA. In addition, Carolina Re, as a Class 3A insurer, and JRG Re, as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pPr>
      <w:r>
        <w:rPr>
          <w:rFonts w:ascii="Times New Roman;sans-serif" w:hAnsi="Times New Roman;sans-serif"/>
          <w:b w:val="false"/>
          <w:color w:val="000000"/>
          <w:sz w:val="20"/>
        </w:rPr>
        <w:t>S</w:t>
      </w:r>
      <w:r>
        <w:rPr>
          <w:rFonts w:ascii="Times New Roman;sans-serif" w:hAnsi="Times New Roman;sans-serif"/>
          <w:b w:val="false"/>
          <w:color w:val="000000"/>
          <w:sz w:val="20"/>
          <w:highlight w:val="white"/>
        </w:rPr>
        <w:t>ee “Item 1. Business— Regulation—Bermuda Insurance Regulation—Restrictions on Dividends and Distributions” for more information.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inability of our subsidiaries to pay dividends or make distributions to us, including as a result of regulatory or other restrictions or capital needs, may prevent us from paying our expenses or paying dividends to our shareholders.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Dividends paid by our U.S. subsidiaries to James River UK may not be eligible for benefits under the U.S.-U.K. income tax treaty.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U.S. federal income tax law, dividends paid by a U.S. corporation to a non-U.S. shareholder are generally subject to a 30% withholding tax, unless reduced by treaty. The income tax treaty between the United Kingdom and the United States (the “U.K. Treaty”) reduces the rate of withholding tax on certain dividends to 5%. Were the IRS to contend successfully that James River UK is not eligible for benefits under the U.K. Treaty, any dividends paid by James River Group, Inc., our U.S. holding company, to James River UK would be subject to the 30% withholding tax. Such a result would substantially reduce the amount of dividends that our shareholder may receive.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continue to publish research or publish misleading or unfavorable research about our business, our common share price and trading volume could decline.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shares depends in part on the research and reports that securities or industry analysts publish about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Future sales of our common shares, or the possibility of such sales, may cause the trading price of our common shares to decline and could impair our ability to raise capital through subsequent equity offerings.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Future sales of substantial amounts of our common shares in the public market, or the perception that these sales could occur, could cause the market price of our common shares to decline and impair our ability to raise capital through the sale of additional shares.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future, we may issue additional common shares or other equity or debt securities convertible into common shares in connection with a financing, acquisition or employee arrangement or otherwise. Any of these issuances could result in substantial dilution to our existing shareholders and could cause the trading price of our common shares to decline.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bye-laws and provisions of Bermuda law may impede or discourage a change of control transaction, which could deprive our investors of the opportunity to receive a premium for their shares.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bye-laws and provisions of Bermuda law to which we are subject contain provisions that could discourage, delay or prevent “change of control” transactions or changes in our board of directors and management that certain shareholders may view as beneficial or advantageous. These provisions include, among others: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 total voting power of any U.S. person owning more than 9.5% of our common shares will be reduced to 9.5% of the total voting power of our common shares, excluding shareholders that held more than 9.5% of our common shares on the day of completion of our IPO;</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board of directors has the authority to issue preferred shares without shareholder approval, which could be used to dilute the ownership of a potential hostile acquirer;</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our shareholders may only remove directors for cause;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there are advance notice requirements for shareholders with respect to director nominations and actions to be taken at annual meetings; and</w:t>
      </w:r>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 xml:space="preserve">under Bermuda law, for so long as JRG Re and Carolina Re are registered under the Insurance Act, the BMA may object to a person holding more than 10%, 20%, 33% or 50% of our common shares if it appears to the BMA that the person is not or is no longer fit and proper to be such a holder </w:t>
      </w:r>
      <w:r>
        <w:rPr>
          <w:rFonts w:ascii="Times New Roman;sans-serif" w:hAnsi="Times New Roman;sans-serif"/>
          <w:b w:val="false"/>
          <w:color w:val="000000"/>
          <w:sz w:val="20"/>
          <w:highlight w:val="white"/>
        </w:rPr>
        <w:t>(See “</w:t>
      </w:r>
      <w:r>
        <w:rPr>
          <w:rFonts w:ascii="Times New Roman;sans-serif" w:hAnsi="Times New Roman;sans-serif"/>
          <w:b w:val="false"/>
          <w:i/>
          <w:color w:val="000000"/>
          <w:sz w:val="20"/>
          <w:highlight w:val="white"/>
        </w:rPr>
        <w:t>There are regulatory limitations on the ownership and transfer of our common shares</w:t>
      </w:r>
      <w:r>
        <w:rPr>
          <w:rFonts w:ascii="Times New Roman;sans-serif" w:hAnsi="Times New Roman;sans-serif"/>
          <w:b w:val="false"/>
          <w:color w:val="000000"/>
          <w:sz w:val="20"/>
          <w:highlight w:val="white"/>
        </w:rPr>
        <w:t>.” risk factor herein)</w:t>
      </w:r>
      <w:r>
        <w:rPr>
          <w:rFonts w:ascii="Times New Roman;sans-serif" w:hAnsi="Times New Roman;sans-serif"/>
          <w:b w:val="false"/>
          <w:color w:val="000000"/>
          <w:sz w:val="20"/>
        </w:rPr>
        <w: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foregoing factors could impede a merger, takeover or other business combination, which could reduce the market value of our shares.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repurchase your common shares without your consent.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bye-laws and subject to Bermuda law, we have the option, but not the obligation, to require a shareholder, other than shareholders holding more than 9.5% of our common shares on the day of completion of our IPO, to sell to us at fair market value the minimum number of common shares which is necessary to avoid or cure any adverse tax consequences or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materially adverse legal or regulatory treatment to us, our subsidiaries or our shareholders, if our board of directors reasonably determines, in good faith, that failure to exercise this option would result in such adverse consequences or treatment.</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Bermuda law differs from the laws in effect in the United States and may afford less protection to holders of our shares.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minority shareholders or, for instance, where an act requires the approval of a greater percentage of the company’s shareholders than that which actually approved it.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willful misconduct.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There are regulatory limitations on the ownership and transfer of our common shares.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Common shares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such company are listed on an appointed stock exchange, which includes the NASDAQ Stock Market. This general permission will apply to our common shares, but would cease to apply if we were to cease to be listed on the NASDAQ Stock Market.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we received consent from the BMA to issue and transfer freely any of our shares, options, warrants, depository receipts, rights loan notes, debt instruments or other securities to and among persons who are either residents or non-residents of Bermuda for exchange control purposes.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Insurance Act requires that where the shares of the registered insurer, or the shares of its parent company, are traded on a recognized stock exchange, and a person becomes a 10%, 20%, 33% or 50% shareholder controller of the insurer, that person shall, within 45 days, notify the BMA in writing that he has become such a controller. In addition, a person who is a shareholder controller of a Class 3A or Class 3B insurer whose shares or the shares of its parent company (if any) are traded on a recognized stock exchange must serve on the BMA a notice in writing that he has reduced or disposed of his holding in the insurer where the proportion of voting rights in the insurer held by him will have reached or has fallen below 10%, 20%, 33% or 50% as the case may be, not later than 45 days after such disposal. This requirement will apply to us as long as our shares are listed on the NASDAQ Stock Market or another stock exchange recognized by the BMA. The BMA may, by written notice, object to a person holding 10%, 20%, 33% or 50% of our common shares if it appears to the BMA that the person is not fit and proper to be such a holder. The BMA may require the holder to reduce its shareholding in us and may direct, among other things, that the voting rights attaching to its shares shall not be exercisable. A person that does not comply with such a notice or direction from the BMA will be guilty of an offense.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JRG Re and Carolina Re are also required to notify the BMA in writing in the event any person has become or has ceased to be a controller or an officer of it (an officer includes a director, chief executive or senior executive performing duties of underwriting, actuarial, risk management, compliance, internal audit, finance or investment matters).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Except in connection with the settlement of trades or transactions entered into through the facilities of the NASDAQ Stock Market, our board of directors may generally require any shareholder or any person proposing to acquire our common shares to provide the information required under our bye-laws. If any such shareholder or proposed acquiror does not provide such information, or if our board of directors has reason to believe that any certification or other information provided pursuant to any such request is inaccurate or incomplete, our board of directors may decline to register any transfer or to effect any issuance or purchase of our common shares to which such request is related.</w:t>
      </w:r>
    </w:p>
    <w:p>
      <w:pPr>
        <w:pStyle w:val="TextBody"/>
        <w:spacing w:lineRule="auto" w:line="288" w:before="0" w:after="120"/>
        <w:ind w:left="0" w:right="0" w:firstLine="360"/>
        <w:rPr/>
      </w:pPr>
      <w:r>
        <w:rPr>
          <w:rFonts w:ascii="Times New Roman;sans-serif" w:hAnsi="Times New Roman;sans-serif"/>
          <w:b w:val="false"/>
          <w:color w:val="000000"/>
          <w:sz w:val="20"/>
        </w:rPr>
        <w:t xml:space="preserve">In addition, the insurance holding company laws and regulations of the states in which our insurance companies are domiciled generally require that, before a person can acquire direct or indirect control of an insurer domiciled in the state, and in some cases prior to divesting its control, prior written approval must be obtained from the insurer’s domiciliary state insurance regulator. </w:t>
      </w:r>
      <w:r>
        <w:rPr>
          <w:rFonts w:ascii="Times New Roman;sans-serif" w:hAnsi="Times New Roman;sans-serif"/>
          <w:b w:val="false"/>
          <w:color w:val="000000"/>
          <w:sz w:val="20"/>
          <w:highlight w:val="white"/>
        </w:rPr>
        <w:t>These laws</w:t>
      </w:r>
      <w:r>
        <w:rPr>
          <w:color w:val="000000"/>
        </w:rPr>
        <w:t xml:space="preserve"> </w:t>
      </w:r>
      <w:r>
        <w:rPr>
          <w:rFonts w:ascii="Times New Roman;sans-serif" w:hAnsi="Times New Roman;sans-serif"/>
          <w:b w:val="false"/>
          <w:color w:val="000000"/>
          <w:sz w:val="20"/>
        </w:rPr>
        <w:t>may discourage potential acquisition proposals and may delay, deter or prevent an investment in or a change of control involving us, or one or more of our regulated 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the Company’s common shares.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and could be materially adversely affected if one or more of our employees causes a significant operational breakdown or failure, either as a result of human error, intentional sabotage or fraudulent manipulation of our operations or systems.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contractual rights and copyright, trademark, patent and trade secret laws to establish and protect our intellectual property. Although we seek to protect our intellectual property rights, third parties may infringe or misappropriate intellectual property. We may have to litigate to enforce and protect intellectual property and to determine its scope, validity or enforceability, which could divert significant resources and prove unsuccessful.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by third parties for patent, trademark or copyright infringement or breach of usage rights. Any such claims and any resulting litigation could result in significant expense and liability. If third party providers or we are found to have infringed a third party intellectual property rights,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or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rely on multiple proprietary operating systems as well as operating systems of third-party providers to issue policies, pay claims, run modeling functions and complete various internal processes. We may be subject to disruptions of such operating systems arising from events that are wholly or partially beyond our control, which may include, for example, electrical or telecommunications outages, natural or man-made disasters, such as earthquakes, hurricanes, floods or tornados, or events arising from criminal or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we and others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data breaches, or ransomware attacks. Any such failure could affect our operations and could materially adversely affect our results of operations by requiring us to expend significant resources to correct the defect, as well as by exposing us to litigation or losses not covered by insurance. Although we have disaster recovery plans and other safeguards in place, our business operations may be materially adversely affected by significant and widespread disruption to our physical infrastructure or operating systems and those of third-party service providers that support our business.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or reinsured’s confidential, proprietary and other information, or otherwise disrupt our or our insureds’, reinsured’s or other third parties’ business operations, which in turn may result in legal claims, regulatory scrutiny and liability, reputational damage, the incurrence of costs to eliminate or mitigate further exposure and the loss of customers. This risk may be heightened as a result of continued remote work in response to the ongoing COVID-19 pandemic. Although to date we have not experienced any material losses relating to cyber-attacks or other information security breaches, there can be no assurance that we will not suffer such losses in the future. While we make efforts to maintain the security and integrity of our information technology networks and related systems, and we have implemented various measures and an incident response protocol to manage the risk of, or respond to, a security breach or disruption, there can be no assurance that our security efforts and measures will be effective or that attempted security breaches or disruptions would not be successful or damaging. In addition, our results of operations could be materially adversely affected if one of our business partners, such as brokers, general agents or third party claims administrators, experiences disruptions to their operating systems and/or a cybersecurity breach, as such disruption or breach could reduce submission flow, policy issuance, claims settlement, and/or make us more vulnerable to a cybersecurity breach ourselves.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Our operating results have in the past varied from quarter to quarter and may not be indicative of our long-term prospects.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particular, we seek to underwrite products and make investments to achieve favorable returns on tangible equity over the long term. In addition, our opportunistic nature and focus on long-term growth in tangible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We may not be able to manage our growth or other changes effectively.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grow our business, may attempt to enter new business lines, and may also face changes from market, legal or regulatory developments. Such growth, new business lines, and changes could require additional capital, systems development and skilled personnel. We cannot assure you that we will be able to meet our capital needs, expand and maintain our systems and our internal controls effectively, allocate our human resources optimally, identify and hire qualified employees or incorporate effectively the components of any businesses we may acquire in our effort to achieve growth. The failure to manage our growth and other changes effectively could have a material adverse effect on our business, financial condition and results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Litigation and legal proceedings against us or our subsidiaries could have a material adverse effect on our business, financial condition and/or results of operations.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subsidiaries are or may be named as defendants in various legal actions,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handling of insurance claims. On July 9, 2021, a purported class action lawsuit was filed in the US District Court, Eastern District of Virginia on behalf of Employees’ Retirement Fund of the City of Fort Worth (“Plaintiff”) against the Company and certain of its present and former officers (together, “Defendants”), alleging claims under Section 10(b) of the Securities Exchange Act of 1934. See “Item 3. Legal Proceedings” for more information. We believe that the outcome of this matter and other presently pending matters, individually and in the aggregate, will not have a material adverse effect on our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consolidated financial position. However, the outcomes of lawsuits cannot be predicted and, if determined adversely, could require us to pay significant damage amounts or to change aspects of our operations, which could have a material adverse effect on our financial results.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Changes in accounting practices and future pronouncements may materially affect our reported financial results.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our U.S.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At any given point in time,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U.S. insurance subsidiaries. Further, we cannot assure that future changes to SAP or components of SAP or the grant of permitted accounting practices to our competitors will not have a negative impact on us.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Failure to maintain effective internal controls in accordance with Sarbanes-Oxley could have a material adverse effect on our business and common share price.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public company with SEC reporting obligations, we are required to document and test our internal control procedures to satisfy the requirements of Section 404(b) of Sarbanes-Oxley, which require annual assessments by management of the effectiveness of our internal control over financial reporting.</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course of our assessment,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we cannot be certain as to the timing of completion of our evaluation, testing and remediation actions or its effect on our operations.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share listing on the NASDAQ Stock Market to be suspended or terminated, which could have a negative effect on the trading price of our common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lease office space in Bermuda, where our principal executive office is located and our casualty reinsurance segment is based. We also lease offices in (1) Chapel Hill, North Carolina, where our U.S. holding company, James River Group is based, (2) Raleigh, North Carolina, where we conduct business in our Specialty Admitted Insurance segment and (3) Richmond, Virginia; Scottsdale, Arizona; and Atlanta, Georgia for the conduct of business in our Excess and Surplus Lines segment. We believe that our facilities are adequate for our current needs and that suitable additional or substitute space will be available as needed.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We believe that the outcome of such matters, individually and in the aggregate, is not reasonably likely to have a material adverse effect on our consolidated financial position, results of operations or cash flows.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"Amended Complaint"), which asserts claims under Sections 10(b) and 20(a) of the Securities Exchange Act of 1934 on behalf of a putative class of persons and entities that purchased the Company's stock between February 22, 2019 and October 25, 2021. The Amended Complaint alleges that Defendants failed to make appropriate disclosures concerning the adequacy of reserves for policies that covered Rasier LLC, a subsidiary of Uber Technologies, Inc., and seeks unspecified damages, costs, attorneys’ fees and such other relief as the court may deem proper. The Defendants filed a motion to dismiss on January 18, 2022. Plaintiffs' response to the motion to dismiss is due to be filed on March 4,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common shares began trading on the NASDAQ Global Select Market under the symbol “JRVR” on December 12, 2014. Prior to that time, there was no public market for our common shares. As of February 25, 2022, there were 7 holders of record of our common shares.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paid quarterly dividends of $0.30 per share from 2017 to the fourth quarter of 2021. On February 21, 2022, the Board of Directors declared a cash dividend of $0.05 per share. The dividend is payable on March 31, 2022 to shareholders of record on March 14, 2022. As described below, the amount of dividends that we may pay is restricted by the terms of our Series A Preferred Shares.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that has no substantial operations of our own, and we rely primarily on cash dividends or distributions from our subsidiaries to pay our operating expenses and dividends to shareholders. The payment of dividends by our insurance and reinsurance subsidiaries is limited under the laws and regulations of their respective domicile. These regulations stipulate the maximum amount of annual dividends or other distributions available to shareholders without prior approval of the relevant regulatory authorities. Additionally, dividends from our U.S. subsidiaries to our U.K. intermediate holding company are generally subject to a 5% withholding tax by the IRS. Under U.K. domestic law, no withholding tax is applied to dividends paid by U.K. tax resident companies. As a result of such regulations, or a change in applicable tax law, we may not be able to pay our operating expenses as they become due and our payment of future dividends to shareholders may be limited. See “Risk Factors — Risks Related to Ownership of Our Common Shares—We depend upon dividends and distributions from our subsidiaries, and we may be unable to distribute dividends to our shareholders to the extent we do not receive dividends from our subsidiaries,” and “—Dividends paid by our U.S. subsidiaries to James River UK may not be eligible for benefits under the U.S.-U.K. income tax treaty.”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expect to close on the issuance and sale of 150,000 Series A Preferred Shares on March 1, 2022. Holders of the Series A Preferred Shares are entitled to a dividend at the initial rate of 7% of the $1,000 per share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will accrue quarterly and will be payable on March 31, June 30, September 30 and December 31 of each year, commencing June 30, 2022. The Certificate of Designations setting forth the terms of the Series A Preferred Shares limits our ability to pay dividends to our common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our shareholders also trigger a reduction of the conversion price applicable to the Series A Preferred Shares.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Additionally, the declaration, payment and amount of future dividends is further subject to the discretion of our board of directors. Our board of directors will give consideration to various risks and uncertainties, including those discussed under the headings “Risk Factors” and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relating to our Series A Preferred Shares (5) the effect of a dividend or dividends upon our financial strength ratings and (6) any other factors that our board of directors deems relevant.</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5-Year total shareholder return of our common shares relative to the cumulative total returns of the Russell 2000 index and a selected peer group of six companies that includes Amerisafe Inc., Argo Group International Holdings Ltd, Kinsale Capital Group Inc., Markel Corp, RLI Corp and W. R. Berkley Corp. The companies in the peer group are weighted by market capitalization. The calculation of cumulative total shareholder return assumes an initial investment of $100 and the reinvestment of all dividends, if any, for the period from December 31, 2016 through December 31, 2021. Such returns are based on historical results and are not intended to suggest future performance.</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before="0" w:after="0"/>
        <w:jc w:val="center"/>
        <w:rPr/>
      </w:pPr>
      <w:r>
        <w:rPr/>
        <w:drawing>
          <wp:inline distT="0" distB="63500" distL="0" distR="0">
            <wp:extent cx="6496050" cy="4772025"/>
            <wp:effectExtent l="0" t="0" r="0" b="0"/>
            <wp:docPr id="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 descr=""/>
                    <pic:cNvPicPr>
                      <a:picLocks noChangeAspect="1" noChangeArrowheads="1"/>
                    </pic:cNvPicPr>
                  </pic:nvPicPr>
                  <pic:blipFill>
                    <a:blip r:embed="rId3"/>
                    <a:stretch>
                      <a:fillRect/>
                    </a:stretch>
                  </pic:blipFill>
                  <pic:spPr bwMode="auto">
                    <a:xfrm>
                      <a:off x="0" y="0"/>
                      <a:ext cx="6496050" cy="4772025"/>
                    </a:xfrm>
                    <a:prstGeom prst="rect">
                      <a:avLst/>
                    </a:prstGeom>
                  </pic:spPr>
                </pic:pic>
              </a:graphicData>
            </a:graphic>
          </wp:inline>
        </w:drawing>
      </w:r>
    </w:p>
    <w:p>
      <w:pPr>
        <w:pStyle w:val="TextBody"/>
        <w:spacing w:before="0" w:after="120"/>
        <w:jc w:val="center"/>
        <w:rPr/>
      </w:pPr>
      <w:r>
        <w:rPr/>
        <w:drawing>
          <wp:inline distT="0" distB="63500" distL="0" distR="0">
            <wp:extent cx="4495800" cy="314325"/>
            <wp:effectExtent l="0" t="0" r="0" b="0"/>
            <wp:docPr id="7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 descr=""/>
                    <pic:cNvPicPr>
                      <a:picLocks noChangeAspect="1" noChangeArrowheads="1"/>
                    </pic:cNvPicPr>
                  </pic:nvPicPr>
                  <pic:blipFill>
                    <a:blip r:embed="rId4"/>
                    <a:stretch>
                      <a:fillRect/>
                    </a:stretch>
                  </pic:blipFill>
                  <pic:spPr bwMode="auto">
                    <a:xfrm>
                      <a:off x="0" y="0"/>
                      <a:ext cx="4495800" cy="314325"/>
                    </a:xfrm>
                    <a:prstGeom prst="rect">
                      <a:avLst/>
                    </a:prstGeom>
                  </pic:spPr>
                </pic:pic>
              </a:graphicData>
            </a:graphic>
          </wp:inline>
        </w:drawing>
      </w:r>
    </w:p>
    <w:p>
      <w:pPr>
        <w:pStyle w:val="TextBody"/>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Copyright© 2022 Russell Investment Group. All rights reserved.</w:t>
      </w:r>
    </w:p>
    <w:tbl>
      <w:tblPr>
        <w:tblW w:w="8927" w:type="dxa"/>
        <w:jc w:val="left"/>
        <w:tblInd w:w="0" w:type="dxa"/>
        <w:tblCellMar>
          <w:top w:w="28" w:type="dxa"/>
          <w:left w:w="28" w:type="dxa"/>
          <w:bottom w:w="28" w:type="dxa"/>
          <w:right w:w="28" w:type="dxa"/>
        </w:tblCellMar>
      </w:tblPr>
      <w:tblGrid>
        <w:gridCol w:w="1038"/>
        <w:gridCol w:w="910"/>
        <w:gridCol w:w="916"/>
        <w:gridCol w:w="109"/>
        <w:gridCol w:w="109"/>
        <w:gridCol w:w="109"/>
        <w:gridCol w:w="224"/>
        <w:gridCol w:w="224"/>
        <w:gridCol w:w="228"/>
        <w:gridCol w:w="109"/>
        <w:gridCol w:w="109"/>
        <w:gridCol w:w="109"/>
        <w:gridCol w:w="224"/>
        <w:gridCol w:w="224"/>
        <w:gridCol w:w="228"/>
        <w:gridCol w:w="109"/>
        <w:gridCol w:w="109"/>
        <w:gridCol w:w="109"/>
        <w:gridCol w:w="223"/>
        <w:gridCol w:w="223"/>
        <w:gridCol w:w="230"/>
        <w:gridCol w:w="109"/>
        <w:gridCol w:w="109"/>
        <w:gridCol w:w="109"/>
        <w:gridCol w:w="224"/>
        <w:gridCol w:w="224"/>
        <w:gridCol w:w="228"/>
        <w:gridCol w:w="109"/>
        <w:gridCol w:w="109"/>
        <w:gridCol w:w="109"/>
        <w:gridCol w:w="224"/>
        <w:gridCol w:w="224"/>
        <w:gridCol w:w="228"/>
        <w:gridCol w:w="109"/>
        <w:gridCol w:w="109"/>
        <w:gridCol w:w="109"/>
        <w:gridCol w:w="210"/>
        <w:gridCol w:w="210"/>
        <w:gridCol w:w="301"/>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12/21</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109.72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134.64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81.76</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176.39</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182.56</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0" w:after="120"/>
        <w:ind w:left="0" w:right="0" w:firstLine="405"/>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forward-looking statements and involves numerous risks and uncertainties, including those described under the heading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earning profits from insurance and reinsurance underwriting and generating meaningful risk-adjusted investment returns, while managing our capital.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approximately 70.4% of our group-wide gross written premiums originated from the U.S. E&amp;S lines market including business assumed by our Casualty Reinsurance segment. We also have a specialty admitted insurance business in the United States. We intend to concentrate substantially all of our underwriting in casualty insurance and reinsurance, and for the year ended December 31, 2021, we derived 96.9% of our group-wide gross written premiums from casualty insurance and reinsurance.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report our business in four segments: Excess and Surplus Lines, Specialty Admitted Insurance, Casualty Reinsurance and Corporate and Other.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offers E&amp;S commercial lines liability and property insurance in every U.S. state, the District of Columbia, Puerto Rico and the U.S. Virgin Islands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2021, the average account in this segment (excluding commercial auto policies) generated annual gross written premiums of approximately $23,000. The Excess and Surplus Lines segment distributes its products primarily through wholesale insurance brokers. Members of our management team have participated in this market for over three decades and have long-standing relationships with the wholesale agents who place E&amp;S lines accounts. The Excess and Surplus Lines segment produced 55.3% of our gross written premiums and 67.3% of our net written premiums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focuses on niche classes within the standard insurance markets, such as workers’ compensation coverage for building trades, healthcare employees, light manufacturing and other light-to-medium hazard risks in select U.S. states and fronting business, where we retain a small percentage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independent retail agents, program administrators and MGAs. The Specialty Admitted Insurance segment produced 32.6% of our gross written premiums and 11.3% of our net written premiums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On a net premium volume basis, treaties with loss mitigation features including sliding scale ceding commissions represented 58.9% of the net premiums written by our Casualty Reinsurance segment during 2021. We typically do not assume large individual risks in our Casualty Reinsurance segment, nor do we write property catastrophe reinsurance. Most of the underlying policies assumed by our Casualty Reinsurance segment have a $1.0 million per occurrence limit, and we typically assume only a portion of that exposure. We do not assume stand-alone third-party property business at our Casualty Reinsurance segment, but we do have a small amount of assumed business with ancillary property exposure. 65.7% of gross premiums written by our Casualty Reinsurance segment during 2021 were general liability accounts. The Casualty Reinsurance segment distributes through reinsurance brokers. The Casualty Reinsurance segment produced 12.1% of our gross written premiums and 21.4% of our net written premiums for the year ended December 31, 2021.</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Casualty Reinsurance segment writes third party business through one entity, JRG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a Bermuda-domiciled, wholly-owned subsidiary of James River Group, Inc. Carolina Re is a Class 3A reinsurer that made an irrevocable election to be taxed as a U.S. domestic corporation under Section 953(d) of the Code effective January 1, 2018. Carolina Re is also the cedent on a stop loss reinsurance treaty with JRG Re. Business in the Casualty Reinsurance segment is ceded under proportional, or quota-share, reinsurance treaties that provide for an arm’s length ceding commission. We exclude the effects of intercompany reinsurance agreements from the presentation of our segment results, consistent with the way we manage the Company. At December 31, 2021, 41.2% of our invested assets were held at JRG 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Corporate and Other segment consists of the management and treasury activities of our holding companies, equity compensation for the group, and interest expense associated with our debt.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A.M. Best Company (“A.M. Best”) financial strength rating for our group’s regulated insurance and reinsurance subsidiaries is “A-” (Excellent) with a stable outlook. This rating reflects A.M. Best’s evaluation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Form 10-K.</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Reserve for Losses and Loss Adjustment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we write and the limited operating experience of the fronting and program business in the Specialty Admitted Insurance segment and the commercial auto business in our Excess and Surplus lines segment. In applying this judgment, we frequently establish reserves that differ from our internal 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Casualty Reinsurance segment generally establishes case reserves based on reports received from ceding companies or their brokers. For excess of loss contracts, we are typically notified of insurance losses on specific contracts, and we record case reserves based on the estimated ultimate losses on each claim. For proportional contracts, we typically receive aggregated claims information and record case reserves based on that information.</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gross reserve for losses and loss adjustment expenses at December 31, 2021 was $2,748.5 million. Of this amount, 59.6% relates to IBNR. The Company’s gross reserve for losses and loss adjustment expenses by segment are summarized as follows:</w:t>
      </w:r>
    </w:p>
    <w:tbl>
      <w:tblPr>
        <w:tblW w:w="8681" w:type="dxa"/>
        <w:jc w:val="left"/>
        <w:tblInd w:w="0" w:type="dxa"/>
        <w:tblCellMar>
          <w:top w:w="28" w:type="dxa"/>
          <w:left w:w="28" w:type="dxa"/>
          <w:bottom w:w="28" w:type="dxa"/>
          <w:right w:w="28" w:type="dxa"/>
        </w:tblCellMar>
      </w:tblPr>
      <w:tblGrid>
        <w:gridCol w:w="911"/>
        <w:gridCol w:w="801"/>
        <w:gridCol w:w="808"/>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55"/>
        <w:gridCol w:w="256"/>
        <w:gridCol w:w="454"/>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Reserves at December 31, 2021</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 %</w:t>
              <w:br/>
              <w:t>of Total</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4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net reserve for losses and loss adjustment expenses prior to the $631,000 allowance for credit losses on reinsurance recoverables at December 31, 2021 was $1,399.2 million. Of this amount, 64.4% relates to IBNR. The Company’s net reserve for losses and loss adjustment expenses by segment are summarized as follows:</w:t>
      </w:r>
    </w:p>
    <w:tbl>
      <w:tblPr>
        <w:tblW w:w="8381" w:type="dxa"/>
        <w:jc w:val="left"/>
        <w:tblInd w:w="0" w:type="dxa"/>
        <w:tblCellMar>
          <w:top w:w="28" w:type="dxa"/>
          <w:left w:w="28" w:type="dxa"/>
          <w:bottom w:w="28" w:type="dxa"/>
          <w:right w:w="28" w:type="dxa"/>
        </w:tblCellMar>
      </w:tblPr>
      <w:tblGrid>
        <w:gridCol w:w="911"/>
        <w:gridCol w:w="801"/>
        <w:gridCol w:w="80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55"/>
        <w:gridCol w:w="256"/>
        <w:gridCol w:w="454"/>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Reserves at December 31, 2021</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 %</w:t>
              <w:br/>
              <w:t>of Total</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4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4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Reserve Committees consist of our Chief Actuary, Chief Executive Officer, Chief Financial Officer, and Chief Accounting Officer. Additionally, the presidents, chief financial officers and chief actuaries of each of our three insurance segments are also members of the Reserve Committee for their respective segments. The Reserve Committees meet quarterly to review the actuarial recommendations made by each chief actuary and use their best judgment to determine the best estimate to be recorded for the reserve for losses and loss adjustment expenses on our quarterly balance sheet.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engage an independent internationally recognized actuarial consulting firm to review our reserves for losses and loss adjustment expenses in the third and fourth quarters of each year. This independent actuarial consulting firm prepares its own estimate of our reserve for loss and loss adjustment expenses, and we compare their estimate to the reserve for losses and loss adjustment expenses reviewed and approved by the Reserve Committee in order to gain additional comfort on the adequacy of our reserves.</w:t>
      </w:r>
    </w:p>
    <w:p>
      <w:pPr>
        <w:pStyle w:val="TextBody"/>
        <w:spacing w:lineRule="auto" w:line="288" w:before="0" w:after="120"/>
        <w:ind w:left="0" w:right="0" w:firstLine="405"/>
        <w:rPr/>
      </w:pPr>
      <w:r>
        <w:rPr>
          <w:rFonts w:ascii="Times New Roman;sans-serif" w:hAnsi="Times New Roman;sans-serif"/>
          <w:b w:val="false"/>
          <w:color w:val="000000"/>
          <w:sz w:val="20"/>
        </w:rPr>
        <w:t>The Reserve Committee believes that using judgment to supplement the actuarial recommendations is necessary to arrive at a best estimate given the nature of the business that we write. In particular,</w:t>
      </w:r>
      <w:r>
        <w:rPr>
          <w:color w:val="000000"/>
        </w:rPr>
        <w:t xml:space="preserve"> </w:t>
      </w:r>
      <w:r>
        <w:rPr>
          <w:rFonts w:ascii="Times New Roman;sans-serif" w:hAnsi="Times New Roman;sans-serif"/>
          <w:b w:val="false"/>
          <w:color w:val="000000"/>
          <w:sz w:val="20"/>
        </w:rPr>
        <w:t>this approach attempts to address the limited operating experience of the Casualty Reinsurance segment, and program business in the Specialty Admitted Insurance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process of estimating the reserve for losses and loss adjustment expenses requires a high degree of judgment and is subject to a number of variables. In establishing the quarterly actuarial recommendation for the reserve for losses and loss adjustment expenses, our actuaries estimate an initial expected ultimate loss ratio for each of our product lines by accident year (or for our Casualty Reinsurance segment, on a contract by contract basis). Input from our underwriting and claims departments, including premium pricing assumptions and historical experience, are considered by our internal actuaries in estimating the initial expected loss ratios. Our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actuarial methods that we use in our reserve estimation process are:</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Expected Loss Method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Loss method multiplies earned premiums by an initial expected loss ratio. In our Excess and Surplus Lines segment and for our Workers’ Compensation book in the Specialty Admitted Insurance segment, the initial expected loss ratio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pPr>
      <w:r>
        <w:rPr>
          <w:rFonts w:ascii="Times New Roman;sans-serif" w:hAnsi="Times New Roman;sans-serif"/>
          <w:b w:val="false"/>
          <w:color w:val="000000"/>
          <w:sz w:val="20"/>
        </w:rPr>
        <w:t>is estimated based on adjusting book of business prior year experience to current cost and rate level.</w:t>
      </w:r>
      <w:r>
        <w:rPr>
          <w:color w:val="000000"/>
        </w:rPr>
        <w:t xml:space="preserve"> </w:t>
      </w:r>
      <w:r>
        <w:rPr>
          <w:rFonts w:ascii="Times New Roman;sans-serif" w:hAnsi="Times New Roman;sans-serif"/>
          <w:b w:val="false"/>
          <w:color w:val="000000"/>
          <w:sz w:val="20"/>
        </w:rPr>
        <w:t>In our Programs business within the Specialty Admitted Insurance segment and in our Casualty Reinsurance segment, the expected loss ratio is based on the actuarial pricing of the individual account.</w:t>
      </w:r>
      <w:r>
        <w:rPr>
          <w:color w:val="000000"/>
        </w:rPr>
        <w:t xml:space="preserve"> </w:t>
      </w:r>
      <w:r>
        <w:rPr>
          <w:rFonts w:ascii="Times New Roman;sans-serif" w:hAnsi="Times New Roman;sans-serif"/>
          <w:b w:val="false"/>
          <w:color w:val="000000"/>
          <w:sz w:val="20"/>
        </w:rPr>
        <w:t xml:space="preserve">Alternatively, when company experience lacks historical depth, initial expected loss ratios can be determined using loss ratios implied by industry loss costs for the class or reported industry loss ratios.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Incurred Loss Development Method</w:t>
      </w:r>
    </w:p>
    <w:p>
      <w:pPr>
        <w:pStyle w:val="TextBody"/>
        <w:spacing w:lineRule="auto" w:line="288" w:before="0" w:after="120"/>
        <w:ind w:left="0" w:right="0" w:firstLine="405"/>
        <w:rPr/>
      </w:pPr>
      <w:r>
        <w:rPr>
          <w:rFonts w:ascii="Times New Roman;sans-serif" w:hAnsi="Times New Roman;sans-serif"/>
          <w:b w:val="false"/>
          <w:color w:val="000000"/>
          <w:sz w:val="20"/>
        </w:rPr>
        <w:t>The Incurred Loss Development method uses historical loss reporting patterns by accident year or treaty year to estimate future loss reporting patterns. In this method, our actuaries review historical loss reporting patterns to develop incurred loss development factors that are applied to current reported losses to calculate</w:t>
      </w:r>
      <w:r>
        <w:rPr>
          <w:color w:val="000000"/>
        </w:rPr>
        <w:t xml:space="preserve"> </w:t>
      </w:r>
      <w:r>
        <w:rPr>
          <w:rFonts w:ascii="Times New Roman;sans-serif" w:hAnsi="Times New Roman;sans-serif"/>
          <w:b w:val="false"/>
          <w:color w:val="000000"/>
          <w:sz w:val="20"/>
        </w:rPr>
        <w:t>ultimate losses.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Paid Loss Development Method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Bornhuetter-Ferguson Incurred Loss Development Method</w:t>
      </w:r>
    </w:p>
    <w:p>
      <w:pPr>
        <w:pStyle w:val="TextBody"/>
        <w:spacing w:lineRule="auto" w:line="288" w:before="0" w:after="120"/>
        <w:ind w:left="0" w:right="0" w:firstLine="405"/>
        <w:rPr/>
      </w:pPr>
      <w:r>
        <w:rPr>
          <w:rFonts w:ascii="Times New Roman;sans-serif" w:hAnsi="Times New Roman;sans-serif"/>
          <w:b w:val="false"/>
          <w:color w:val="000000"/>
          <w:sz w:val="20"/>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 initial expected ultimate loss ratio and an estimate of the percentage of ultimate losses that are unreported at the valuation date.</w:t>
      </w:r>
      <w:r>
        <w:rPr>
          <w:color w:val="000000"/>
        </w:rPr>
        <w:t xml:space="preserve"> </w:t>
      </w:r>
      <w:r>
        <w:rPr>
          <w:rFonts w:ascii="Times New Roman;sans-serif" w:hAnsi="Times New Roman;sans-serif"/>
          <w:b w:val="false"/>
          <w:color w:val="000000"/>
          <w:sz w:val="20"/>
        </w:rPr>
        <w:t>This technique is particularly valuable when there is a low volume of business being reviewed and reported losses lack historical depth.</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Bornhuetter-Ferguson Paid Loss Development Method</w:t>
      </w:r>
    </w:p>
    <w:p>
      <w:pPr>
        <w:pStyle w:val="TextBody"/>
        <w:spacing w:lineRule="auto" w:line="288" w:before="0" w:after="120"/>
        <w:ind w:left="0" w:right="0" w:firstLine="405"/>
        <w:rPr/>
      </w:pPr>
      <w:r>
        <w:rPr>
          <w:rFonts w:ascii="Times New Roman;sans-serif" w:hAnsi="Times New Roman;sans-serif"/>
          <w:b w:val="false"/>
          <w:color w:val="000000"/>
          <w:sz w:val="20"/>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 This approach assumes that the paid experience has no effect on the subsequent paid loss emergence of the business.</w:t>
      </w:r>
      <w:r>
        <w:rPr>
          <w:color w:val="000000"/>
        </w:rPr>
        <w:t xml:space="preserve"> </w:t>
      </w:r>
      <w:r>
        <w:rPr>
          <w:rFonts w:ascii="Times New Roman;sans-serif" w:hAnsi="Times New Roman;sans-serif"/>
          <w:b w:val="false"/>
          <w:color w:val="000000"/>
          <w:sz w:val="20"/>
        </w:rPr>
        <w:t>Again, this technique is particularly valuable when there is a low volume of business being reviewed and paid losses lack historical depth.</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Different reserving methods are appropriate in different situations, and our actuaries use their judgment and experience to determine the weighting of the methods detailed above to use for each accident year and each line of business and, for our Casualty Reinsurance segment, on a contract by contract basis. For example, the current accident year has very little incurred and paid loss development data on which to base reserve projections. As a result, we rely heavily on the Expected Loss Method in estimating reserves for the current accident year. We generally set our initial expected loss ratio for the current accident year consistent with our pricing assumptions.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 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applying these methods to develop an estimate of the reserve for losses and loss adjustment expenses, our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actuary performs a study on each of these parameters annually and makes recommendations for the initial expected loss ratios, the incurred and paid loss development factors and the weighting of the five actuarial methods by accident year and line of business. Members of the Reserve Committee review and approve the parameter review actuarial recommendations, and absent any developments requiring an earlier review, these approved parameters are used in the reserve estimation process for the next four quarters at which time a new parameter study is performed. For the Casualty Reinsurance segment, periodic assessments are made on a contract by contract basis. Method weights are generally less rigid for the Casualty Reinsurance segment given the heterogeneous nature of the various contracts, and the potential for significant changes in mix of business within individual treaties.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table below quantifies the impact of extreme reserve deviations from our expected value at December 31, 2021. The total carried net reserve for losses and loss adjustment expenses is displayed alongside 5th, 50th and 95th percentiles of likely ultimate net reserve outcomes. The estimates of these percentiles are a result of a reserve variability analysis using a simulation approach.</w:t>
      </w:r>
    </w:p>
    <w:tbl>
      <w:tblPr>
        <w:tblW w:w="10205" w:type="dxa"/>
        <w:jc w:val="left"/>
        <w:tblInd w:w="0" w:type="dxa"/>
        <w:tblCellMar>
          <w:top w:w="28" w:type="dxa"/>
          <w:left w:w="28" w:type="dxa"/>
          <w:bottom w:w="28" w:type="dxa"/>
          <w:right w:w="28" w:type="dxa"/>
        </w:tblCellMar>
      </w:tblPr>
      <w:tblGrid>
        <w:gridCol w:w="1325"/>
        <w:gridCol w:w="1163"/>
        <w:gridCol w:w="1178"/>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25"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Sensitivity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5th Pct.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50th Pct.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95th Pct.</w:t>
            </w:r>
          </w:p>
        </w:tc>
      </w:tr>
      <w:tr>
        <w:trPr/>
        <w:tc>
          <w:tcPr>
            <w:tcW w:w="3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impact of recording the net reserve for losses and loss adjustment expenses at the highest value from the sensitivity analysis above would be to increase losses and loss adjustment expenses incurred by $162.3 million, reduce after-tax net income by $148.8 million, reduce shareholders’ equity by $148.8 million and reduce shareholders’ tangible equity by $148.8 million, in each case at or for the period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impact of recording the net reserve for losses and loss adjustment expenses at the lowest value from the sensitivity analysis above would be to reduce losses and loss adjustment expenses incurred by $131.5 million, increase after-tax net income by $121.1 million, increase shareholders’ equity by $121.1 million, and increase tangible equity by $121.1 million, in each case at or for the year ended December 31, 2021. Such changes in the net reserve for losses and loss adjustment expenses would not have an immediate impact on our liquidity, but would affect cash flow and investment income in future periods as the incremental or reduced amount of losses are paid and investment assets adjusted to reflect the level of paid claims.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Loss reserve estimates are subject to a high degree of variability due to the inherent uncertainty of ultimate claims settlement values. In recording our best estimate of our reserve for losses and loss adjustment expenses, our Reserve Committee often selects an amount that is different from the actuarial recommendation due to the inherent variation associated with our reserve estimates and the possibility that there are unforeseen or incorrectly valued liabilities in the actuarial recommendations.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many of our policies are issued on an occurrence basis, and insureds suffering a loss frequently seek coverage beyond the policies’ original intent. The difficulty in pinpointing actual ultimate losses and loss adjustment expenses (“LAE”) is illustrated by the fact that at December 31, 2021, 64.2% of our net reserve for losses and loss adjustment expenses in the Excess and Surplus Lines segment is for claims that have not been reported.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 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IBNR reserve estimates are inherently less precise than case reserve estimates. A 5% change in net IBNR reserves at December 31, 2021 would equate to a $45.1 million change in the reserve for losses and loss adjustment expenses at such date, a $39.7 million change in after-tax net income, a 5.5% change in shareholders’ equity and a 7.8% change in tangible equity, in each case at or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pPr>
      <w:r>
        <w:rPr>
          <w:rFonts w:ascii="Times New Roman;sans-serif" w:hAnsi="Times New Roman;sans-serif"/>
          <w:b w:val="false"/>
          <w:color w:val="000000"/>
          <w:sz w:val="20"/>
        </w:rPr>
        <w:t xml:space="preserve">We experienced $325.8 million of adverse development in 2021 on the reserve for losses and loss adjustment expenses held at December 31, 2020. This adverse reserve development included $190.7 million of adverse development in the Excess and Surplus Lines segment, including $200.1 million of adverse development in the commercial auto line of business that was primarily related to the 2019 and prior accident years with Rasier LLC and its affiliates </w:t>
      </w:r>
      <w:r>
        <w:rPr>
          <w:rFonts w:ascii="Times New Roman;sans-serif" w:hAnsi="Times New Roman;sans-serif"/>
          <w:b w:val="false"/>
          <w:color w:val="212529"/>
          <w:sz w:val="20"/>
        </w:rPr>
        <w:t>(collectively, “Rasier”)</w:t>
      </w:r>
      <w:r>
        <w:rPr>
          <w:rFonts w:ascii="Times New Roman;sans-serif" w:hAnsi="Times New Roman;sans-serif"/>
          <w:b w:val="false"/>
          <w:color w:val="000000"/>
          <w:sz w:val="20"/>
        </w:rPr>
        <w:t>. Rasier's business was new, complex, and rapidly changing, and the Company's underwriting assumptions and the related pricing of this risk did not keep pace with the insured's escalating loss trends. The adverse development for commercial auto was partially offset by $9.4 million of favorable development in other Excess and Surplus Lines underwriting divisions. Favorable reserve development in the Specialty Admitted Insurance segment was $2.5 million as losses on our workers’ compensation business written prior to 2020 continued to develop more favorably than we had anticipated. The Casualty Reinsurance segment experienced $137.6 million of adverse development on prior underwriting years. Actual reported and paid losses in the Casualty Reinsurance segment significantly exceeded expectations in 2021, particularly in the fourth quarter of 2021, causing us to refine some of the assumptions used to determine our best estimate of ultimate losses for this segment. Specifically, we responded to this highly elevated loss emergence by making significant adjustments to our assumed tail factors, other development factors, initial expected loss ratios, and weights given to various actuarial methods. In particular, we gave significantly more weight to incurred loss development methods and Bornhuetter – Ferguson incurred loss development methods than had been done previously. These actuarial refinements resulted in material deterioration in ultimate loss selections for underwriting years 2014 through 2018.</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experienced $92.2 million of adverse development in 2020 on the reserve for losses and loss adjustment expenses held at December 31, 2019. This adverse reserve development included $59.4 million of adverse development in the Excess and Surplus Lines segment including $91.4 million of adverse development in the commercial auto line of business that was primarily related to the 2018 and prior accident years with Rasier. The adverse development for commercial auto was partially offset by $32.0 million of favorable development in other Excess and Surplus Lines underwriting divisions that was primarily related to the 2018 and 2019 accident years. The Company also experienced $5.0 million of favorable development on prior accident years in the Specialty Admitted Insurance segment, as losses on our workers’ compensation business written prior to 2019 continued to develop more favorably than we had anticipated. The Casualty Reinsurance segment experienced $37.8 million of adverse development on prior accident years primarily in accident years 2014 through 2018.</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Investment Valuation and Impairment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carry fixed maturity securities classified as “available-for-sale” at fair value, and unrealized gains and losses on such securities, net of any deferred taxes, are reported as a separate component of accumulated other comprehensive income. Equity securities (except those accounted for under the equity method of accounting or those that result in consolidation of the investee) are measured at fair value with changes in fair value recognized in net income. Certain restricted cash equivalents invested in funds with floating net asset values are measured at fair value with changes in fair value recognized in net income. At December 31, 2021, we do not have any securities classified as “held-to-maturity” or “trading.”</w:t>
      </w:r>
    </w:p>
    <w:p>
      <w:pPr>
        <w:pStyle w:val="TextBody"/>
        <w:spacing w:lineRule="auto" w:line="288" w:before="0" w:after="120"/>
        <w:ind w:left="0" w:right="0" w:firstLine="405"/>
        <w:rPr/>
      </w:pPr>
      <w:r>
        <w:rPr>
          <w:rFonts w:ascii="Times New Roman;sans-serif" w:hAnsi="Times New Roman;sans-serif"/>
          <w:b w:val="false"/>
          <w:color w:val="231F20"/>
          <w:sz w:val="20"/>
        </w:rPr>
        <w:t xml:space="preserve">The Company adopted ASU 2016-13, </w:t>
      </w:r>
      <w:r>
        <w:rPr>
          <w:rFonts w:ascii="Times New Roman;sans-serif" w:hAnsi="Times New Roman;sans-serif"/>
          <w:b w:val="false"/>
          <w:i/>
          <w:color w:val="231F20"/>
          <w:sz w:val="20"/>
        </w:rPr>
        <w:t>Financial Instruments - Credit Losses (Topic 326): Measurement of Credit Losses on Financial Instruments</w:t>
      </w:r>
      <w:r>
        <w:rPr>
          <w:color w:val="231F20"/>
        </w:rPr>
        <w:t xml:space="preserve"> </w:t>
      </w:r>
      <w:r>
        <w:rPr>
          <w:rFonts w:ascii="Times New Roman;sans-serif" w:hAnsi="Times New Roman;sans-serif"/>
          <w:b w:val="false"/>
          <w:color w:val="231F20"/>
          <w:sz w:val="20"/>
        </w:rPr>
        <w:t>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continue to be recognized in other comprehensive income.</w:t>
      </w:r>
    </w:p>
    <w:p>
      <w:pPr>
        <w:pStyle w:val="TextBody"/>
        <w:spacing w:lineRule="auto" w:line="288" w:before="0" w:after="120"/>
        <w:ind w:left="0" w:right="0" w:firstLine="405"/>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December 31, 2021 or 2020. </w:t>
      </w:r>
      <w:r>
        <w:rPr>
          <w:rFonts w:ascii="Times New Roman;sans-serif" w:hAnsi="Times New Roman;sans-serif"/>
          <w:b w:val="false"/>
          <w:color w:val="231F20"/>
          <w:sz w:val="20"/>
        </w:rPr>
        <w:t>Management does not intend to sell the securities in an unrealized loss position, and it is not “more likely than not” that the Company will be required to sell these securities before a recovery in their value to their amortized cost basis occurs.</w:t>
      </w:r>
      <w:r>
        <w:rPr>
          <w:color w:val="000000"/>
        </w:rPr>
        <w:t xml:space="preserve">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During 2019, three fixed maturity securities from one issuer were determined to be impaired because we intended to sell the securities at a loss. The Company recorded impairment losses on these securities of $271,000. Management concluded that none of the fixed maturity securities with an unrealized loss at December 31, 2019 experienced an other-than-temporary impairment.</w:t>
      </w:r>
    </w:p>
    <w:p>
      <w:pPr>
        <w:pStyle w:val="TextBody"/>
        <w:spacing w:lineRule="auto" w:line="288" w:before="0" w:after="120"/>
        <w:ind w:left="0" w:right="0" w:firstLine="405"/>
        <w:rPr/>
      </w:pPr>
      <w:r>
        <w:rPr>
          <w:rFonts w:ascii="Times New Roman;sans-serif" w:hAnsi="Times New Roman;sans-serif"/>
          <w:b w:val="false"/>
          <w:color w:val="231F20"/>
          <w:sz w:val="20"/>
        </w:rPr>
        <w:t xml:space="preserve">In connection with the adoption of ASU 2016-13, the Company elected the fair value option in accounting for bank loan participations effective January 1, 2020. The targeted transition relief offered by ASU 2019-05, </w:t>
      </w:r>
      <w:r>
        <w:rPr>
          <w:rFonts w:ascii="Times New Roman;sans-serif" w:hAnsi="Times New Roman;sans-serif"/>
          <w:b w:val="false"/>
          <w:i/>
          <w:color w:val="231F20"/>
          <w:sz w:val="20"/>
        </w:rPr>
        <w:t xml:space="preserve">Financial Instruments - Credit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pPr>
      <w:r>
        <w:rPr>
          <w:rFonts w:ascii="Times New Roman;sans-serif" w:hAnsi="Times New Roman;sans-serif"/>
          <w:b w:val="false"/>
          <w:i/>
          <w:color w:val="231F20"/>
          <w:sz w:val="20"/>
        </w:rPr>
        <w:t xml:space="preserve">Losses (Topic 326): Targeted Transition Relief </w:t>
      </w:r>
      <w:r>
        <w:rPr>
          <w:rFonts w:ascii="Times New Roman;sans-serif" w:hAnsi="Times New Roman;sans-serif"/>
          <w:b w:val="false"/>
          <w:color w:val="231F20"/>
          <w:sz w:val="20"/>
        </w:rPr>
        <w:t>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pStyle w:val="TextBody"/>
        <w:spacing w:lineRule="auto" w:line="288" w:before="0" w:after="120"/>
        <w:ind w:left="0" w:right="0" w:firstLine="405"/>
        <w:rPr/>
      </w:pPr>
      <w:r>
        <w:rPr>
          <w:rFonts w:ascii="Times New Roman;sans-serif" w:hAnsi="Times New Roman;sans-serif"/>
          <w:b w:val="false"/>
          <w:color w:val="231F20"/>
          <w:sz w:val="20"/>
        </w:rPr>
        <w:t xml:space="preserve">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 </w:t>
      </w:r>
      <w:r>
        <w:rPr>
          <w:rFonts w:ascii="Times New Roman;sans-serif" w:hAnsi="Times New Roman;sans-serif"/>
          <w:b w:val="false"/>
          <w:color w:val="000000"/>
          <w:sz w:val="20"/>
        </w:rPr>
        <w:t>Management concluded that none of the loans in the Company's bank loan portfolio had credit-related impairments as of December 31, 2021. For the year ended December 31, 2020, m</w:t>
      </w:r>
      <w:r>
        <w:rPr>
          <w:rFonts w:ascii="Times New Roman;sans-serif" w:hAnsi="Times New Roman;sans-serif"/>
          <w:b w:val="false"/>
          <w:color w:val="231F20"/>
          <w:sz w:val="20"/>
        </w:rPr>
        <w:t>anagement conclud</w:t>
      </w:r>
      <w:r>
        <w:rPr>
          <w:rFonts w:ascii="Times New Roman;sans-serif" w:hAnsi="Times New Roman;sans-serif"/>
          <w:b w:val="false"/>
          <w:color w:val="000000"/>
          <w:sz w:val="20"/>
        </w:rPr>
        <w:t xml:space="preserve">ed that $8.3 </w:t>
      </w:r>
      <w:r>
        <w:rPr>
          <w:rFonts w:ascii="Times New Roman;sans-serif" w:hAnsi="Times New Roman;sans-serif"/>
          <w:b w:val="false"/>
          <w:color w:val="231F20"/>
          <w:sz w:val="20"/>
        </w:rPr>
        <w:t xml:space="preserve">million of unrealized losses were due to credit-related impairments. </w:t>
      </w:r>
    </w:p>
    <w:p>
      <w:pPr>
        <w:pStyle w:val="TextBody"/>
        <w:spacing w:lineRule="auto" w:line="288" w:before="0" w:after="120"/>
        <w:ind w:left="0" w:right="0" w:firstLine="405"/>
        <w:rPr/>
      </w:pPr>
      <w:r>
        <w:rPr>
          <w:rFonts w:ascii="Times New Roman;sans-serif" w:hAnsi="Times New Roman;sans-serif"/>
          <w:b w:val="false"/>
          <w:color w:val="231F20"/>
          <w:sz w:val="20"/>
        </w:rPr>
        <w:t xml:space="preserve">Prior to the election of the fair value option on January 1, 2020, bank loan participations were </w:t>
      </w:r>
      <w:r>
        <w:rPr>
          <w:rFonts w:ascii="Times New Roman;sans-serif" w:hAnsi="Times New Roman;sans-serif"/>
          <w:b w:val="false"/>
          <w:color w:val="000000"/>
          <w:sz w:val="20"/>
        </w:rPr>
        <w:t xml:space="preserve">generally stated at their outstanding unpaid principal balances net of unamortized premiums or discounts and net of any allowance for credit losses. The allowance for credit losses was maintained at a level considered adequate to absorb estimated probable credit losses. </w:t>
      </w:r>
      <w:r>
        <w:rPr>
          <w:rFonts w:ascii="Times New Roman;sans-serif" w:hAnsi="Times New Roman;sans-serif"/>
          <w:b w:val="false"/>
          <w:color w:val="231F20"/>
          <w:sz w:val="20"/>
        </w:rPr>
        <w:t xml:space="preserve">At </w:t>
      </w:r>
      <w:r>
        <w:rPr>
          <w:rFonts w:ascii="Times New Roman;sans-serif" w:hAnsi="Times New Roman;sans-serif"/>
          <w:b w:val="false"/>
          <w:color w:val="000000"/>
          <w:sz w:val="20"/>
        </w:rPr>
        <w:t>December 31, 2019, the aggregate allowance for credit losses was $7.2 million on seven impaired loans with a total carrying value of $6.9 million and unpaid principal of $14.3 million.</w:t>
      </w:r>
    </w:p>
    <w:p>
      <w:pPr>
        <w:pStyle w:val="TextBody"/>
        <w:spacing w:lineRule="auto" w:line="288" w:before="0" w:after="120"/>
        <w:ind w:left="0" w:right="0" w:firstLine="405"/>
        <w:rPr/>
      </w:pPr>
      <w:r>
        <w:rPr>
          <w:rFonts w:ascii="Times New Roman;sans-serif" w:hAnsi="Times New Roman;sans-serif"/>
          <w:b w:val="false"/>
          <w:color w:val="000000"/>
          <w:sz w:val="20"/>
        </w:rPr>
        <w:t xml:space="preserve">Fair values are measured in accordance with ASC 820, </w:t>
      </w:r>
      <w:r>
        <w:rPr>
          <w:rFonts w:ascii="Times New Roman;sans-serif" w:hAnsi="Times New Roman;sans-serif"/>
          <w:b w:val="false"/>
          <w:i/>
          <w:color w:val="000000"/>
          <w:sz w:val="20"/>
        </w:rPr>
        <w:t>Fair Value Measurements.</w:t>
      </w:r>
      <w:r>
        <w:rPr>
          <w:color w:val="000000"/>
        </w:rPr>
        <w:t> </w:t>
      </w:r>
      <w:r>
        <w:rPr>
          <w:rFonts w:ascii="Times New Roman;sans-serif" w:hAnsi="Times New Roman;sans-serif"/>
          <w:b w:val="false"/>
          <w:color w:val="000000"/>
          <w:sz w:val="20"/>
        </w:rPr>
        <w:t>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spacing w:lineRule="auto" w:line="288" w:before="0" w:after="120"/>
        <w:ind w:left="0" w:right="0" w:firstLine="405"/>
        <w:rPr/>
      </w:pPr>
      <w:r>
        <w:rPr>
          <w:rFonts w:ascii="Times New Roman;sans-serif" w:hAnsi="Times New Roman;sans-serif"/>
          <w:b w:val="false"/>
          <w:color w:val="000000"/>
          <w:sz w:val="20"/>
        </w:rPr>
        <w:t>The fair values of fixed maturity securities and equity securities have been determined using fair value prices provided by our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restricted cash equivalents (excluding those invested in funds with floating net asset values), and short-term investments approximate their carrying values due to their short-term maturity.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Company determines that only one external pricing source is appropriate or if only one external price is available, the investment is generally recorded based on such price.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an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bank loan participations for which external sources were unavailable to determine fair value at December 31, 2021 or 2020.</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review fair value prices provided by our outside investment accounting service provider or our investment managers for reasonableness by comparing the fair values provided to those provided by our investment custodian. We conduct corroborative price testing comparing prices utilized for each security to those from an alternate reputable pricing service. We also review and monitor changes in fair values and unrealized gains and losses. We obtain an understanding of the methods, models, and inputs used by our investment managers and independent pricing services, and controls are in place to validate that 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accounting services provider and investment managers that obtain fair values from independent pricing services.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0" w:after="120"/>
        <w:ind w:left="0" w:right="0" w:firstLine="405"/>
        <w:rPr/>
      </w:pPr>
      <w:r>
        <w:rPr>
          <w:rFonts w:ascii="Times New Roman;sans-serif" w:hAnsi="Times New Roman;sans-serif"/>
          <w:b w:val="false"/>
          <w:color w:val="000000"/>
          <w:sz w:val="20"/>
        </w:rPr>
        <w:t>There were no new accounting standards adopted in 2021 that materially impacted the Company's financial statements</w:t>
      </w:r>
      <w:r>
        <w:rPr>
          <w:rFonts w:ascii="Times New Roman;sans-serif" w:hAnsi="Times New Roman;sans-serif"/>
          <w:b w:val="false"/>
          <w:color w:val="231F20"/>
          <w:sz w:val="20"/>
        </w:rPr>
        <w:t>.</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Impact of the COVID-19 Pandemic</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is continually monitoring the impact that the ongoing coronavirus (COVID-19) pandemic may be having on the Company’s financial condition and results of operations. COVID-19 has adversely affected premium and/or claims volume in some lines of business we write (such as auto and workers' compensation), however, to date it has not caused a decline in gross written premiums or a material increase in total claims for the Company as a whole. While less significant in 2021, we continue to see a reduction in claims frequency in certain lines of business, such as commercial auto and many of our Core Excess and Surplus lines of business, that may be the result of the impacts of COVID-19 on the economy. If these frequency reductions only succeed in eliminating less material matters while meaningful claims persist, potential delays in claims settlement (due to COVID-19 or other reasons) may have a material impact on our ability to accurately set reserves for those lines of business. However, there was no material deterioration in calendar year 2021 reserve levels due to COVID-19 related matters. We are closely monitoring a number of risks that COVID-19 poses to the Company’s financial condition and results of operations. For a description of these risks, see “Part I-Item 1A. Risk Factors” in this Annual Report on Form 10-K.</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2021 Compared to Year Ended December 31, 2020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for the years ended December 31, 2021 and 2020:</w:t>
      </w:r>
    </w:p>
    <w:tbl>
      <w:tblPr>
        <w:tblW w:w="9139" w:type="dxa"/>
        <w:jc w:val="left"/>
        <w:tblInd w:w="0" w:type="dxa"/>
        <w:tblCellMar>
          <w:top w:w="28" w:type="dxa"/>
          <w:left w:w="28" w:type="dxa"/>
          <w:bottom w:w="28" w:type="dxa"/>
          <w:right w:w="28" w:type="dxa"/>
        </w:tblCellMar>
      </w:tblPr>
      <w:tblGrid>
        <w:gridCol w:w="1598"/>
        <w:gridCol w:w="1400"/>
        <w:gridCol w:w="1411"/>
        <w:gridCol w:w="211"/>
        <w:gridCol w:w="976"/>
        <w:gridCol w:w="271"/>
        <w:gridCol w:w="109"/>
        <w:gridCol w:w="109"/>
        <w:gridCol w:w="109"/>
        <w:gridCol w:w="211"/>
        <w:gridCol w:w="976"/>
        <w:gridCol w:w="271"/>
        <w:gridCol w:w="109"/>
        <w:gridCol w:w="109"/>
        <w:gridCol w:w="109"/>
        <w:gridCol w:w="307"/>
        <w:gridCol w:w="309"/>
        <w:gridCol w:w="544"/>
      </w:tblGrid>
      <w:tr>
        <w:trPr/>
        <w:tc>
          <w:tcPr>
            <w:tcW w:w="1598"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19.9 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retention</w:t>
            </w:r>
            <w:r>
              <w:rPr>
                <w:rFonts w:ascii="Times New Roman;sans-serif" w:hAnsi="Times New Roman;sans-serif"/>
                <w:b w:val="false"/>
                <w:color w:val="000000"/>
                <w:sz w:val="13"/>
              </w:rPr>
              <w:t>(1)</w:t>
            </w:r>
          </w:p>
        </w:tc>
        <w:tc>
          <w:tcPr>
            <w:tcW w:w="118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744,380 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647,774 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14.9 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695,594 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606,806 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14.6 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(792,352)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65.6 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(160,188)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(162,106)</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Underwriting loss </w:t>
            </w:r>
            <w:r>
              <w:rPr>
                <w:rFonts w:ascii="Times New Roman;sans-serif" w:hAnsi="Times New Roman;sans-serif"/>
                <w:b w:val="false"/>
                <w:color w:val="000000"/>
                <w:sz w:val="16"/>
              </w:rPr>
              <w:t>(2), (3)</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659.2 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(22.5)</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 (losses)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126.6 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(11.1)</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(32.5)</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Adjusted net operating (loss) income </w:t>
            </w:r>
            <w:r>
              <w:rPr>
                <w:rFonts w:ascii="Times New Roman;sans-serif" w:hAnsi="Times New Roman;sans-serif"/>
                <w:b w:val="false"/>
                <w:color w:val="000000"/>
                <w:sz w:val="16"/>
              </w:rPr>
              <w:t>(4)</w:t>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(184,245)</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21,218 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 (5)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 ex-cat (6)</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    Net retention is defined as the ratio of net written premiums to gross written premiums.</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Underwriting loss is a non-GAAP measure. See “Reconciliation of Non-GAAP Measures” for a reconciliation to (loss) income before tax and for additional information.</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(3)    Underwriting loss includes gross fee income of $22.7 million and $20.9 million for the years ended December 31, 2021 and 2020, respectively.</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(4)    Adjusted net operating (loss) income is a non-GAAP measure. See “Reconciliation of Non-GAAP Measures” for reconciliation to net (loss) income and for additional information.</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(5)    Accident year loss ratio is defined as the ratio of losses and loss adjustment expenses for the current accident year (excluding development on prior accident year reserves) to net earned premiums.</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(6)    Accident year loss ratio excluding the $5.0 million of net catastrophe losses related to Hurricane Ida in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Underwriting losses of $256.9 million and $33.8 million for the years ended December 31, 2021 and 2020, respectively, were primarily driven by net adverse reserve development of $325.8 million and $92.2 million in the respective years, including $190.7 million and $59.4 million, respectively, of net adverse reserve development from the Excess and Surplus Lines segment almost entirely related to a previous commercial auto account, and $137.6 million and $37.8 million, respectively, of net adverse reserve development from the Casualty Reinsurance segment. Refer to the discussion of segment underwriting results below for additional details on this adverse reserve development. Underwriting results in the current year were also negatively impacted by $8.1 million of reinstatement premium on certain casualty reinsurance treaties and $5.0 million of net catastrophe losses related to Hurricane Ida in the third quarter of 2021, both in the Excess and Surplus Lines segment. The $8.1 million of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reinstatement premium, including $6.4 million triggered by one claim on a 2019 excess of loss treaty, reduced net written and net earned premium in the current year, and increased the underwriting loss.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results for the years ended December 31, 2021 and 2020 also include certain non-operating items that are significant to the Company. These items (on a pre-tax basis) include:</w:t>
      </w:r>
    </w:p>
    <w:p>
      <w:pPr>
        <w:pStyle w:val="TextBody"/>
        <w:spacing w:lineRule="auto" w:line="276" w:before="0" w:after="120"/>
        <w:ind w:left="0" w:right="0" w:hanging="360"/>
        <w:rPr/>
      </w:pPr>
      <w:r>
        <w:rPr>
          <w:color w:val="000000"/>
        </w:rPr>
        <w:t>•    </w:t>
      </w:r>
      <w:r>
        <w:rPr>
          <w:rFonts w:ascii="Times New Roman;sans-serif" w:hAnsi="Times New Roman;sans-serif"/>
          <w:b w:val="false"/>
          <w:color w:val="000000"/>
          <w:sz w:val="20"/>
        </w:rPr>
        <w:t xml:space="preserve">Net realized and unrealized investment gains (losses) of $15.6 million and $(16.0) million for the years ended December 31, 2021 and 2020, respectively, which included net unrealized gains of $12.0 million and $1.1 million related to changes in unrealized gains and losses in the respective years for equity securities and bank loan participations (pursuant to </w:t>
      </w:r>
      <w:r>
        <w:rPr>
          <w:rFonts w:ascii="Times New Roman;sans-serif" w:hAnsi="Times New Roman;sans-serif"/>
          <w:b w:val="false"/>
          <w:color w:val="231F20"/>
          <w:sz w:val="20"/>
        </w:rPr>
        <w:t>fair value option election effective January 1, 2020).</w:t>
      </w:r>
      <w:r>
        <w:rPr>
          <w:color w:val="000000"/>
        </w:rPr>
        <w:t xml:space="preserve"> </w:t>
      </w:r>
      <w:r>
        <w:rPr>
          <w:rFonts w:ascii="Times New Roman;sans-serif" w:hAnsi="Times New Roman;sans-serif"/>
          <w:b w:val="false"/>
          <w:color w:val="000000"/>
          <w:sz w:val="20"/>
        </w:rPr>
        <w:t>See “- Investing Results" for more information on these realized and unrealized investment losses.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Other expenses were $2.2 million and $2.0 million for the years ended December 31, 2021 and 2020, respectively, and include legal and other professional fees related to the Company's May 2021 common share offering, certain legal and professional consulting fees related to various strategic initiatives, and employee severance costs.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net operating (loss) income as net (loss) income excluding net realized and unrealized gains and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(loss) income as an internal performance measure in the management of our operations because we believe it gives our management and other users of our financial information useful insight into our results of operations and our underlying business performance. Adjusted net operating (loss) income should not be viewed as a substitute for net (loss) income calculated in accordance with GAAP, and our definition of adjusted net operating (loss) income may not be comparable to that of other companies.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(loss) income before taxes and net (loss) income for the years ended December 31, 2021 and 2020 reconcile to our adjusted net operating (loss) income as follows:</w:t>
      </w:r>
    </w:p>
    <w:tbl>
      <w:tblPr>
        <w:tblW w:w="10205" w:type="dxa"/>
        <w:jc w:val="left"/>
        <w:tblInd w:w="0" w:type="dxa"/>
        <w:tblCellMar>
          <w:top w:w="28" w:type="dxa"/>
          <w:left w:w="28" w:type="dxa"/>
          <w:bottom w:w="28" w:type="dxa"/>
          <w:right w:w="28" w:type="dxa"/>
        </w:tblCellMar>
      </w:tblPr>
      <w:tblGrid>
        <w:gridCol w:w="1689"/>
        <w:gridCol w:w="1478"/>
        <w:gridCol w:w="1489"/>
        <w:gridCol w:w="211"/>
        <w:gridCol w:w="899"/>
        <w:gridCol w:w="109"/>
        <w:gridCol w:w="109"/>
        <w:gridCol w:w="109"/>
        <w:gridCol w:w="109"/>
        <w:gridCol w:w="211"/>
        <w:gridCol w:w="899"/>
        <w:gridCol w:w="109"/>
        <w:gridCol w:w="109"/>
        <w:gridCol w:w="109"/>
        <w:gridCol w:w="109"/>
        <w:gridCol w:w="211"/>
        <w:gridCol w:w="721"/>
        <w:gridCol w:w="109"/>
        <w:gridCol w:w="109"/>
        <w:gridCol w:w="109"/>
        <w:gridCol w:w="109"/>
        <w:gridCol w:w="211"/>
        <w:gridCol w:w="721"/>
        <w:gridCol w:w="157"/>
      </w:tblGrid>
      <w:tr>
        <w:trPr/>
        <w:tc>
          <w:tcPr>
            <w:tcW w:w="1689"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b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4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as reported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Combined Ratios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combined ratio is a measure of underwriting performance and represents the relationship of incurred losses, loss adjustment expenses and other operating expenses to net earned premiums. Our combined ratio for the year ended December 31, 2021 was 136.9%. A combined ratio of less than 100% indicates an underwriting profit, while a combined ratio greater than 100% reflects an underwriting loss. In 2021, the combined ratio included $325.8 million, or 46.8 percentage points, of net adverse reserve development on prior accident years, including $190.7 million of net adverse reserve development from the Excess and Surplus Lines segment, $2.5 million of net favorable reserve development from the Specialty Admitted Insurance segment, and $137.6 million of net adverse reserve development from the Casualty Reinsurance segment. The combined ratio for the current year was also negatively impacted by the aforementioned $8.1 million (1.6 points) of reinstatement premium related to casualty treaties and $5.0 million (0.7 points) of net catastrophe losses related to Hurricane Ida in the third quarter of 2021, both in the Excess and Surplus Lines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combined ratio for the year ended December 31, 2020 was 105.6%. It included $92.2 million, or 15.2 percentage points, of net adverse reserve development on prior accident years, including $59.4 million of net adverse reserve development from the Excess and Surplus Lines segment, $5.0 million of net favorable development from the Specialty Admitted Insurance segment, and $37.8 million of net adverse reserve development from the Casualty Reinsurance segment.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of the Internal Revenue Code of 1986, as amended, effective January 1, 2018. JRG Re also provides aggregate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Expense Ratios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 ratio was 23.0% and 26.7% for the years ended December 31, 2021 and 2020, respectively. The decrease reflects a 16.9% increase in the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69.9% of consolidated net earned premiums for the year ended December 31, 2021 (68.4% for the year ended December 31, 2020). Gross fee income for the Company increased from $20.9 million for the year ended December 31, 2020 to $22.7 million for the year ended December 31, 2021 driven by $3.4 million higher fee income in the Specialty Admitted Insurance segment due to new fronting programs and growth in existing fronting programs, and partially offset by the Rasier termination which resulted in a $1.6 million decline of gross fee income in the Excess and Surplus Lines segment. In the Casualty Reinsurance segment, our expense ratio declined from 25.6% for the year ended December 31, 2020 to 23.6% for the year ended December 31, 2021. The Casualty Reinsurance segment typically structures its reinsurance treaties with loss mitigation features including sliding scale ceding commissions. Net adverse reserve development on treaties with such features reduced our commissions in the respective years by $11.8 million or 8.8 percentage points and $10.6 million or 7.9 percentage points. The Casualty Reinsurance expense ratio was also favorably impacted by improved treaty terms and business mix in 2021.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Premiums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Insurance premiums are earned ratably over the terms of our insurance policies, generally twelve months. Reinsurance premiums assumed are earned over the terms of the underlying policies or reinsurance contracts. Contracts and policies written on a “losses occurring” basis cover claims that may occur during the term of the contract or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 in premium volume by component and business segment:</w:t>
      </w:r>
    </w:p>
    <w:tbl>
      <w:tblPr>
        <w:tblW w:w="6821" w:type="dxa"/>
        <w:jc w:val="left"/>
        <w:tblInd w:w="0" w:type="dxa"/>
        <w:tblCellMar>
          <w:top w:w="28" w:type="dxa"/>
          <w:left w:w="28" w:type="dxa"/>
          <w:bottom w:w="28" w:type="dxa"/>
          <w:right w:w="28" w:type="dxa"/>
        </w:tblCellMar>
      </w:tblPr>
      <w:tblGrid>
        <w:gridCol w:w="913"/>
        <w:gridCol w:w="800"/>
        <w:gridCol w:w="807"/>
        <w:gridCol w:w="211"/>
        <w:gridCol w:w="976"/>
        <w:gridCol w:w="109"/>
        <w:gridCol w:w="109"/>
        <w:gridCol w:w="109"/>
        <w:gridCol w:w="109"/>
        <w:gridCol w:w="211"/>
        <w:gridCol w:w="976"/>
        <w:gridCol w:w="109"/>
        <w:gridCol w:w="109"/>
        <w:gridCol w:w="109"/>
        <w:gridCol w:w="109"/>
        <w:gridCol w:w="255"/>
        <w:gridCol w:w="256"/>
        <w:gridCol w:w="544"/>
      </w:tblGrid>
      <w:tr>
        <w:trPr/>
        <w:tc>
          <w:tcPr>
            <w:tcW w:w="913"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19.2 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22.1 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19.9 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11.3 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40.2 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15.7 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14.9 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17.1 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31.1 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14.6 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Gross written premiums for the Excess and Surplus Lines segment (which represents 55.3% of our consolidated gross written premiums in 2021) increased 19.2% from the prior year. Renewal rates for Core E&amp;S lines (excluding commercial auto) were up 13.3% compared to 2020 and although policy submissions and quotes were relatively consistent year over year, the strong market conditions led to 13.2% more policies bound in 2021 than in 2020. The change in gross written premiums was notable in several divisions as shown below:</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8021" w:type="dxa"/>
        <w:jc w:val="center"/>
        <w:tblInd w:w="0" w:type="dxa"/>
        <w:tblCellMar>
          <w:top w:w="28" w:type="dxa"/>
          <w:left w:w="28" w:type="dxa"/>
          <w:bottom w:w="28" w:type="dxa"/>
          <w:right w:w="28" w:type="dxa"/>
        </w:tblCellMar>
      </w:tblPr>
      <w:tblGrid>
        <w:gridCol w:w="1453"/>
        <w:gridCol w:w="1282"/>
        <w:gridCol w:w="1285"/>
        <w:gridCol w:w="211"/>
        <w:gridCol w:w="826"/>
        <w:gridCol w:w="109"/>
        <w:gridCol w:w="109"/>
        <w:gridCol w:w="109"/>
        <w:gridCol w:w="109"/>
        <w:gridCol w:w="211"/>
        <w:gridCol w:w="826"/>
        <w:gridCol w:w="109"/>
        <w:gridCol w:w="109"/>
        <w:gridCol w:w="109"/>
        <w:gridCol w:w="109"/>
        <w:gridCol w:w="255"/>
        <w:gridCol w:w="256"/>
        <w:gridCol w:w="544"/>
      </w:tblGrid>
      <w:tr>
        <w:trPr/>
        <w:tc>
          <w:tcPr>
            <w:tcW w:w="1453"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01" w:type="dxa"/>
            <w:gridSpan w:val="15"/>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33.8 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12.1 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&amp; Contractors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13.7 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26.5 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Health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30.7 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31.5 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Core E&amp;S divisions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E&amp;S divisions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19.4 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gross written premium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19.2 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components of gross written premiums for the Specialty Admitted Insurance segment (which represents 32.6% of our 2021 consolidated gross written premiums) are as follows:</w:t>
      </w:r>
    </w:p>
    <w:tbl>
      <w:tblPr>
        <w:tblW w:w="8080" w:type="dxa"/>
        <w:jc w:val="left"/>
        <w:tblInd w:w="0" w:type="dxa"/>
        <w:tblCellMar>
          <w:top w:w="28" w:type="dxa"/>
          <w:left w:w="28" w:type="dxa"/>
          <w:bottom w:w="28" w:type="dxa"/>
          <w:right w:w="28" w:type="dxa"/>
        </w:tblCellMar>
      </w:tblPr>
      <w:tblGrid>
        <w:gridCol w:w="1448"/>
        <w:gridCol w:w="1276"/>
        <w:gridCol w:w="1280"/>
        <w:gridCol w:w="211"/>
        <w:gridCol w:w="826"/>
        <w:gridCol w:w="109"/>
        <w:gridCol w:w="109"/>
        <w:gridCol w:w="109"/>
        <w:gridCol w:w="109"/>
        <w:gridCol w:w="211"/>
        <w:gridCol w:w="826"/>
        <w:gridCol w:w="109"/>
        <w:gridCol w:w="109"/>
        <w:gridCol w:w="109"/>
        <w:gridCol w:w="109"/>
        <w:gridCol w:w="293"/>
        <w:gridCol w:w="293"/>
        <w:gridCol w:w="544"/>
      </w:tblGrid>
      <w:tr>
        <w:trPr/>
        <w:tc>
          <w:tcPr>
            <w:tcW w:w="144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risk workers’ compensation premium</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(10.2)</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premium</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25.9 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gross written premium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20.3 </w:t>
            </w:r>
          </w:p>
        </w:tc>
        <w:tc>
          <w:tcPr>
            <w:tcW w:w="544" w:type="dxa"/>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fronting business (excluding our largest fronting relationship) saw growth related to new fronting relationships added since January 1, 2020 that generated $105.2 million and $35.0 million of gross written premium in the years ended December 31, 2021 and 2020, respectively. Our largest fronted relationship, Atlas General Insurance Services, produced $124.1 million of gross written premium for the year ended December 31, 2021 (down from $125.5 million for the year ended December 31, 2020), representing 25.2% of the segment's gross written premium for the year ended December 31, 2021 down from 30.7% for the year ended December 31, 2020. The decrease in individual risk workers' compensation gross written premiums reflects the Company's decision to exit certain northeastern states.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Gross written premiums for the Casualty Reinsurance segment (which represents 12.1% of our consolidated gross written premiums in 2021) increased 22.1% from the prior year. The increase in gross written premiums reflects both new business writings of $26.2 million and higher renewals of $38.9 million largely due to higher subject premium on several treaties, and partially offset by non-renewed treaties with $29.6 million of premium including treaties the Company elected to exit. We rarely write stand-alone property reinsurance. When treaties that include property exposure are written, we utilize property occurrence caps, inuring reinsurance protection and low individual risk limits to minimize exposure.</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Net Retention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ratio of net written premiums to gross written premiums is referred to as our net premium retention. Our net premium retention by segment is as follows:</w:t>
      </w:r>
    </w:p>
    <w:tbl>
      <w:tblPr>
        <w:tblW w:w="4920" w:type="dxa"/>
        <w:jc w:val="left"/>
        <w:tblInd w:w="0" w:type="dxa"/>
        <w:tblCellMar>
          <w:top w:w="28" w:type="dxa"/>
          <w:left w:w="28" w:type="dxa"/>
          <w:bottom w:w="28" w:type="dxa"/>
          <w:right w:w="28" w:type="dxa"/>
        </w:tblCellMar>
      </w:tblPr>
      <w:tblGrid>
        <w:gridCol w:w="911"/>
        <w:gridCol w:w="801"/>
        <w:gridCol w:w="808"/>
        <w:gridCol w:w="255"/>
        <w:gridCol w:w="256"/>
        <w:gridCol w:w="409"/>
        <w:gridCol w:w="164"/>
        <w:gridCol w:w="164"/>
        <w:gridCol w:w="164"/>
        <w:gridCol w:w="255"/>
        <w:gridCol w:w="256"/>
        <w:gridCol w:w="477"/>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4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Excess and Surplus Lines segment decreased for the year ended December 31, 2021 as compared to the prior year primarily due to growth in written premium in the Excess Casualty underwriting division, which has a higher percentage of ceded premium than our other divisions. The $8.1 million of reinstatement premium in the current year reduced net written premium and the net premium retention.</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premium retention for the Specialty Admitted Insurance segment increased from 2020 to 2021 driven by the fronting business and higher retentions on some of the newer relationships. The net retention on the segment’s fronting business was 15.7% and 11.9% in the years ended December 31, 2021 and 2020, respectively. The net retention on the workers’ compensation business was 27.3% and 29.3% for the years ended December 31, 2021 and 2020, respectively.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premium retention for the Casualty Reinsurance segment for the years ended December 31, 2021 and 2020, respectively, reflects the impact of one retrocessional treaty/fronting arrangement under which 100% of the premiums are ceded.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Underwriting Results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our combined ratios by segment:</w:t>
      </w:r>
    </w:p>
    <w:tbl>
      <w:tblPr>
        <w:tblW w:w="5130" w:type="dxa"/>
        <w:jc w:val="left"/>
        <w:tblInd w:w="0" w:type="dxa"/>
        <w:tblCellMar>
          <w:top w:w="28" w:type="dxa"/>
          <w:left w:w="28" w:type="dxa"/>
          <w:bottom w:w="28" w:type="dxa"/>
          <w:right w:w="28" w:type="dxa"/>
        </w:tblCellMar>
      </w:tblPr>
      <w:tblGrid>
        <w:gridCol w:w="911"/>
        <w:gridCol w:w="801"/>
        <w:gridCol w:w="808"/>
        <w:gridCol w:w="308"/>
        <w:gridCol w:w="308"/>
        <w:gridCol w:w="409"/>
        <w:gridCol w:w="164"/>
        <w:gridCol w:w="164"/>
        <w:gridCol w:w="164"/>
        <w:gridCol w:w="307"/>
        <w:gridCol w:w="309"/>
        <w:gridCol w:w="477"/>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4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Excess and Surplus Lines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Results for the Excess and Surplus Lines segment are as follows:</w:t>
      </w:r>
    </w:p>
    <w:tbl>
      <w:tblPr>
        <w:tblW w:w="7490" w:type="dxa"/>
        <w:jc w:val="left"/>
        <w:tblInd w:w="0" w:type="dxa"/>
        <w:tblCellMar>
          <w:top w:w="28" w:type="dxa"/>
          <w:left w:w="28" w:type="dxa"/>
          <w:bottom w:w="28" w:type="dxa"/>
          <w:right w:w="28" w:type="dxa"/>
        </w:tblCellMar>
      </w:tblPr>
      <w:tblGrid>
        <w:gridCol w:w="1120"/>
        <w:gridCol w:w="981"/>
        <w:gridCol w:w="989"/>
        <w:gridCol w:w="211"/>
        <w:gridCol w:w="901"/>
        <w:gridCol w:w="271"/>
        <w:gridCol w:w="109"/>
        <w:gridCol w:w="109"/>
        <w:gridCol w:w="109"/>
        <w:gridCol w:w="211"/>
        <w:gridCol w:w="826"/>
        <w:gridCol w:w="271"/>
        <w:gridCol w:w="109"/>
        <w:gridCol w:w="109"/>
        <w:gridCol w:w="109"/>
        <w:gridCol w:w="255"/>
        <w:gridCol w:w="256"/>
        <w:gridCol w:w="544"/>
      </w:tblGrid>
      <w:tr>
        <w:trPr/>
        <w:tc>
          <w:tcPr>
            <w:tcW w:w="112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19.2 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11.3 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415,168 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17.1 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(516,299)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(318,467)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62.1 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4.9 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Underwriting (loss) profit</w:t>
            </w:r>
            <w:r>
              <w:rPr>
                <w:rFonts w:ascii="Times New Roman;sans-serif" w:hAnsi="Times New Roman;sans-serif"/>
                <w:b w:val="false"/>
                <w:color w:val="000000"/>
                <w:sz w:val="13"/>
              </w:rPr>
              <w:t>(1), (2)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Accident year loss ratio ex-cat </w:t>
            </w:r>
            <w:r>
              <w:rPr>
                <w:rFonts w:ascii="Times New Roman;sans-serif" w:hAnsi="Times New Roman;sans-serif"/>
                <w:b w:val="false"/>
                <w:i/>
                <w:color w:val="000000"/>
                <w:sz w:val="16"/>
              </w:rPr>
              <w:t>(3)</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    Underwriting (Loss) Profit is a non-GAAP Measure. See “Reconciliation of Non-GAAP Measures” for a reconciliation to (loss) income before tax and for additional information.</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Underwriting results include gross fee income of $0.0 million and $1.6 million for the years ended December 31, 2021 and 2020, respectively.</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(3)    Accident year loss ratio excluding the $5.0 million of net catastrophe losses related to Hurricane Ida in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loss ratios of 106.2% and 76.7% for the years ended December 31, 2021 and 2020 include $190.7 million and $59.4 million (39.2 and 14.3 percentage points, respectively) of net adverse development in our loss estimates for prior accident years. The net adverse reserve development for the years ended December 31, 2021 and 2020 included $200.1 million and $91.4 million, respectively, of adverse development on commercial auto business that was almost entirely related to Rasier, a previously canceled account that has been in runoff since 2019. The net adverse reserve development for commercial auto was partially offset by net favorable development on prior accident years in our Core E&amp;S divisions of $9.4 million and $32.0 million for the years ended December 31, 2021 and 2020, respectively. The current year loss ratio also includes $5.0 million (1.0 points) of net catastrophe losses related to Hurricane Ida in the third quarter of 2021. The prior year loss ratio was also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favorably impacted by a reduction of the 2020 accident year loss ratio for Core E&amp;S due to a significant decline in claims frequency experienced in the year.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2021, the reported losses on the terminated Rasier account meaningfully exceeded our expectations.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($169.9 million of net adverse development was recorded in the first quarter).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this account.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agreement (the “LPT Agreement”)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fully collateralized, not subject to an aggregate limit, and subject to certain exclusions. A pre-tax loss of $29.6 million was recognized as adverse loss and loss adjustment reserve development in the Excess and Surplus Lines segment for the third quarter of 2021 associated with the loss portfolio transfer, of which $15.8 million was related to claims handling costs. The $15.8 million claims handling costs constitutes James River’s contribution to the fees of an administrator appointed by James River and Aleka to handle the claims on the Rasier commercial auto policies for the remaining life of those claims, and unallocated loss adjustment expenses required to facilitate the transition of the claims to the administrator.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expense ratio for this segment decreased from 21.0% in 2020 to 18.8% for 2021 driven by a 16.9% increase in Core E&amp;S net earned premiums including in lines that have meaningful ceding commissions. Gross fee income related to the former Rasier business contributed to a reduction in the expense ratio of 0.4 percentage points for the year ended December 31, 2020 (none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Underwriting results in the current year were also negatively impacted by $8.1 million of reinstatement premium (2.1 points of combined ratio), including $6.4 million triggered by one claim on a 2019 excess of loss treaty. The reinstatement premium reduced net written and net earned premium in the current year, and increased the underwriting loss.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 a result of the items discussed above, the underwriting results of the Excess and Surplus Lines segment declined from an underwriting profit of $9.8 million for the year ended December 31, 2020 to an underwriting loss of $121.5 million for the year ended December 31, 2021.</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Specialty Admitted Insurance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Results for the Specialty Admitted Insurance segment are as follows:</w:t>
      </w:r>
    </w:p>
    <w:tbl>
      <w:tblPr>
        <w:tblW w:w="7520" w:type="dxa"/>
        <w:jc w:val="left"/>
        <w:tblInd w:w="0" w:type="dxa"/>
        <w:tblCellMar>
          <w:top w:w="28" w:type="dxa"/>
          <w:left w:w="28" w:type="dxa"/>
          <w:bottom w:w="28" w:type="dxa"/>
          <w:right w:w="28" w:type="dxa"/>
        </w:tblCellMar>
      </w:tblPr>
      <w:tblGrid>
        <w:gridCol w:w="1120"/>
        <w:gridCol w:w="981"/>
        <w:gridCol w:w="989"/>
        <w:gridCol w:w="211"/>
        <w:gridCol w:w="826"/>
        <w:gridCol w:w="271"/>
        <w:gridCol w:w="109"/>
        <w:gridCol w:w="109"/>
        <w:gridCol w:w="109"/>
        <w:gridCol w:w="211"/>
        <w:gridCol w:w="826"/>
        <w:gridCol w:w="271"/>
        <w:gridCol w:w="109"/>
        <w:gridCol w:w="109"/>
        <w:gridCol w:w="109"/>
        <w:gridCol w:w="306"/>
        <w:gridCol w:w="310"/>
        <w:gridCol w:w="544"/>
      </w:tblGrid>
      <w:tr>
        <w:trPr/>
        <w:tc>
          <w:tcPr>
            <w:tcW w:w="112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83,935 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59,884 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40.2 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31.1 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(55,875)</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33.3 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(13.7)</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Underwriting profit</w:t>
            </w:r>
            <w:r>
              <w:rPr>
                <w:rFonts w:ascii="Times New Roman;sans-serif" w:hAnsi="Times New Roman;sans-serif"/>
                <w:b w:val="false"/>
                <w:color w:val="000000"/>
                <w:sz w:val="13"/>
              </w:rPr>
              <w:t>(1), (2)</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131.0 </w:t>
            </w:r>
          </w:p>
        </w:tc>
        <w:tc>
          <w:tcPr>
            <w:tcW w:w="544" w:type="dxa"/>
            <w:tcBorders>
              <w:top w:val="single" w:sz="8" w:space="0" w:color="CCEEFF"/>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pPr>
      <w:r>
        <w:rPr>
          <w:rFonts w:ascii="Times New Roman;sans-serif" w:hAnsi="Times New Roman;sans-serif"/>
          <w:b w:val="false"/>
          <w:color w:val="000000"/>
          <w:sz w:val="20"/>
        </w:rPr>
        <w:t>(1)    </w:t>
      </w:r>
      <w:r>
        <w:rPr>
          <w:rFonts w:ascii="Times New Roman;sans-serif" w:hAnsi="Times New Roman;sans-serif"/>
          <w:b w:val="false"/>
          <w:i/>
          <w:color w:val="000000"/>
          <w:sz w:val="20"/>
        </w:rPr>
        <w:t>Underwriting Profit is a non-GAAP Measure. See “Reconciliation of Non-GAAP Measures” for a reconciliation to (loss) income before tax and for additional information.</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Underwriting profit includes fee income of $22.7 million and $19.3 million for the years ended December 31, 2021 and 2020,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loss ratios of 74.1% and 72.9% for the years ended December 31, 2021 and 2020 include $2.5 million and $5.0 million (3.3 and 8.7 percentage points, respectively) of net favorable development on prior accident years. The favorable development in both 2021 and 2020 reflects the fact that actual loss emergence of the workers’ compensation book for prior accident years has been better than expected.</w:t>
      </w:r>
    </w:p>
    <w:p>
      <w:pPr>
        <w:pStyle w:val="TextBody"/>
        <w:spacing w:lineRule="auto" w:line="288" w:before="0" w:after="120"/>
        <w:ind w:left="0" w:right="0" w:firstLine="405"/>
        <w:rPr/>
      </w:pPr>
      <w:r>
        <w:rPr>
          <w:rFonts w:ascii="Times New Roman;sans-serif" w:hAnsi="Times New Roman;sans-serif"/>
          <w:b w:val="false"/>
          <w:color w:val="000000"/>
          <w:sz w:val="20"/>
        </w:rPr>
        <w:t>The expense ratio of the Specialty Admitted Insurance segment was 13.1% for the year ended</w:t>
      </w:r>
      <w:r>
        <w:rPr>
          <w:color w:val="000000"/>
        </w:rPr>
        <w:t xml:space="preserve"> </w:t>
      </w:r>
      <w:r>
        <w:rPr>
          <w:rFonts w:ascii="Times New Roman;sans-serif" w:hAnsi="Times New Roman;sans-serif"/>
          <w:b w:val="false"/>
          <w:color w:val="000000"/>
          <w:sz w:val="20"/>
        </w:rPr>
        <w:t>December 31, 2021 compared to the prior year ratio of 19.8%. The improvement was primarily driven by the growth in our fronting business, which led to 31.1% growth in net earned premiums for the segment and a 17.4% increase in fee income. In addition, the segment benefited from current year adjustments to premium taxes and assessments which together represented a 3.3 percentage point decrease in the segment expense ratio for the current year. In the prior year, underwriting results were favorably impacted by a $1.0 million adjustment to fee income on one fronted program (a reduction in commission expense, representing a 1.8 point reduction in the expense ratio).</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 a result of the items discussed above, the underwriting profit of the Specialty Admitted Insurance segment increased $5.5 million or 131.0%, from $4.2 million for the year ended December 31, 2020 to $9.7 million for the year ended December 31, 2021.</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Casualty Reinsurance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Results for the Casualty Reinsurance segment are as follows:</w:t>
      </w:r>
    </w:p>
    <w:tbl>
      <w:tblPr>
        <w:tblW w:w="7595" w:type="dxa"/>
        <w:jc w:val="left"/>
        <w:tblInd w:w="0" w:type="dxa"/>
        <w:tblCellMar>
          <w:top w:w="28" w:type="dxa"/>
          <w:left w:w="28" w:type="dxa"/>
          <w:bottom w:w="28" w:type="dxa"/>
          <w:right w:w="28" w:type="dxa"/>
        </w:tblCellMar>
      </w:tblPr>
      <w:tblGrid>
        <w:gridCol w:w="1120"/>
        <w:gridCol w:w="981"/>
        <w:gridCol w:w="989"/>
        <w:gridCol w:w="211"/>
        <w:gridCol w:w="901"/>
        <w:gridCol w:w="271"/>
        <w:gridCol w:w="109"/>
        <w:gridCol w:w="109"/>
        <w:gridCol w:w="109"/>
        <w:gridCol w:w="211"/>
        <w:gridCol w:w="826"/>
        <w:gridCol w:w="271"/>
        <w:gridCol w:w="109"/>
        <w:gridCol w:w="109"/>
        <w:gridCol w:w="109"/>
        <w:gridCol w:w="307"/>
        <w:gridCol w:w="309"/>
        <w:gridCol w:w="544"/>
      </w:tblGrid>
      <w:tr>
        <w:trPr/>
        <w:tc>
          <w:tcPr>
            <w:tcW w:w="112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22.1 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159,195 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137,544 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15.7 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(118,150)</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86.4 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(8.1)</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Underwriting loss</w:t>
            </w:r>
            <w:r>
              <w:rPr>
                <w:rFonts w:ascii="Times New Roman;sans-serif" w:hAnsi="Times New Roman;sans-serif"/>
                <w:b w:val="false"/>
                <w:color w:val="000000"/>
                <w:sz w:val="13"/>
              </w:rPr>
              <w:t>(1)</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(117,526)</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(18,364)</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540.0 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pPr>
      <w:r>
        <w:rPr>
          <w:rFonts w:ascii="Times New Roman;sans-serif" w:hAnsi="Times New Roman;sans-serif"/>
          <w:b w:val="false"/>
          <w:color w:val="000000"/>
          <w:sz w:val="20"/>
        </w:rPr>
        <w:t>(1)    </w:t>
      </w:r>
      <w:r>
        <w:rPr>
          <w:rFonts w:ascii="Times New Roman;sans-serif" w:hAnsi="Times New Roman;sans-serif"/>
          <w:b w:val="false"/>
          <w:i/>
          <w:color w:val="000000"/>
          <w:sz w:val="20"/>
        </w:rPr>
        <w:t>Underwriting Loss is a non-GAAP Measure. See “Reconciliation of Non-GAAP Measures” for a reconciliation to (loss) income before tax and for additional information.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Casualty Reinsurance segment focuses on lower volatility, proportional reinsurance which requires larger ceding commissions resulting in a higher commission expense than in our other segments.</w:t>
      </w:r>
    </w:p>
    <w:p>
      <w:pPr>
        <w:pStyle w:val="TextBody"/>
        <w:spacing w:lineRule="auto" w:line="288" w:before="0" w:after="120"/>
        <w:ind w:left="0" w:right="0" w:firstLine="405"/>
        <w:rPr/>
      </w:pPr>
      <w:r>
        <w:rPr>
          <w:rFonts w:ascii="Times New Roman;sans-serif" w:hAnsi="Times New Roman;sans-serif"/>
          <w:b w:val="false"/>
          <w:color w:val="000000"/>
          <w:sz w:val="20"/>
        </w:rPr>
        <w:t>The loss ratio of 164.0% for the year ended</w:t>
      </w:r>
      <w:r>
        <w:rPr>
          <w:color w:val="000000"/>
        </w:rPr>
        <w:t xml:space="preserve"> </w:t>
      </w:r>
      <w:r>
        <w:rPr>
          <w:rFonts w:ascii="Times New Roman;sans-serif" w:hAnsi="Times New Roman;sans-serif"/>
          <w:b w:val="false"/>
          <w:color w:val="000000"/>
          <w:sz w:val="20"/>
        </w:rPr>
        <w:t xml:space="preserve">December 31, 2021 includes $137.6 million, or 102.5 percentage points, of net adverse development in our loss estimates for prior underwriting years. Actual reported and paid losses in the Casualty Reinsurance segment significantly exceeded expectations in 2021, particularly in the fourth quarter of 2021, causing us to refine some of the assumptions used to determine our best estimate of ultimate losses for this segment. Specifically, we responded to this highly elevated loss emergence by making significant adjustments to our assumed tail factors, other development factors, initial expected loss ratios, and weights given to various actuarial methods. In particular, we gave significantly more weight to incurred loss development methods and Bornhuetter – Ferguson incurred loss development methods than had been done previously. These actuarial refinements resulted in material deterioration in ultimate loss selections for underwriting years 2014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pPr>
      <w:r>
        <w:rPr>
          <w:rFonts w:ascii="Times New Roman;sans-serif" w:hAnsi="Times New Roman;sans-serif"/>
          <w:b w:val="false"/>
          <w:color w:val="000000"/>
          <w:sz w:val="20"/>
        </w:rPr>
        <w:t>through 2018. The loss ratio of 88.1% for the year ended</w:t>
      </w:r>
      <w:r>
        <w:rPr>
          <w:color w:val="000000"/>
        </w:rPr>
        <w:t xml:space="preserve"> </w:t>
      </w:r>
      <w:r>
        <w:rPr>
          <w:rFonts w:ascii="Times New Roman;sans-serif" w:hAnsi="Times New Roman;sans-serif"/>
          <w:b w:val="false"/>
          <w:color w:val="000000"/>
          <w:sz w:val="20"/>
        </w:rPr>
        <w:t>December 31, 2020 includes $37.8 million, or 28.2 percentage points, of net adverse development in our loss estimates for prior accident years. The 2020 net adverse development was primarily in accident years 2014 through 2018 and was mainly in the general liability and commercial auto lines of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expense ratio of the Casualty Reinsurance segment declined from 25.6% for the year ended December 31, 2020 to 23.6% for the year ended December 31, 2021. The Casualty Reinsurance segment typically structures its reinsurance treaties with loss mitigation features including sliding scale ceding commissions. Net adverse reserve development on treaties with such features reduced our commissions by $11.8 million and $10.6 million (8.8 and 7.9 percentage points, respectively) for the years ended December 31, 2021 and 2020. The Casualty Reinsurance expense ratio was also favorably impacted by improved treaty terms and business mix in 2021.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 a result of the items discussed above, the Casualty Reinsurance segment had an underwriting loss of $117.5 million for the year ended December 31, 2021 compared to an underwriting loss of $18.4 million for the year ended December 31, 2020.</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Other Operating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addition to the underwriting, acquisition and insurance expenses of the Excess and Surplus Lines segment, the Specialty Admitted Insurance segment and the Casualty Reinsurance segment discussed previously, other operating expenses for the Company also includes the expenses of the Corporate and Other segment.</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including equity compensation expense for the full Company.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and 2020, the total operating expenses of the Corporate and Other segment were $27.6 million and $29.4 million, representing a 6.1% decrease from the prior year due primarily to lower compensation expenses including bonuses and stock compensation.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Investing Results</w:t>
      </w:r>
    </w:p>
    <w:p>
      <w:pPr>
        <w:pStyle w:val="TextBody"/>
        <w:spacing w:lineRule="auto" w:line="288" w:before="0" w:after="120"/>
        <w:ind w:left="0" w:right="0" w:firstLine="405"/>
        <w:rPr/>
      </w:pPr>
      <w:r>
        <w:rPr>
          <w:rFonts w:ascii="Times New Roman;sans-serif" w:hAnsi="Times New Roman;sans-serif"/>
          <w:b w:val="false"/>
          <w:color w:val="000000"/>
          <w:sz w:val="20"/>
        </w:rPr>
        <w:t>Net investment income was $56.9 million for the year ended December 31, 2021 compared to $73.4 million in the prior year. Excluding private investments, our net investment income for the year ended December 31, 2021, decreased 14.8% from the prior year, principally due to lower investment income from restricted cash equivalents, bank loan participations (resulting from a smaller portfolio following sales in the second quarter of the prior year to reduce exposure to this asset class) and lower investment yields. The Company's private investments generated income of $2.2 million and $9.2 million for the years ended</w:t>
      </w:r>
      <w:r>
        <w:rPr>
          <w:color w:val="000000"/>
        </w:rPr>
        <w:t xml:space="preserve"> </w:t>
      </w:r>
      <w:r>
        <w:rPr>
          <w:rFonts w:ascii="Times New Roman;sans-serif" w:hAnsi="Times New Roman;sans-serif"/>
          <w:b w:val="false"/>
          <w:color w:val="000000"/>
          <w:sz w:val="20"/>
        </w:rPr>
        <w:t xml:space="preserve">December 31, 2021 and 2020, respectively. Income from our renewable energy portfolio in 2020 benefited from a $5.3 million gain on one maturing investment.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Major categories of the Company’s net investment income are summarized as follows:</w:t>
      </w:r>
    </w:p>
    <w:tbl>
      <w:tblPr>
        <w:tblW w:w="8934" w:type="dxa"/>
        <w:jc w:val="left"/>
        <w:tblInd w:w="0" w:type="dxa"/>
        <w:tblCellMar>
          <w:top w:w="28" w:type="dxa"/>
          <w:left w:w="28" w:type="dxa"/>
          <w:bottom w:w="28" w:type="dxa"/>
          <w:right w:w="28" w:type="dxa"/>
        </w:tblCellMar>
      </w:tblPr>
      <w:tblGrid>
        <w:gridCol w:w="2348"/>
        <w:gridCol w:w="2064"/>
        <w:gridCol w:w="2068"/>
        <w:gridCol w:w="211"/>
        <w:gridCol w:w="721"/>
        <w:gridCol w:w="109"/>
        <w:gridCol w:w="109"/>
        <w:gridCol w:w="109"/>
        <w:gridCol w:w="109"/>
        <w:gridCol w:w="211"/>
        <w:gridCol w:w="721"/>
        <w:gridCol w:w="154"/>
      </w:tblGrid>
      <w:tr>
        <w:trPr/>
        <w:tc>
          <w:tcPr>
            <w:tcW w:w="2348"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Renewable energy investments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private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investment returns:</w:t>
      </w:r>
    </w:p>
    <w:tbl>
      <w:tblPr>
        <w:tblW w:w="5445" w:type="dxa"/>
        <w:jc w:val="left"/>
        <w:tblInd w:w="0" w:type="dxa"/>
        <w:tblCellMar>
          <w:top w:w="28" w:type="dxa"/>
          <w:left w:w="28" w:type="dxa"/>
          <w:bottom w:w="28" w:type="dxa"/>
          <w:right w:w="28" w:type="dxa"/>
        </w:tblCellMar>
      </w:tblPr>
      <w:tblGrid>
        <w:gridCol w:w="1179"/>
        <w:gridCol w:w="1035"/>
        <w:gridCol w:w="1041"/>
        <w:gridCol w:w="203"/>
        <w:gridCol w:w="203"/>
        <w:gridCol w:w="409"/>
        <w:gridCol w:w="164"/>
        <w:gridCol w:w="164"/>
        <w:gridCol w:w="164"/>
        <w:gridCol w:w="203"/>
        <w:gridCol w:w="203"/>
        <w:gridCol w:w="477"/>
      </w:tblGrid>
      <w:tr>
        <w:trPr/>
        <w:tc>
          <w:tcPr>
            <w:tcW w:w="1179"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Annualized gross investment yield on:</w:t>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cash and invested assets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fixed maturity securities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Of our total cash and invested assets of $2,320.6 million at December 31, 2021 (excluding restricted cash equivalents), $190.1 million represents the cash and cash equivalents portion of the portfolio. The majority of the portfolio, or $1,677.6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$156.0 million of bank loan participations, $108.4 million of equity securities, $136.6 million of short-term investments, and $51.9 million of other invested assets.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 Investment income on bank loan participations included in net investment income was $10.6 million and $12.2 million during the years ended December 31, 2021 and 2020, respectively. Net realized and unrealized gains (losses) on investments includes gains of $6.7 million and $1.3 million related to changes in unrealized gains and losses on bank loans participations for the years ended December 31, 2021 and 2020,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December 31, 2021 and 2020, the fair value of these securities was $156.0 million and $147.6 million,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comprise the Company’s other invested assets and are primarily focused in renewable energy, limited partnerships, and bank holding companies. Equity interests in various renewable energy LLCs generated an investment loss of $1.4 million and income of $2.0 million for the years ended December 31, 2021 and 2020, respectively. The LLCs are managed by an entity for which two of our former directors serve as officers, and the Company’s Non-Executive Chairman has invested in certain of these LLCs. These investments had a carrying value of $26.9 million at December 31, 2021. Investments in loans for renewable energy projects had investment income of $939,000 and $5.6 million for the years ended December 31, 2021 and 2020, respectively. During 2021, the Company received principle repayments of $3.8 million on the notes receivable. These investments had a carrying value of $5.2 million at December 31, 2021. Two of our former directors are officers of the entities that issued the loans. The Company has invested in several limited partnerships that invest in concentrated portfolios of publicly-traded small cap equities, loans of middle market private equity sponsored companies, equity tranches of collateralized loan obligations (CLOs), and tranches of distressed home loans. Income from these partnerships was $2.4 million in 2021 compared to $1.2 million in 2020. Together, these limited partnerships had a carrying value of $15.2 million at December 31, 2021. Income from the Company’s investments in renewable energy LLCs and limited partnerships is recognized under the equity method of accounting. The Company also holds $4.5 million of subordinated notes issued by a bank holding company. Interest income from the notes was $343,000 in each of the years ended December 31, 2021 and 2020. The Company’s Non-Executive Chairman was previously the Lead Independent Director of the bank holding company and an investor in the bank holding company.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the Company recognized net realized and unrealized investment gains of $15.6 million, including $4.9 million of net realized investment gains on the sale of fixed maturity securities, $833,000 of net realized investment losses on the sale of bank loans securities, $543,000 of net realized investment losses on the sale of equity securities, $6.7 million of gains for the change in fair value of bank loans, and $5.4 million of gains for the change in fair value of equity securities.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the Company recognized net realized and unrealized investment losses of $16.0 million, including $16.7 million of net realized investment losses on the sale of bank loans, $1.4 million of net realized investment losses on the sale of equity securities, $1.3 million of gains for the change in fair value of bank loans, and $1.0 million of net realized investment gains on the sale of fixed maturity securities.</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conjunction with its outside investment managers, the Company performs quarterly reviews of all securities within its investment portfolio to determine whether any impairment has occurred.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Management concluded that none of the fixed maturity securities with an unrealized loss at December 31, 2021 or 2020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our available-for-sale fixed maturity securities had net unrealized gains of $33.7 million representing 2.0% of the amortized cost of the portfolio. Additionally, at December 31, 2021, 99.5% of our fixed maturity security portfolio was rated “BBB-” or better (“investment grade”) by Standard &amp; Poor’s or had an equivalent rating from another nationally recognized statistical rating organization. The average duration of our investment portfolio was 4.0 years at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fixed maturity securities were as follows:</w:t>
      </w:r>
    </w:p>
    <w:tbl>
      <w:tblPr>
        <w:tblW w:w="10205" w:type="dxa"/>
        <w:jc w:val="left"/>
        <w:tblInd w:w="0" w:type="dxa"/>
        <w:tblCellMar>
          <w:top w:w="28" w:type="dxa"/>
          <w:left w:w="28" w:type="dxa"/>
          <w:bottom w:w="28" w:type="dxa"/>
          <w:right w:w="28" w:type="dxa"/>
        </w:tblCellMar>
      </w:tblPr>
      <w:tblGrid>
        <w:gridCol w:w="1015"/>
        <w:gridCol w:w="522"/>
        <w:gridCol w:w="524"/>
        <w:gridCol w:w="196"/>
        <w:gridCol w:w="871"/>
        <w:gridCol w:w="109"/>
        <w:gridCol w:w="109"/>
        <w:gridCol w:w="109"/>
        <w:gridCol w:w="109"/>
        <w:gridCol w:w="196"/>
        <w:gridCol w:w="871"/>
        <w:gridCol w:w="109"/>
        <w:gridCol w:w="109"/>
        <w:gridCol w:w="109"/>
        <w:gridCol w:w="109"/>
        <w:gridCol w:w="278"/>
        <w:gridCol w:w="278"/>
        <w:gridCol w:w="321"/>
        <w:gridCol w:w="109"/>
        <w:gridCol w:w="109"/>
        <w:gridCol w:w="109"/>
        <w:gridCol w:w="196"/>
        <w:gridCol w:w="871"/>
        <w:gridCol w:w="109"/>
        <w:gridCol w:w="109"/>
        <w:gridCol w:w="109"/>
        <w:gridCol w:w="109"/>
        <w:gridCol w:w="196"/>
        <w:gridCol w:w="871"/>
        <w:gridCol w:w="109"/>
        <w:gridCol w:w="109"/>
        <w:gridCol w:w="109"/>
        <w:gridCol w:w="109"/>
        <w:gridCol w:w="278"/>
        <w:gridCol w:w="278"/>
        <w:gridCol w:w="372"/>
      </w:tblGrid>
      <w:tr>
        <w:trPr/>
        <w:tc>
          <w:tcPr>
            <w:tcW w:w="1015"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 available-for-sale: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municipal</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19.9 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16.6 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mortgage-backed</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14.7 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16.5 </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43.7 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43.0 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mortgage and asset-backed</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18.2 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18.3 </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and obligations guaranteed by the U.S. government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3.5 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5.6 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 available-for-sale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100.0 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composition of the Company’s portfolio of fixed maturity securities by rating as of December 31, 2021:</w:t>
      </w:r>
    </w:p>
    <w:tbl>
      <w:tblPr>
        <w:tblW w:w="6490" w:type="dxa"/>
        <w:jc w:val="left"/>
        <w:tblInd w:w="0" w:type="dxa"/>
        <w:tblCellMar>
          <w:top w:w="28" w:type="dxa"/>
          <w:left w:w="28" w:type="dxa"/>
          <w:bottom w:w="28" w:type="dxa"/>
          <w:right w:w="28" w:type="dxa"/>
        </w:tblCellMar>
      </w:tblPr>
      <w:tblGrid>
        <w:gridCol w:w="1242"/>
        <w:gridCol w:w="1094"/>
        <w:gridCol w:w="1098"/>
        <w:gridCol w:w="109"/>
        <w:gridCol w:w="109"/>
        <w:gridCol w:w="109"/>
        <w:gridCol w:w="211"/>
        <w:gridCol w:w="976"/>
        <w:gridCol w:w="109"/>
        <w:gridCol w:w="109"/>
        <w:gridCol w:w="109"/>
        <w:gridCol w:w="109"/>
        <w:gridCol w:w="278"/>
        <w:gridCol w:w="278"/>
        <w:gridCol w:w="550"/>
      </w:tblGrid>
      <w:tr>
        <w:trPr/>
        <w:tc>
          <w:tcPr>
            <w:tcW w:w="124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 &amp; Poor’s or Equivalent Designation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5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5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BBB and unrated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our portfolio of available-for-sale fixed maturity securities contained corporate fixed maturity securities with a fair value of $732.3 million. A summary of these securities by industry segment is shown below as of December 31, 2021:</w:t>
      </w:r>
    </w:p>
    <w:tbl>
      <w:tblPr>
        <w:tblW w:w="5061" w:type="dxa"/>
        <w:jc w:val="left"/>
        <w:tblInd w:w="0" w:type="dxa"/>
        <w:tblCellMar>
          <w:top w:w="28" w:type="dxa"/>
          <w:left w:w="28" w:type="dxa"/>
          <w:bottom w:w="28" w:type="dxa"/>
          <w:right w:w="28" w:type="dxa"/>
        </w:tblCellMar>
      </w:tblPr>
      <w:tblGrid>
        <w:gridCol w:w="752"/>
        <w:gridCol w:w="662"/>
        <w:gridCol w:w="670"/>
        <w:gridCol w:w="109"/>
        <w:gridCol w:w="109"/>
        <w:gridCol w:w="109"/>
        <w:gridCol w:w="211"/>
        <w:gridCol w:w="826"/>
        <w:gridCol w:w="109"/>
        <w:gridCol w:w="109"/>
        <w:gridCol w:w="109"/>
        <w:gridCol w:w="109"/>
        <w:gridCol w:w="307"/>
        <w:gridCol w:w="309"/>
        <w:gridCol w:w="561"/>
      </w:tblGrid>
      <w:tr>
        <w:trPr/>
        <w:tc>
          <w:tcPr>
            <w:tcW w:w="75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Industry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Industrials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Discretionary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Staples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Corporate available-for-sale fixed maturity securities include public traded securities and privately placed bonds as shown below as of December 31, 2021:</w:t>
      </w:r>
    </w:p>
    <w:tbl>
      <w:tblPr>
        <w:tblW w:w="4416" w:type="dxa"/>
        <w:jc w:val="left"/>
        <w:tblInd w:w="0" w:type="dxa"/>
        <w:tblCellMar>
          <w:top w:w="28" w:type="dxa"/>
          <w:left w:w="28" w:type="dxa"/>
          <w:bottom w:w="28" w:type="dxa"/>
          <w:right w:w="28" w:type="dxa"/>
        </w:tblCellMar>
      </w:tblPr>
      <w:tblGrid>
        <w:gridCol w:w="520"/>
        <w:gridCol w:w="458"/>
        <w:gridCol w:w="461"/>
        <w:gridCol w:w="109"/>
        <w:gridCol w:w="109"/>
        <w:gridCol w:w="109"/>
        <w:gridCol w:w="211"/>
        <w:gridCol w:w="826"/>
        <w:gridCol w:w="109"/>
        <w:gridCol w:w="109"/>
        <w:gridCol w:w="109"/>
        <w:gridCol w:w="109"/>
        <w:gridCol w:w="307"/>
        <w:gridCol w:w="309"/>
        <w:gridCol w:w="561"/>
      </w:tblGrid>
      <w:tr>
        <w:trPr/>
        <w:tc>
          <w:tcPr>
            <w:tcW w:w="52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Public/Private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traded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placed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investments in fixed maturity securities summarized by contractual maturity are as follows:</w:t>
      </w:r>
    </w:p>
    <w:tbl>
      <w:tblPr>
        <w:tblW w:w="7768" w:type="dxa"/>
        <w:jc w:val="left"/>
        <w:tblInd w:w="0" w:type="dxa"/>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7"/>
        <w:gridCol w:w="309"/>
        <w:gridCol w:w="561"/>
      </w:tblGrid>
      <w:tr>
        <w:trPr/>
        <w:tc>
          <w:tcPr>
            <w:tcW w:w="121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28.5 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18.7 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14.7 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67.1 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14.7 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18.2 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Other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Other expenses of $2.6 million for the year ended December 31, 2021 primarily consist of legal and other professional fees related to the Company’s May 2021 common share offering, certain legal and professional consulting fees related to various strategic initiatives, and employee severance costs. Other expenses of $2.1 million for the year ended December 31, 2020 was mostly comprised of employee severance expenses including those related to reductions in claims personnel following the cancellation of Rasier.</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Interest expense was $8.9 million and $10.0 million for the years ended December 31, 2021 and 2020, respectively. See “—Liquidity and Capital Resources—Sources and Uses of Funds” for information regarding our senior debt facilities and trust preferred securities.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recorded $363,000 and $538,000 of amortization of intangibles for the years ended December 31, 2021 and 2020, respectively.</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Goodwill and Impairment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completed its impairment tests and fair value analysis for goodwill and other intangible assets during the fourth quarter of 2021 and 2020. No impairment was present for the years ended December 31, 2021 or 2020.</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reported by country and the respective tax rates imposed by each tax jurisdiction. For the year ended December 31, 2021, we had an effective tax benefit that was 11.9% of our pre-tax loss for the year. For the year ended December 31, 2020, our effective tax rate was 59.6%. Bermuda had losses in both years due to significant adverse development on U.S. commercial auto reserves ceded from the U.S. to Bermuda under the internal quota share reinsurance and because of the unprofitable underwriting results at JRG Re and the non-deductible Bermuda holding company expenses. The Company does not receive a U.S. tax deduction for losses in Bermuda.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2020 Compared to Year Ended December 31,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results for the year ended December 31, 2020 as compared to year ended December 31, 2019, please refer to our 2020 Form 10-K filed with the SEC on February 26, 2021.</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funds consist primarily of premiums written, investment income, reinsurance recoveries, proceeds from sales and redemptions of investments, borrowings on our credit facilities, and the issuance of common shares, and, once closed, the issuance of the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9822" w:type="dxa"/>
        <w:jc w:val="left"/>
        <w:tblInd w:w="0" w:type="dxa"/>
        <w:tblCellMar>
          <w:top w:w="28" w:type="dxa"/>
          <w:left w:w="28" w:type="dxa"/>
          <w:bottom w:w="28" w:type="dxa"/>
          <w:right w:w="28" w:type="dxa"/>
        </w:tblCellMar>
      </w:tblPr>
      <w:tblGrid>
        <w:gridCol w:w="1949"/>
        <w:gridCol w:w="1713"/>
        <w:gridCol w:w="1723"/>
        <w:gridCol w:w="211"/>
        <w:gridCol w:w="901"/>
        <w:gridCol w:w="109"/>
        <w:gridCol w:w="109"/>
        <w:gridCol w:w="109"/>
        <w:gridCol w:w="109"/>
        <w:gridCol w:w="211"/>
        <w:gridCol w:w="901"/>
        <w:gridCol w:w="109"/>
        <w:gridCol w:w="109"/>
        <w:gridCol w:w="109"/>
        <w:gridCol w:w="109"/>
        <w:gridCol w:w="211"/>
        <w:gridCol w:w="976"/>
        <w:gridCol w:w="154"/>
      </w:tblGrid>
      <w:tr>
        <w:trPr/>
        <w:tc>
          <w:tcPr>
            <w:tcW w:w="1949"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 (Operating activities)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excluding restricted cash equivalents of $155.6 million in 2021 primarily reflects the $317.6 million of reinsurance premium paid to effect the LPT Transaction in the third quarter. In 2020, a decline in cash provided by operations was largely driven by the run-off of Rasier. There were no associated premiums collected in 2020 for the Rasier policies terminated on December 31, 2019, but claim payments associated with the run-off continued in 2020.</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year ended December 31, 2021 reflects the investments sold/funds withdrawn from our investment portfolio to effect the LPT Transaction in the third quarter. In 2020 and 2019, cash used in investing activities reflects our efforts to enhance the yield in our investment portfolio by investing available cash and cash equivalents into higher yielding fixed maturity securities and bank loan participations. Cash and cash equivalents (excluding restricted cash equivalents) comprised 8.2%, 6.9%, and 9.4% of total cash and invested assets at December 31, 2021, 2020 and 2019,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includes dividends paid to shareholders of $43.2 million in 2021, $37.1 million in 2020, and $36.7 million in 2019. On May 10, 2021, the Company closed on a public offering of its common shares. The Company received net proceeds (before expenses) of $192.1 million. The proceeds were used for general corporate purposes. In 2020 and 2019, net draws on our senior credit facilities of $104.0 million and $40.0 million, respectively, were used to help support our growth.</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under the agreements establishing the Indemnity Trust and the LPT Trust, we have withdrawn collateral from the Indemnity Trust and the LPT Trust to fund the Loss Fund Trust as required under the Administrative Services Agreement.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pPr>
      <w:r>
        <w:rPr>
          <w:rFonts w:ascii="Times New Roman;sans-serif" w:hAnsi="Times New Roman;sans-serif"/>
          <w:b w:val="false"/>
          <w:color w:val="000000"/>
          <w:sz w:val="20"/>
        </w:rPr>
        <w:t xml:space="preserve">Amounts on deposit in the Loss Fund Trust are included in restricted cash equivalents on the Company's consolidated balance sheet. See </w:t>
      </w:r>
      <w:r>
        <w:rPr>
          <w:rFonts w:ascii="Times New Roman;sans-serif" w:hAnsi="Times New Roman;sans-serif"/>
          <w:b w:val="false"/>
          <w:i/>
          <w:color w:val="000000"/>
          <w:sz w:val="20"/>
        </w:rPr>
        <w:t xml:space="preserve">Amounts Recoverable from an Indemnifying Party and Reinsurer on Legacy Commercial Auto Book </w:t>
      </w:r>
      <w:r>
        <w:rPr>
          <w:rFonts w:ascii="Times New Roman;sans-serif" w:hAnsi="Times New Roman;sans-serif"/>
          <w:b w:val="false"/>
          <w:color w:val="000000"/>
          <w:sz w:val="20"/>
        </w:rPr>
        <w:t>below.</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“Regulation—U.S. Insurance Regulation—State Regulation” for additional information. The maximum amount of dividends available to the U.S. holding company from our U.S. insurance subsidiaries during 2022 without regulatory approval is $27.2 million.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“Regulation- Bermuda Insurance Regulation- Restrictions on Dividends and Distributions” for additional information. Based on that calculation, the maximum combined amount of dividends and return of capital available to us from our Bermuda insurers without regulatory approval in 2022 is calculated to be approximately $129.7 million. However, any dividend payment is contingent upon continued compliance with Bermuda regulatory requirements, including but not limited to the enhanced solvency requirement calculations.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expect to close on the issuance and sale of 150,000 Series A Preferred Shares on March 1, 2022. Holders of the Series A Preferred Shares are entitled to a dividend at the initial rate of 7% of the $1,000 per share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will accrue quarterly and will be payable on March 31, June 30, September 30 and December 31 of each year, commencing June 30, 2022.</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our Bermuda holding company had $157,000 of cash and cash equivalent assets. Our U.S. holding company had $25.9 million of cash and invested assets at December 31, 2021, comprised of cash and cash equivalents of $18.1 million and other invested assets of $7.8 million, which are not subject to regulatory restrictions. Additionally, our U.K. intermediate holding company had no invested assets and cash of less than $10,000 at December 31, 2021.</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Credit Agreements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has a $315.0 million senior revolving credit facility (as amended or amended and restated, the “2013 Facility”). The 2013 Facility is comprised of the following at December 31, 2021:</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 $102.5 million secured revolving facility utilized by JRG Re to issue letters of credit for the benefit of third-party reinsureds. This portion of our credit facility is secured by our investment securities. At December 31, 2021, the Company had $34.3 million of letters of credit issued under the secured facility.</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quarterly and is payable in arrears at 3-month LIBOR plus a margin which at December 31, 2021 was 1.625% and is subject to change according to terms in the credit agreement. At December 31, 2021 and 2020, the Company had a drawn balance of $185.8 million outstanding on the unsecured revolver.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2013 Facility contains certain financial and other covenants (including minimum net worth, maximum ratio of total adjusted debt outstanding to total capitalization, and financial strength ratings) with which the Company was in compliance at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(LIBOR plus a margin of 1.625% at December 31, 2021) and will mature 30 days after notice of termination from the lender. The 2017 Facility contains certain financial and other covenants with which we are in compliance at December 31, 2021.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At December 31, 2021, unsecured loans of $61.5 million and secured letters of credit totaling $20.5 million were outstanding on the 2017 Facility.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December 31, 2021, and which, among other things, restrict our ability to assume senior indebtedness secured by our U.S. holding company's common stock or its subsidiaries' capital stock or to issue shares of its subsidiaries' capital stock.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December 31, 2021 (including the Company’s repurchase of a portion of these trust preferred securities):</w:t>
      </w:r>
    </w:p>
    <w:tbl>
      <w:tblPr>
        <w:tblW w:w="10205" w:type="dxa"/>
        <w:jc w:val="left"/>
        <w:tblInd w:w="0" w:type="dxa"/>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r>
      <w:tr>
        <w:trPr/>
        <w:tc>
          <w:tcPr>
            <w:tcW w:w="2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4.0%</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our option.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junior subordinated debt contains certain covenants with which we are in compliance as of December 31, 2021.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and December 31, 2020, the Company's leverage ratio was 31.1% and 30.4%, respectively. The leverage ratio is defined in our senior credit agreements as the ratio of adjusted consolidated debt to total capital. Adjusted consolidated debt treats trust preferred securities as equity capital up to 15% of total capital. Total capital is defined as total debt plus tangible equity excluding accumulated other comprehensive income. The maximum leverage ratio permitted by the agreements is 35.0%. Having debt as part of our capital structure allows us to generate a higher return on equity and greater book value per share results than we could by using equity capital alone.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Ceded Reinsurance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years ended December 31, 2021, 2020, and 2019 our net premium retention was 49.4%, 51.5% and 60.9%,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Excess and Surplus Lines segment’s ceded reinsurance in place as of December 31, 2021:</w:t>
      </w:r>
    </w:p>
    <w:tbl>
      <w:tblPr>
        <w:tblW w:w="10205" w:type="dxa"/>
        <w:jc w:val="left"/>
        <w:tblInd w:w="0" w:type="dxa"/>
        <w:tblCellMar>
          <w:top w:w="28" w:type="dxa"/>
          <w:left w:w="28" w:type="dxa"/>
          <w:bottom w:w="28" w:type="dxa"/>
          <w:right w:w="28" w:type="dxa"/>
        </w:tblCellMar>
      </w:tblPr>
      <w:tblGrid>
        <w:gridCol w:w="1529"/>
        <w:gridCol w:w="1317"/>
        <w:gridCol w:w="1317"/>
        <w:gridCol w:w="109"/>
        <w:gridCol w:w="109"/>
        <w:gridCol w:w="109"/>
        <w:gridCol w:w="1701"/>
        <w:gridCol w:w="1660"/>
        <w:gridCol w:w="2354"/>
      </w:tblGrid>
      <w:tr>
        <w:trPr/>
        <w:tc>
          <w:tcPr>
            <w:tcW w:w="152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r>
      <w:tr>
        <w:trPr/>
        <w:tc>
          <w:tcPr>
            <w:tcW w:w="41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 Retention</w:t>
            </w:r>
          </w:p>
        </w:tc>
      </w:tr>
      <w:tr>
        <w:trPr/>
        <w:tc>
          <w:tcPr>
            <w:tcW w:w="4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Primary Specialty Casualty, including Professional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$1.0 million per occurrence, subject to a $1.0 million aggregate deductible.</w:t>
            </w:r>
            <w:r>
              <w:rPr>
                <w:rFonts w:ascii="Times New Roman;sans-serif" w:hAnsi="Times New Roman;sans-serif"/>
                <w:b w:val="false"/>
                <w:color w:val="000000"/>
                <w:sz w:val="13"/>
              </w:rPr>
              <w:t>(1)</w:t>
            </w:r>
          </w:p>
        </w:tc>
      </w:tr>
      <w:tr>
        <w:trPr/>
        <w:tc>
          <w:tcPr>
            <w:tcW w:w="41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$2.0 million per occurrence.</w:t>
            </w:r>
            <w:r>
              <w:rPr>
                <w:rFonts w:ascii="Times New Roman;sans-serif" w:hAnsi="Times New Roman;sans-serif"/>
                <w:b w:val="false"/>
                <w:color w:val="000000"/>
                <w:sz w:val="13"/>
              </w:rPr>
              <w:t>(2)</w:t>
            </w:r>
          </w:p>
        </w:tc>
      </w:tr>
      <w:tr>
        <w:trPr/>
        <w:tc>
          <w:tcPr>
            <w:tcW w:w="41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$1.0 million per occurrence.</w:t>
            </w:r>
            <w:r>
              <w:rPr>
                <w:rFonts w:ascii="Times New Roman;sans-serif" w:hAnsi="Times New Roman;sans-serif"/>
                <w:b w:val="false"/>
                <w:color w:val="000000"/>
                <w:sz w:val="13"/>
              </w:rPr>
              <w:t>(3)</w:t>
            </w:r>
          </w:p>
        </w:tc>
      </w:tr>
      <w:tr>
        <w:trPr/>
        <w:tc>
          <w:tcPr>
            <w:tcW w:w="41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$5.0 million per event.</w:t>
            </w:r>
            <w:r>
              <w:rPr>
                <w:rFonts w:ascii="Times New Roman;sans-serif" w:hAnsi="Times New Roman;sans-serif"/>
                <w:b w:val="false"/>
                <w:color w:val="000000"/>
                <w:sz w:val="13"/>
              </w:rPr>
              <w:t>(4)</w:t>
            </w:r>
          </w:p>
        </w:tc>
      </w:tr>
    </w:tbl>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    Except for Life Sciences quota share carve out, which is up to $2.0 million per occurrence.</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Total exposure to any one claim is generally $1.0 million.</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(3)    For policies with an occurrence limit up to $10.0 million, the excess casualty treaty is set such that our retention is no more than $1.0 million.</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(4)    The property catastrophe reinsurance treaty has a limit of $40.0 million with one reinstatement.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Based upon the modeling of our Excess and Surplus Lines and Specialty Admitted segments, it would take an event at the 1 in 1000 year PML to exhaust our $45.0 million property catastrophe reinsurance. In the event of a catastrophe loss exhausting our $45.0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spacing w:lineRule="auto" w:line="288" w:before="0" w:after="120"/>
        <w:ind w:left="0" w:right="0" w:firstLine="405"/>
        <w:rPr/>
      </w:pPr>
      <w:r>
        <w:rPr>
          <w:rFonts w:ascii="Times New Roman;sans-serif" w:hAnsi="Times New Roman;sans-serif"/>
          <w:b w:val="false"/>
          <w:color w:val="000000"/>
          <w:sz w:val="20"/>
        </w:rPr>
        <w:t>On September 27, 2021, James River entered into the LPT Agreement with Aleka to reinsure substantially all of the Excess and Surplus Lines segment’s legacy portfolio of commercial auto previously issued to Rasier . See “</w:t>
      </w:r>
      <w:r>
        <w:rPr>
          <w:rFonts w:ascii="Times New Roman;sans-serif" w:hAnsi="Times New Roman;sans-serif"/>
          <w:b w:val="false"/>
          <w:i/>
          <w:color w:val="000000"/>
          <w:sz w:val="20"/>
        </w:rPr>
        <w:t>Amounts Recoverable from an Indemnifying Party and Reinsurer on the Legacy Commercial Auto Book</w:t>
      </w:r>
      <w:r>
        <w:rPr>
          <w:color w:val="000000"/>
        </w:rPr>
        <w:t xml:space="preserve">” </w:t>
      </w:r>
      <w:r>
        <w:rPr>
          <w:rFonts w:ascii="Times New Roman;sans-serif" w:hAnsi="Times New Roman;sans-serif"/>
          <w:b w:val="false"/>
          <w:color w:val="000000"/>
          <w:sz w:val="20"/>
        </w:rPr>
        <w:t>below for further information on this reinsurance agreement.</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Specialty Admitted Insurance segment’s ceded reinsurance in place as of December 31, 2021:</w:t>
      </w:r>
    </w:p>
    <w:tbl>
      <w:tblPr>
        <w:tblW w:w="10205" w:type="dxa"/>
        <w:jc w:val="left"/>
        <w:tblInd w:w="0" w:type="dxa"/>
        <w:tblCellMar>
          <w:top w:w="28" w:type="dxa"/>
          <w:left w:w="28" w:type="dxa"/>
          <w:bottom w:w="28" w:type="dxa"/>
          <w:right w:w="28" w:type="dxa"/>
        </w:tblCellMar>
      </w:tblPr>
      <w:tblGrid>
        <w:gridCol w:w="1056"/>
        <w:gridCol w:w="688"/>
        <w:gridCol w:w="635"/>
        <w:gridCol w:w="109"/>
        <w:gridCol w:w="109"/>
        <w:gridCol w:w="109"/>
        <w:gridCol w:w="2357"/>
        <w:gridCol w:w="2110"/>
        <w:gridCol w:w="3032"/>
      </w:tblGrid>
      <w:tr>
        <w:trPr/>
        <w:tc>
          <w:tcPr>
            <w:tcW w:w="1056"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7"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w:t>
            </w:r>
          </w:p>
        </w:tc>
      </w:tr>
      <w:tr>
        <w:trPr/>
        <w:tc>
          <w:tcPr>
            <w:tcW w:w="2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Workers’ Compensation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Quota share coverage for 70-85% of the first $1.0 million.</w:t>
            </w:r>
            <w:r>
              <w:rPr>
                <w:rFonts w:ascii="Times New Roman;sans-serif" w:hAnsi="Times New Roman;sans-serif"/>
                <w:b w:val="false"/>
                <w:color w:val="000000"/>
                <w:sz w:val="13"/>
              </w:rPr>
              <w:t>(1)(2)</w:t>
            </w:r>
          </w:p>
          <w:p>
            <w:pPr>
              <w:pStyle w:val="TableContents"/>
              <w:spacing w:lineRule="auto" w:line="240" w:before="0" w:after="0"/>
              <w:jc w:val="left"/>
              <w:rPr/>
            </w:pPr>
            <w:r>
              <w:rPr>
                <w:rFonts w:ascii="Times New Roman;sans-serif" w:hAnsi="Times New Roman;sans-serif"/>
                <w:b w:val="false"/>
                <w:color w:val="000000"/>
                <w:sz w:val="20"/>
              </w:rPr>
              <w:t>Excess of loss coverage for $29.0 million in excess of $1.0 million.</w:t>
            </w:r>
            <w:r>
              <w:rPr>
                <w:rFonts w:ascii="Times New Roman;sans-serif" w:hAnsi="Times New Roman;sans-serif"/>
                <w:b w:val="false"/>
                <w:color w:val="000000"/>
                <w:sz w:val="13"/>
              </w:rPr>
              <w:t>(1)(2)</w:t>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Programs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70-90% of limits up to $1.5 million liability and $5.0 million physical damage per occurrence.</w:t>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 &amp; Professional Liability – Programs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70%-100% of limits up to $3.0 million per occurrence.</w:t>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Umbrella and Excess Casualty - Programs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at least 95% of limits up to $10.0 million per occurrence, and 87.5% of excess of loss coverage for $5.0 million in excess of $10.0 million.</w:t>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within Package - Programs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$40.0 million per occurrence.</w:t>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$16.9 million.</w:t>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Coverage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for $44.0 million in excess of $1.0 million per occurrence.</w:t>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Programs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80% of limits up to $20 million liability and $2.5 million hull per occurrence, each aircraft; and excess of loss coverage for up to $7.3M excess of $200 thousand of our 20% share of the quota share each occurrence.</w:t>
            </w:r>
          </w:p>
        </w:tc>
      </w:tr>
    </w:tbl>
    <w:p>
      <w:pPr>
        <w:pStyle w:val="TextBody"/>
        <w:spacing w:lineRule="auto" w:line="288" w:before="0" w:after="6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(1)    Excluding one program which has quota share coverage for 84.5% of the first $1.0 million per occurrence and excess of loss coverage for $49.0 million in excess of $1.0 million per occurrence. </w:t>
      </w:r>
    </w:p>
    <w:p>
      <w:pPr>
        <w:pStyle w:val="TextBody"/>
        <w:spacing w:lineRule="auto" w:line="288" w:before="0" w:after="12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(2)    Includes any residual market pools.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also have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covers $10.0 million in excess of a $2.0 million retention for loss occurrences within the treaty term. This coverage has two reinstatements in the event we exhaust any of the coverage. As of December 31, 2021, our average net retained limit per risk is $2.5 million.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December 31, 2021, the allowance for credit losses on reinsurance recoverables was $631,000.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reinsurance recoverables on unpaid losses of $1,348.6 million (net of a $631,000 allowance for credit losses) and reinsurance recoverables on paid losses of $82.2 million, and all material recoverable amounts were from companies with A.M. Best ratings of “A-" (Excellent) or better, are collateralized by the reinsurer for our benefit through letters of credit or funds on deposit in trust accounts, or represent recoverables from a state residual market for automobile 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most significant reinsurers by amount of reinsurance recoverables and the amount of reinsurance recoverables pertaining to each such reinsurer as well as its A.M. Best rating as of December 31, 2021:</w:t>
      </w:r>
    </w:p>
    <w:tbl>
      <w:tblPr>
        <w:tblW w:w="7088" w:type="dxa"/>
        <w:jc w:val="left"/>
        <w:tblInd w:w="0" w:type="dxa"/>
        <w:tblCellMar>
          <w:top w:w="28" w:type="dxa"/>
          <w:left w:w="28" w:type="dxa"/>
          <w:bottom w:w="28" w:type="dxa"/>
          <w:right w:w="28" w:type="dxa"/>
        </w:tblCellMar>
      </w:tblPr>
      <w:tblGrid>
        <w:gridCol w:w="1225"/>
        <w:gridCol w:w="1078"/>
        <w:gridCol w:w="1087"/>
        <w:gridCol w:w="109"/>
        <w:gridCol w:w="109"/>
        <w:gridCol w:w="109"/>
        <w:gridCol w:w="244"/>
        <w:gridCol w:w="1130"/>
        <w:gridCol w:w="126"/>
        <w:gridCol w:w="109"/>
        <w:gridCol w:w="109"/>
        <w:gridCol w:w="109"/>
        <w:gridCol w:w="452"/>
        <w:gridCol w:w="452"/>
        <w:gridCol w:w="640"/>
      </w:tblGrid>
      <w:tr>
        <w:trPr/>
        <w:tc>
          <w:tcPr>
            <w:tcW w:w="122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Reinsurer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Reinsurance</w:t>
              <w:br/>
              <w:t>Recoverable as of</w:t>
              <w:b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 Best Rating</w:t>
              <w:br/>
              <w:t>December 31, 2021</w:t>
            </w:r>
          </w:p>
        </w:tc>
      </w:tr>
      <w:tr>
        <w:trPr/>
        <w:tc>
          <w:tcPr>
            <w:tcW w:w="3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324,982 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Aleka Insurance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256,452 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Unrated</w:t>
            </w:r>
            <w:r>
              <w:rPr>
                <w:rFonts w:ascii="Times New Roman;sans-serif" w:hAnsi="Times New Roman;sans-serif"/>
                <w:b w:val="false"/>
                <w:color w:val="000000"/>
                <w:sz w:val="13"/>
              </w:rPr>
              <w:t>(1)</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Berkley Insurance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Safety National Casualty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Aioi Nissay Dowa Insurance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Hannover Ruck 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Endurance Assurance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Munich Reinsurance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European Insurance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B</w:t>
            </w:r>
            <w:r>
              <w:rPr>
                <w:rFonts w:ascii="Times New Roman;sans-serif" w:hAnsi="Times New Roman;sans-serif"/>
                <w:b w:val="false"/>
                <w:color w:val="000000"/>
                <w:sz w:val="13"/>
              </w:rPr>
              <w:t>(2)</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Reinsurance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Unrated</w:t>
            </w:r>
            <w:r>
              <w:rPr>
                <w:rFonts w:ascii="Times New Roman;sans-serif" w:hAnsi="Times New Roman;sans-serif"/>
                <w:b w:val="false"/>
                <w:color w:val="000000"/>
                <w:sz w:val="13"/>
              </w:rPr>
              <w:t>(3)</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Top 10 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366,379 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1,348,628 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    This reinsurer is unrated. All material reinsurance amounts from this reinsurer are collateralized.</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This reinsurer is below A-. All material reinsurance recoverable amounts from this reinsurer are collateralized.</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(3)    The North Carolina Reinsurance Facility is a residual market mechanism for automobile insurance in North Carolina.</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“LPT Agreement”) with Aleka to reinsure substantially all of the Rasier Commercial Auto Policies for which James River is not otherwise indemnified by Rasier under the Indemnity Agreements. Under the terms of the LPT Agreement, effective as of July 1, 2021, James River ceded to Aleka approximately $345.1 million of commercial auto liabilities relating to Rasier Commercial Auto Policies written in the years 2013-2019, which amount constituted the reinsurance premium.</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LPT Agreement, respectively:</w:t>
      </w:r>
    </w:p>
    <w:p>
      <w:pPr>
        <w:pStyle w:val="TextBody"/>
        <w:spacing w:lineRule="auto" w:line="288" w:before="0" w:after="120"/>
        <w:ind w:left="0" w:right="0" w:firstLine="405"/>
        <w:rPr/>
      </w:pPr>
      <w:r>
        <w:rPr>
          <w:color w:val="000000"/>
        </w:rPr>
        <w:t>•</w:t>
      </w:r>
      <w:r>
        <w:rPr>
          <w:rFonts w:ascii="Times New Roman;sans-serif" w:hAnsi="Times New Roman;sans-serif"/>
          <w:b w:val="false"/>
          <w:color w:val="000000"/>
          <w:sz w:val="20"/>
        </w:rPr>
        <w:t>Pursuant to the Indemnity Agreements, Rasier is required to post collateral for the amounts recoverable or that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LPT Agreement, James River returned $691.3 million to the Indemnity Trust, representing the remaining balance of the amount withdrawn in October 2019, as was permitted under the indemnification agreements with Rasier and the associated trust agreement. At December 31, 2021, the balance in the Indemnity Trust was $584.6 million, and, together with the balance of the Loss Fund Trust (as defined below) attributable to the Indemnity Agreements as described below, the total balance of collateral securing Rasier’s obligations under the Indemnity Agreements was $653.7 million.</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pPr>
      <w:r>
        <w:rPr>
          <w:color w:val="000000"/>
        </w:rPr>
        <w:t>•</w:t>
      </w:r>
      <w:r>
        <w:rPr>
          <w:rFonts w:ascii="Times New Roman;sans-serif" w:hAnsi="Times New Roman;sans-serif"/>
          <w:b w:val="false"/>
          <w:color w:val="000000"/>
          <w:sz w:val="20"/>
        </w:rPr>
        <w:t>Pursuant to the LPT Agreement, Aleka is required to post collateral equal to 102% of James River's estimate of Aleka's obligations under the LPT Agreement, calculated in accordance with statutory accounting principles. The collateral is provided through a collateral trust arrangement (the “LPT Trust”) established in favor of James River by Aleka. At December 31, 2021, the balance in the LPT Trust was $251.7 million, and, together with the balance of the Loss Fund Trust (as defined below) attributable to the LPT Agreement as described below, the total balance of collateral securing Aleka’s obligations under the LPT Agreement was $279.9 million. At December 31, 2021, the total reinsurance recoverables under the LPT Agreement was $272.3 million (including $256.5 million of unpaid recoverables and $15.9 million of paid recoverables).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LPT Agreement,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LPT Agreement and James River’s existing third party reinsurance agreements, respectively. At December 31, 2021, the balance in the Loss Fund Trust was $102.0 million, including $69.2 million of which representing collateral supporting Rasier’s obligations under the Indemnity Agreements and $28.2 million of which representing collateral supporting Aleka’s obligations under the under the LPT Agreement. Funds posted to the Loss Fund Trust are classified as restricted cash equivalents on the Company's balance sheet.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While the LPT Agreement brings economic finality to substantially all of the Rasier Commercial Auto Policies, the Company has credit exposure to Rasier and Aleka under the Indemnity Agreements and the LPT Agreement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LPT agreement,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Ratings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On May 7, 2021, following the Company's announcement of $168.7 million of further adverse development in the first quarter of 2021 on reserves for losses and loss adjustment expenses in our Excess and Surplus Lines segment, inclusive of $170.0 million of unfavorable development in our commercial auto business, A.M. Best announced a downgrade of our financial strength rating to “A-” (Excellent) and maintained a negative outlook on our regulated insurance subsidiaries. The Company's outlook was upgraded to stable by A.M. Best in the third quarter following the closing of the LPT Agreement which reinsures substantially all of the legacy commercial auto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Equity</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issued 226,305 common shares in the twelve months ended December 31, 2021 related to outstanding equity incentive plan awards. Of the new shares issued, 93,446 were related to employee stock option exercises and 132,859 were related to vesting of restricted share units (“RSUs”). </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Offering and the issuances related to equity incentive plan awards, the total common shares outstanding increased from 30,649,261 at December 31, 2020 to 37,373,066 at December 31, 2021.</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close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$1,000 per share liquidation preference per annum, which may be paid in cash, in-kind in common shares or in Series A Preferred Shares, at the Company’s election.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Share Based Compensation Expense</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the Company recognized $6.7 million, $7.6 million and $7.2 million, respectively, of share based compensation expense. As of December 31, 2021, the Company had $8.7 million of unrecognized share based compensation expense expected to be charged to earnings over a weighted-average period of 1.8 years.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Options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option activity:</w:t>
      </w:r>
    </w:p>
    <w:tbl>
      <w:tblPr>
        <w:tblW w:w="9906" w:type="dxa"/>
        <w:jc w:val="left"/>
        <w:tblInd w:w="0" w:type="dxa"/>
        <w:tblCellMar>
          <w:top w:w="28" w:type="dxa"/>
          <w:left w:w="28" w:type="dxa"/>
          <w:bottom w:w="28" w:type="dxa"/>
          <w:right w:w="28" w:type="dxa"/>
        </w:tblCellMar>
      </w:tblPr>
      <w:tblGrid>
        <w:gridCol w:w="743"/>
        <w:gridCol w:w="654"/>
        <w:gridCol w:w="657"/>
        <w:gridCol w:w="449"/>
        <w:gridCol w:w="451"/>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09"/>
        <w:gridCol w:w="109"/>
        <w:gridCol w:w="109"/>
        <w:gridCol w:w="109"/>
        <w:gridCol w:w="488"/>
        <w:gridCol w:w="488"/>
        <w:gridCol w:w="196"/>
        <w:gridCol w:w="109"/>
        <w:gridCol w:w="109"/>
        <w:gridCol w:w="109"/>
        <w:gridCol w:w="211"/>
        <w:gridCol w:w="616"/>
        <w:gridCol w:w="154"/>
      </w:tblGrid>
      <w:tr>
        <w:trPr/>
        <w:tc>
          <w:tcPr>
            <w:tcW w:w="743"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643,851 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1,115,324 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(180,527)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(459,415)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year</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590,340 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of the outstanding options vested over three years and have a contractual life of seven years from the original date of grant.</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RSUs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CellMar>
          <w:top w:w="28" w:type="dxa"/>
          <w:left w:w="28" w:type="dxa"/>
          <w:bottom w:w="28" w:type="dxa"/>
          <w:right w:w="28" w:type="dxa"/>
        </w:tblCellMar>
      </w:tblPr>
      <w:tblGrid>
        <w:gridCol w:w="869"/>
        <w:gridCol w:w="764"/>
        <w:gridCol w:w="76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69"/>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4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year</w:t>
            </w:r>
          </w:p>
        </w:tc>
        <w:tc>
          <w:tcPr>
            <w:tcW w:w="8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399,856 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340,368 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39.22 </w:t>
            </w:r>
          </w:p>
        </w:tc>
        <w:tc>
          <w:tcPr>
            <w:tcW w:w="16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272,608 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year</w:t>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vesting period of RSUs granted to employees have ranged from one to five years and vest ratably over the respective vesting period, and the majority vest in three years. All RSUs granted to date to non-employee directors had a one year vesting period.</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 cash generating capability of our operations, together with our revolving credit facilities, and ability to raise capital through future equity offerings, will be adequate to meet our short and long-term cash requirements and provide the financial strength necessary to support our business growth.</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our material cash requirements by due date as of December 31, 2021:</w:t>
      </w:r>
    </w:p>
    <w:tbl>
      <w:tblPr>
        <w:tblW w:w="10205" w:type="dxa"/>
        <w:jc w:val="left"/>
        <w:tblInd w:w="0" w:type="dxa"/>
        <w:tblCellMar>
          <w:top w:w="28" w:type="dxa"/>
          <w:left w:w="28" w:type="dxa"/>
          <w:bottom w:w="28" w:type="dxa"/>
          <w:right w:w="28" w:type="dxa"/>
        </w:tblCellMar>
      </w:tblPr>
      <w:tblGrid>
        <w:gridCol w:w="1089"/>
        <w:gridCol w:w="824"/>
        <w:gridCol w:w="828"/>
        <w:gridCol w:w="211"/>
        <w:gridCol w:w="976"/>
        <w:gridCol w:w="109"/>
        <w:gridCol w:w="109"/>
        <w:gridCol w:w="109"/>
        <w:gridCol w:w="109"/>
        <w:gridCol w:w="225"/>
        <w:gridCol w:w="883"/>
        <w:gridCol w:w="116"/>
        <w:gridCol w:w="109"/>
        <w:gridCol w:w="109"/>
        <w:gridCol w:w="109"/>
        <w:gridCol w:w="211"/>
        <w:gridCol w:w="976"/>
        <w:gridCol w:w="109"/>
        <w:gridCol w:w="109"/>
        <w:gridCol w:w="109"/>
        <w:gridCol w:w="109"/>
        <w:gridCol w:w="211"/>
        <w:gridCol w:w="826"/>
        <w:gridCol w:w="109"/>
        <w:gridCol w:w="109"/>
        <w:gridCol w:w="109"/>
        <w:gridCol w:w="109"/>
        <w:gridCol w:w="211"/>
        <w:gridCol w:w="826"/>
        <w:gridCol w:w="157"/>
      </w:tblGrid>
      <w:tr>
        <w:trPr/>
        <w:tc>
          <w:tcPr>
            <w:tcW w:w="108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2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7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901,473 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 obligations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76,912 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420,995 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reserve for losses and loss adjustment expenses represent management’s estimate of the ultimate cost of settling losses. As more fully discussed in “—Critical Accounting Policies—Reserves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amounts in the above table represent our gross estimates of known liabilities as of December 31, 2021 and do not include any allowance for claims for future events within the time period specified. Accordingly, it is highly likely that the total amounts paid out in the time periods shown will be greater than those indicated in the table.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Interest on debt obligations was calculated using the LIBOR rate as of December 31, 2021 with the assumption that interest rates would remain flat over the remainder of the period that the debt was outstanding.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At December 31, 2021, the Company’s Excess and Surplus Lines segment has outstanding commitments to invest another $5.3 million in these limited partnerships.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Reconciliation of Underwriting Profit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(loss) profit by individual segment and for the entire Company to consolidated income before income taxes for the years ended December 31, 2021, 2020 and 2019.</w:t>
      </w:r>
    </w:p>
    <w:tbl>
      <w:tblPr>
        <w:tblW w:w="9102" w:type="dxa"/>
        <w:jc w:val="left"/>
        <w:tblInd w:w="0" w:type="dxa"/>
        <w:tblCellMar>
          <w:top w:w="28" w:type="dxa"/>
          <w:left w:w="28" w:type="dxa"/>
          <w:bottom w:w="28" w:type="dxa"/>
          <w:right w:w="28" w:type="dxa"/>
        </w:tblCellMar>
      </w:tblPr>
      <w:tblGrid>
        <w:gridCol w:w="1848"/>
        <w:gridCol w:w="1622"/>
        <w:gridCol w:w="1630"/>
        <w:gridCol w:w="211"/>
        <w:gridCol w:w="901"/>
        <w:gridCol w:w="109"/>
        <w:gridCol w:w="109"/>
        <w:gridCol w:w="109"/>
        <w:gridCol w:w="109"/>
        <w:gridCol w:w="211"/>
        <w:gridCol w:w="721"/>
        <w:gridCol w:w="109"/>
        <w:gridCol w:w="109"/>
        <w:gridCol w:w="109"/>
        <w:gridCol w:w="109"/>
        <w:gridCol w:w="211"/>
        <w:gridCol w:w="721"/>
        <w:gridCol w:w="154"/>
      </w:tblGrid>
      <w:tr>
        <w:trPr/>
        <w:tc>
          <w:tcPr>
            <w:tcW w:w="1848"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 of the operating segments: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(loss) profit of the operating segments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Underwriting loss</w:t>
            </w:r>
            <w:r>
              <w:rPr>
                <w:rFonts w:ascii="Times New Roman;sans-serif" w:hAnsi="Times New Roman;sans-serif"/>
                <w:b w:val="false"/>
                <w:color w:val="000000"/>
                <w:sz w:val="13"/>
              </w:rPr>
              <w:t>(1)</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Underwriting loss includes gross fee income of $22.7 million, $20.9 million, and $24.9 million for the years ended December 31, 2021, 2020, and 2019, respectively.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Reconciliation of Adjusted Net Operating (Loss) Income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define adjusted net operating (loss) income as net (loss) income excluding net realized and unrealized gains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(loss) income as an internal performance measure in the management of our operations because we believe it gives our management and other users of our financial information useful insight into our results of operations and our underlying business performance. Adjusted net operating (loss) income should not be viewed as a substitute for net (loss) income calculated in accordance with GAAP, and our definition of adjusted net operating (loss) income may not be comparable to that of other companies.</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(loss) income before taxes and net (loss) income for the years ended December 31, 2021, 2020 and 2019 reconcile to our adjusted net operating (loss) income as follows:</w:t>
      </w:r>
    </w:p>
    <w:tbl>
      <w:tblPr>
        <w:tblW w:w="10205" w:type="dxa"/>
        <w:jc w:val="left"/>
        <w:tblInd w:w="0" w:type="dxa"/>
        <w:tblCellMar>
          <w:top w:w="28" w:type="dxa"/>
          <w:left w:w="28" w:type="dxa"/>
          <w:bottom w:w="28" w:type="dxa"/>
          <w:right w:w="28" w:type="dxa"/>
        </w:tblCellMar>
      </w:tblPr>
      <w:tblGrid>
        <w:gridCol w:w="968"/>
        <w:gridCol w:w="676"/>
        <w:gridCol w:w="681"/>
        <w:gridCol w:w="211"/>
        <w:gridCol w:w="861"/>
        <w:gridCol w:w="109"/>
        <w:gridCol w:w="109"/>
        <w:gridCol w:w="109"/>
        <w:gridCol w:w="109"/>
        <w:gridCol w:w="211"/>
        <w:gridCol w:w="861"/>
        <w:gridCol w:w="109"/>
        <w:gridCol w:w="109"/>
        <w:gridCol w:w="109"/>
        <w:gridCol w:w="109"/>
        <w:gridCol w:w="211"/>
        <w:gridCol w:w="721"/>
        <w:gridCol w:w="109"/>
        <w:gridCol w:w="109"/>
        <w:gridCol w:w="109"/>
        <w:gridCol w:w="109"/>
        <w:gridCol w:w="211"/>
        <w:gridCol w:w="721"/>
        <w:gridCol w:w="109"/>
        <w:gridCol w:w="211"/>
        <w:gridCol w:w="721"/>
        <w:gridCol w:w="109"/>
        <w:gridCol w:w="109"/>
        <w:gridCol w:w="109"/>
        <w:gridCol w:w="109"/>
        <w:gridCol w:w="211"/>
        <w:gridCol w:w="721"/>
        <w:gridCol w:w="155"/>
      </w:tblGrid>
      <w:tr>
        <w:trPr/>
        <w:tc>
          <w:tcPr>
            <w:tcW w:w="968"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0" w:type="dxa"/>
            <w:gridSpan w:val="30"/>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24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b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0"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as reported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(gains) on investments</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Tangible Equity and Tangible Equity per Share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year ended December 31, 2021, our tangible equity per share decreased by 27.9%. Absent the $43.1 million of shareholder dividends in 2021, our tangible equity per share decreased by 21.5%.</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December 31, 2021, 2020 and 2019 and reconciles tangible equity to pre-dividend tangible equity as of December 31, 2021:</w:t>
      </w:r>
    </w:p>
    <w:tbl>
      <w:tblPr>
        <w:tblW w:w="10205" w:type="dxa"/>
        <w:jc w:val="left"/>
        <w:tblInd w:w="0" w:type="dxa"/>
        <w:tblCellMar>
          <w:top w:w="28" w:type="dxa"/>
          <w:left w:w="28" w:type="dxa"/>
          <w:bottom w:w="28" w:type="dxa"/>
          <w:right w:w="28" w:type="dxa"/>
        </w:tblCellMar>
      </w:tblPr>
      <w:tblGrid>
        <w:gridCol w:w="1020"/>
        <w:gridCol w:w="897"/>
        <w:gridCol w:w="901"/>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55"/>
      </w:tblGrid>
      <w:tr>
        <w:trPr/>
        <w:tc>
          <w:tcPr>
            <w:tcW w:w="1020"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7"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per share</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per share</w:t>
            </w:r>
          </w:p>
        </w:tc>
      </w:tr>
      <w:tr>
        <w:trPr/>
        <w:tc>
          <w:tcPr>
            <w:tcW w:w="2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7"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 share amounts)</w:t>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to shareholders for the year ended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Pre-dividend tangible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fixed maturity and preferred stock investments and borrowings are subject to interest rate risk. Increases and decreases in interest rates typically result in decreases and increases, respectively, in the fair value of these financial instruments.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majority of our investable assets come from premiums paid by policyholders. These funds are invested predominantly in high quality corporate, government and municipal bonds with relatively short durations. The investment portfolio has an average duration of approximately 4.0 years at December 31, 2021, and fixed maturity securities and preferred stock investments in the portfolio have an average rating by at least one nationally recognized rating organization of “AA-”. See Note 2 to the Notes to the Audited Consolidated Financial Statements for disclosure of contractual maturity dates of our fixed maturity portfolio. The changes in the estimated fair value of the fixed maturity portfolio classified as available-for-sale are presented as a component of shareholders’ equity in accumulated other comprehensive income, net of taxes.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Our investment manager employs a model to estimate the effect of interest rate risk on the fair values of our fixed maturity and preferred stock securities and our bank loan participations. Our bank loan participations are primarily floating-rate debt, so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interest rate risk and shows the effect of hypothetical changes in interest rates as of December 31, 2021. The selected hypothetical changes do not indicate what could be the potential best or worst case scenarios.</w:t>
      </w:r>
    </w:p>
    <w:tbl>
      <w:tblPr>
        <w:tblW w:w="10205" w:type="dxa"/>
        <w:jc w:val="left"/>
        <w:tblInd w:w="0" w:type="dxa"/>
        <w:tblCellMar>
          <w:top w:w="28" w:type="dxa"/>
          <w:left w:w="28" w:type="dxa"/>
          <w:bottom w:w="28" w:type="dxa"/>
          <w:right w:w="28" w:type="dxa"/>
        </w:tblCellMar>
      </w:tblPr>
      <w:tblGrid>
        <w:gridCol w:w="1256"/>
        <w:gridCol w:w="1063"/>
        <w:gridCol w:w="1066"/>
        <w:gridCol w:w="211"/>
        <w:gridCol w:w="976"/>
        <w:gridCol w:w="109"/>
        <w:gridCol w:w="109"/>
        <w:gridCol w:w="109"/>
        <w:gridCol w:w="109"/>
        <w:gridCol w:w="431"/>
        <w:gridCol w:w="431"/>
        <w:gridCol w:w="433"/>
        <w:gridCol w:w="109"/>
        <w:gridCol w:w="109"/>
        <w:gridCol w:w="109"/>
        <w:gridCol w:w="250"/>
        <w:gridCol w:w="1159"/>
        <w:gridCol w:w="128"/>
        <w:gridCol w:w="109"/>
        <w:gridCol w:w="109"/>
        <w:gridCol w:w="109"/>
        <w:gridCol w:w="366"/>
        <w:gridCol w:w="341"/>
        <w:gridCol w:w="1004"/>
      </w:tblGrid>
      <w:tr>
        <w:trPr/>
        <w:tc>
          <w:tcPr>
            <w:tcW w:w="1256"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3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3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Hypothetical</w:t>
              <w:br/>
              <w:t>Change in</w:t>
              <w:br/>
              <w:t>Interest Rates</w:t>
              <w:br/>
              <w:t>(bp=basis points)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 after</w:t>
              <w:br/>
              <w:t>Hypothetical Change</w:t>
              <w:br/>
              <w:t>in Interest Rates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Hypothetical Percentage</w:t>
              <w:br/>
              <w:t>Increase (Decrease) in</w:t>
              <w:br/>
              <w:t>Fair Value</w:t>
            </w:r>
          </w:p>
        </w:tc>
      </w:tr>
      <w:tr>
        <w:trPr/>
        <w:tc>
          <w:tcPr>
            <w:tcW w:w="3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and preferred stock investments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1,879,827 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decrease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1,818,093 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increase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1,663,436 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increase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1,585,701 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decrease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increase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155,275 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increase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154,502 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and junior subordinated 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decrease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338,099 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increase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379,596 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increase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400,345 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Equity Price Risk</w:t>
      </w:r>
    </w:p>
    <w:p>
      <w:pPr>
        <w:pStyle w:val="TextBody"/>
        <w:spacing w:lineRule="auto" w:line="288" w:before="0" w:after="120"/>
        <w:ind w:left="0" w:right="0" w:firstLine="405"/>
        <w:rPr/>
      </w:pPr>
      <w:r>
        <w:rPr>
          <w:rFonts w:ascii="Times New Roman;sans-serif" w:hAnsi="Times New Roman;sans-serif"/>
          <w:b w:val="false"/>
          <w:color w:val="000000"/>
          <w:sz w:val="20"/>
        </w:rPr>
        <w:t xml:space="preserve">A portion of our equity securities portfolio is invested in common stocks, which have historically produced higher long-term returns relative to fixed maturities. The changes in the estimated fair value of the common stocks in our equity securities portfolio are </w:t>
      </w:r>
      <w:r>
        <w:rPr>
          <w:rFonts w:ascii="Times New Roman;sans-serif" w:hAnsi="Times New Roman;sans-serif"/>
          <w:b w:val="false"/>
          <w:color w:val="231F20"/>
          <w:sz w:val="20"/>
        </w:rPr>
        <w:t>recognized in net income</w:t>
      </w:r>
      <w:r>
        <w:rPr>
          <w:rFonts w:ascii="Times New Roman;sans-serif" w:hAnsi="Times New Roman;sans-serif"/>
          <w:b w:val="false"/>
          <w:color w:val="000000"/>
          <w:sz w:val="20"/>
        </w:rPr>
        <w: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our common stock investments were concentrated in terms of the number of issuers and industries. Such concentrations can lead to higher levels of price volatility.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equity price risk related to common stock and shows the effect of a hypothetical 35% increase or decrease in the fair value of the common stocks in our equity securities portfolio as of December 31, 2021. We believe that this range represents a reasonably likely scenario, as the largest annual increases and decreases in the S&amp;P 500 Index in the past twenty-five years were 31.0% (1997) and (38.5%) (2008), respectively. The selected hypothetical changes do not indicate what could be the potential best or worst case scenarios.</w:t>
      </w:r>
    </w:p>
    <w:tbl>
      <w:tblPr>
        <w:tblW w:w="7093" w:type="dxa"/>
        <w:jc w:val="left"/>
        <w:tblInd w:w="0" w:type="dxa"/>
        <w:tblCellMar>
          <w:top w:w="28" w:type="dxa"/>
          <w:left w:w="28" w:type="dxa"/>
          <w:bottom w:w="28" w:type="dxa"/>
          <w:right w:w="28" w:type="dxa"/>
        </w:tblCellMar>
      </w:tblPr>
      <w:tblGrid>
        <w:gridCol w:w="1021"/>
        <w:gridCol w:w="896"/>
        <w:gridCol w:w="902"/>
        <w:gridCol w:w="211"/>
        <w:gridCol w:w="721"/>
        <w:gridCol w:w="109"/>
        <w:gridCol w:w="109"/>
        <w:gridCol w:w="109"/>
        <w:gridCol w:w="109"/>
        <w:gridCol w:w="404"/>
        <w:gridCol w:w="404"/>
        <w:gridCol w:w="406"/>
        <w:gridCol w:w="109"/>
        <w:gridCol w:w="109"/>
        <w:gridCol w:w="109"/>
        <w:gridCol w:w="264"/>
        <w:gridCol w:w="906"/>
        <w:gridCol w:w="195"/>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Hypothetical</w:t>
              <w:br/>
              <w:t>Price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 after</w:t>
              <w:br/>
              <w:t>Hypothetical</w:t>
              <w:br/>
              <w:t>Change in Prices</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 common stock</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increase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60,477 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decrease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29,119 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2021,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2021.</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120"/>
        <w:ind w:left="0" w:right="0" w:firstLine="405"/>
        <w:rPr/>
      </w:pPr>
      <w:r>
        <w:rPr>
          <w:rFonts w:ascii="Times New Roman;sans-serif" w:hAnsi="Times New Roman;sans-serif"/>
          <w:b w:val="false"/>
          <w:color w:val="000000"/>
          <w:sz w:val="20"/>
        </w:rPr>
        <w:t xml:space="preserve">Management has conducted an assessment, including testing, of the effectiveness of our internal control over financial reporting as of December 31, 2021. In making its assessment of internal control over financial reporting, management used the criteria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Based on this assessment, the Company’s management has concluded that, as of December 31, 2021, the Company’s internal control over financial reporting was effective.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Ernst &amp; Young LLP, the independent registered public accounting firm that audited the Consolidated Financial Statements of the Company included in this Annual Report, has audited the effectiveness of internal control over financial reporting as of December 31, 2021. Their attestation report, which expresses an unqualified opinion on the effectiveness of the Company’s internal control over financial reporting as of December 31, 2021, is included with our financial statements.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our quarter ended December 31, 2021 that have materially affected, or are reasonably likely to materially affect, our internal control over financial reporting.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6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(a) (1) and (2) Financial Statements and Financial Statement Schedules.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and Schedules” on Page F-1.</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(3) Exhibits</w:t>
      </w:r>
    </w:p>
    <w:tbl>
      <w:tblPr>
        <w:tblW w:w="10205" w:type="dxa"/>
        <w:jc w:val="center"/>
        <w:tblInd w:w="0" w:type="dxa"/>
        <w:tblCellMar>
          <w:top w:w="28" w:type="dxa"/>
          <w:left w:w="28" w:type="dxa"/>
          <w:bottom w:w="28" w:type="dxa"/>
          <w:right w:w="28" w:type="dxa"/>
        </w:tblCellMar>
      </w:tblPr>
      <w:tblGrid>
        <w:gridCol w:w="255"/>
        <w:gridCol w:w="225"/>
        <w:gridCol w:w="226"/>
        <w:gridCol w:w="109"/>
        <w:gridCol w:w="109"/>
        <w:gridCol w:w="109"/>
        <w:gridCol w:w="2723"/>
        <w:gridCol w:w="2657"/>
        <w:gridCol w:w="3792"/>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3"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c>
          <w:tcPr>
            <w:tcW w:w="3792"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Certificate of Incorporation of James River Group Holdings, Ltd. (incorporated by reference to Exhibit 3.1 of the Registration Statement on Form S-1, Registration No. 333-199958, filed with the Commission on November 7,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Certificate of Incorporation on Change of Name (incorporated by reference to Exhibit 3.2 of the Registration Statement on Form S-1, Registration No. 333-199958, filed with the Commission on November 7,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Memorandum of Association of James River Group Holdings, Ltd. (incorporated by reference to Exhibit 3.3 of the Registration Statement on Form S-1, Registration No. 333-199958, filed with the Commission on November 7,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Certificate of Deposit of Memorandum of Increase of Share Capital, dated December 24, 2007 (incorporated by reference to Exhibit 3.4 of the Registration Statement on Form S-1, Registration No. 333-199958, filed with the Commission on November 7,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Certificate of Deposit of Memorandum of Increase of Share Capital, dated October 7, 2009 (incorporated by reference to Exhibit 3.5 of the Registration Statement on Form S-1, Registration No. 333-199958, filed with the Commission on November 7,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Third Amended and Restated Bye-Laws of James River Group Holdings, Ltd. (incorporated by reference to Exhibit 3.6 to the Annual Report on Form 10-K filed on March 12, 2015,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Form of Certificate of Common Shares (incorporated by reference to Exhibit 4.1 of Amendment No. 3 to the Registration Statement on Form S-1, Registration No. 333-199958, filed with the Commission on December 9,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26, 2004, by and between James River Group, Inc. and Wilmington Trust Company, as Trustee, relating to Floating Rate Senior Debentures Due 2034+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26, 2004, by and between James River Group, Inc. and Wilmington Trust Company, as Trustee, relating to Floating Rate Junior Subordinated Debentures Due 2034+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of James River Capital Trust I, dated as of May 26, 2004, by and among James River Group, Inc., as Sponsor, Wilmington Trust Company, as Institutional Trustee and Delaware Trustee, the Regular Trustees (as defined therein), and the holders, from time to time, of undivided beneficial interests in James River Capital Trust 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Securities Guarantee Agreement, dated as of May 26, 2004, by James River Group, Inc., as Guarantor, and Wilmington Trust Company, as Preferred Guarantee Trustee, for the benefit of the holders of James River Capital Trust 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December 15, 2004, by and between James River Group, Inc. and Wilmington Trust Company, as Trustee, relating to Floating Rate Junior Subordinated Deferrable Interest Debentures Due 2034+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of James River Capital Trust II, dated as of December 15, 2004, by and among James River Group, Inc., as Sponsor, Wilmington Trust Company, as Institutional Trustee and Delaware Trustee, the Administrators (as defined therein), and the holders, from time to time, of undivided beneficial interests in the James River Capital Trust II+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December 15, 2004, by James River Group, Inc., as Guarantor, and Wilmington Trust Company, as Guarantee Trustee, for the benefit of the holders, from time to time, of the capital securities of James River Capital Trust II+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June 15, 2006, by and between James River Group, Inc. and Wilmington Trust Company, as Trustee, relating to Floating Rate Junior Subordinated Deferrable Interest Debentures Due 2036+</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of James River Capital Trust III, dated as of June 15, 2006, by and among James River Group, Inc., as Sponsor, Wilmington Trust Company, as Institutional Trustee and Delaware Trustee, the Administrators (as defined therein) and the holders, from time to time, of undivided beneficial interests in the James River Capital Trust III+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June 15, 2006, by James River Group, Inc., as Guarantor, and Wilmington Trust Company, as Guarantee Trustee, for the benefit of the holders, from time to time, of the capital securities of James River Capital Trust III+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December 11, 2007, by and between James River Group, Inc. and Wilmington Trust Company, as Trustee, relating to Fixed/Floating Rate Junior Subordinated Deferrable Interest Debentures Due 2037+</w:t>
            </w:r>
          </w:p>
        </w:tc>
      </w:tr>
    </w:tbl>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10205" w:type="dxa"/>
        <w:jc w:val="center"/>
        <w:tblInd w:w="0" w:type="dxa"/>
        <w:tblCellMar>
          <w:top w:w="28" w:type="dxa"/>
          <w:left w:w="28" w:type="dxa"/>
          <w:bottom w:w="28" w:type="dxa"/>
          <w:right w:w="28" w:type="dxa"/>
        </w:tblCellMar>
      </w:tblPr>
      <w:tblGrid>
        <w:gridCol w:w="255"/>
        <w:gridCol w:w="225"/>
        <w:gridCol w:w="226"/>
        <w:gridCol w:w="109"/>
        <w:gridCol w:w="109"/>
        <w:gridCol w:w="109"/>
        <w:gridCol w:w="2737"/>
        <w:gridCol w:w="2648"/>
        <w:gridCol w:w="3787"/>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2648" w:type="dxa"/>
            <w:tcBorders/>
            <w:shd w:fill="auto" w:val="clear"/>
            <w:vAlign w:val="center"/>
          </w:tcPr>
          <w:p>
            <w:pPr>
              <w:pStyle w:val="TableContents"/>
              <w:spacing w:before="0" w:after="283"/>
              <w:rPr>
                <w:sz w:val="4"/>
                <w:szCs w:val="4"/>
              </w:rPr>
            </w:pPr>
            <w:r>
              <w:rPr>
                <w:sz w:val="4"/>
                <w:szCs w:val="4"/>
              </w:rPr>
            </w:r>
          </w:p>
        </w:tc>
        <w:tc>
          <w:tcPr>
            <w:tcW w:w="3787"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dated December 11, 2007, by and among James River Group, Inc., as Sponsor, Wilmington Trust Company, as Institutional Trustee and Delaware Trustee and the Administrators (as defined therein) and the holders, from time to time, of undivided beneficial interests in James River Capital Trust IV+</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December 11, 2007, by James River Group, Inc., as Guarantor, and Wilmington Trust Company, as Guarantee Trustee, for the benefit of the holders, from time to time, of the capital securities of James River Capital Trust IV+</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January 10, 2008, among James River Group Holdings, Ltd. and Wilmington Trust Company, as Trustee relating to Fixed/Floating Rate Junior Subordinated Deferrable Interest Debentures Due 2038+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dated as of January 10, 2008, by and among James River Group Holdings, Ltd., as Sponsor, Wilmington Trust Company, as Institutional Trustee and Delaware Trustee and the Administrators (as defined therein) for the benefit of the holders, from time to time, of undivided beneficial interest in Franklin Holdings II (Bermuda) Capital Trust 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January 10, 2008, by and among James River Group Holdings, Ltd., as Guarantor, and Wilmington Trust Company, as Guarantee Trustee, for the benefit of the holders, from time to time, of the capital securities of Franklin Holdings II (Bermuda) Capital Trust I+</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Description of Registrant's Securities Registered under Section 12 of the Securities Exchange Act of 1934 (incorporated by reference to Exhibit 4.18 of the Annual Report on Form 10-K filed on February 27, 2020, Commission File No. 001-36777)</w:t>
              </w:r>
            </w:hyperlink>
            <w:r>
              <w:rPr>
                <w:color w:val="000000"/>
              </w:rPr>
              <w:t xml:space="preserve"> </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Second Amended and Restated Credit Agreement, dated as of November 8, 2019, by and among James River Group Holdings, Ltd., JRG Reinsurance Company, Ltd., KeyBank National Association as Administrative Agent and Letter of Credit Issuer, KeyBank National Association, SunTrust Robinson Humphrey, Inc., and BMO Capital Markets Corp. as Joint Book Runners and Joint Lead Arrangers, Bank of Montreal and SunTrust Bank as Co-Syndication Agents, and the lender parties thereto (incorporated by reference to Exhibit 10.1 of the Current Report on Form 8-K filed on November 12, 2019,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4q21jrvrex102.htm">
              <w:r>
                <w:rPr>
                  <w:rStyle w:val="InternetLink"/>
                  <w:rFonts w:ascii="Times New Roman;sans-serif" w:hAnsi="Times New Roman;sans-serif"/>
                  <w:b w:val="false"/>
                  <w:color w:val="0000FF"/>
                  <w:sz w:val="20"/>
                  <w:u w:val="single"/>
                </w:rPr>
                <w:t>First Amendment to Second Amended and Restated Credit Agreement, dated as of February 18, 2022, by and among James River Group Holdings, Ltd., JRG Reinsurance Company Ltd., KeyBank National Association as Administrative Agent and the lenders party thereto</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Continuing Guaranty of Payment, dated as of June 5, 2013, by James River Group, Inc., as Guarantor, pursuant to Credit Agreement, dated as of June 5, 2013, among James River Group Holdings, Ltd. and JRG Reinsurance Company Ltd., KeyBank National Association, as Administrative Agent and as Letter of Credit Issuer, and certain Lender parties (incorporated by reference to Exhibit 10.2 of the Registration Statement on Form S-1, Registration No. 333-199958, filed with the Commission on November 7,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Continuing Guaranty of Payment, dated as of December 15, 2015, by James River Group Holdings UK Limited, pursuant to Credit Agreement, dated as of June 5, 2013, among James River Group Holdings, Ltd. and JRG Reinsurance Company Ltd., KeyBank National Association, as Administrative Agent and as Letter of Credit Issuer, and certain Lender parties (incorporated by reference to Exhibit 10.5 to the Annual Report on Form 10-K filed on March 10, 2016,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 xml:space="preserve">Credit Agreement, dated as of August 2, 2017, among James River Group Holdings, Ltd., JRG Reinsurance Company Ltd. and BMO Harris Bank N.A. (incorporated by reference to Exhibit 10.1 of the Current Report on Form 8-K filed on August 3, 2017, Commission File No. 001-36777) </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First Amendment to Credit Agreement dated as of November 8, 2019 by and among James River Group Holdings, Ltd. and JRG Reinsurance Company Ltd., as the borrowers, and BMO Harris Bank, N.A., as the lender (incorporated by reference to Exhibit 10.2 of the Current Report on Form 8-K filed on November 12, 2019,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4q21jrvrex107.htm">
              <w:r>
                <w:rPr>
                  <w:rStyle w:val="InternetLink"/>
                  <w:rFonts w:ascii="Times New Roman;sans-serif" w:hAnsi="Times New Roman;sans-serif"/>
                  <w:b w:val="false"/>
                  <w:color w:val="0000FF"/>
                  <w:sz w:val="20"/>
                  <w:u w:val="single"/>
                </w:rPr>
                <w:t>Second Amendment to Credit Agreement dated as of February 18, 2022 by and among James River Group Holdings, Ltd. and JRG Reinsurance Company Ltd. as the borrowers, and BMO Harris Bank N.A., as the lender</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Pledge and Security Agreement, dated as of August 2, 2017, by and between JRG Reinsurance Company Ltd., and BMO Harris Bank N.A. (incorporated by reference to Exhibit 10.2 of the Current Report on Form 8-K filed on August 3, 2017,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Form of Director and Officer Indemnification Agreement (incorporated by reference to Exhibit 10.7 of Amendment No. 1 to the Registration Statement on Form S-1, Registration No. 333-199958, filed with the Commission on November 24,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Amended and Restated James River Group Holdings, Ltd. Equity Incentive Plan (incorporated by reference to Exhibit 10.8 of the Registration Statement on Form S-1, Registration No. 333-199958, filed with the Commission on November 7, 2014)*</w:t>
              </w:r>
            </w:hyperlink>
          </w:p>
        </w:tc>
      </w:tr>
    </w:tbl>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10205" w:type="dxa"/>
        <w:jc w:val="center"/>
        <w:tblInd w:w="0" w:type="dxa"/>
        <w:tblCellMar>
          <w:top w:w="28" w:type="dxa"/>
          <w:left w:w="28" w:type="dxa"/>
          <w:bottom w:w="28" w:type="dxa"/>
          <w:right w:w="28" w:type="dxa"/>
        </w:tblCellMar>
      </w:tblPr>
      <w:tblGrid>
        <w:gridCol w:w="212"/>
        <w:gridCol w:w="186"/>
        <w:gridCol w:w="188"/>
        <w:gridCol w:w="109"/>
        <w:gridCol w:w="109"/>
        <w:gridCol w:w="109"/>
        <w:gridCol w:w="2812"/>
        <w:gridCol w:w="2679"/>
        <w:gridCol w:w="3801"/>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2"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3801"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Form of Stock Option Agreement (Amended and Restated James River Group Holdings, Ltd. Equity Incentive Plan) (incorporated by reference to Exhibit 10.9 of the Registration Statement on Form S-1, Registration No. 333-199958, filed with the Commission on November 7,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First Amendment to the Amended and Restated James River Group Holdings, Ltd. Equity Incentive Plan (incorporated by reference to Exhibit 10.10 of Amendment No. 1 to the Registration Statement on Form S-1, Registration No. 333-199958, filed with the Commission on November 24,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James River Group Holdings, Ltd. 2014 Long-Term Incentive Plan (incorporated by reference to Exhibit 10.11 of Amendment No. 1 to the Registration Statement on Form S-1, Registration No. 333-199958, filed with the Commission on November 24,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Amendment to the James River Group Holdings, Ltd. 2014 Long-Term Incentive Plan (incorporated by reference to Exhibit 10.1 of the Current Report on Form 8-K filed on May 3, 2017, Commission File No. 001-36777)*</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Form of Nonqualified Share Option Agreement (James River Group Holdings, Ltd. 2014 Long-Term Incentive Plan) (incorporated by reference to Exhibit 10.12 of Amendment No. 1 to the Registration Statement on Form S-1, Registration No. 333-199958, filed with the Commission on November 24,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Form of Restricted Share Award Agreement (James River Group Holdings, Ltd. 2014 Long-Term Incentive Plan) (incorporated by reference to Exhibit 10.13 of Amendment No. 1 to the Registration Statement on Form S-1, Registration No. 333-199958, filed with the Commission on November 24,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Form of Restricted Share Unit Award Agreement (James River Group Holdings, Ltd. 2014 Long-Term Incentive Plan) (incorporated by reference to Exhibit 10.14 of Amendment No. 3 to the Registration Statement on Form S-1, Registration No. 333-199958, filed with the Commission on December 9,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James River Group Holdings, Ltd. 2014 Non-Employee Director Incentive Plan (incorporated by reference to Exhibit 10.15 of Amendment No. 1 to the Registration Statement on Form S-1, Registration No. 333-199958, filed with the Commission on November 24,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Amendment to the 2014 Non-Employee Director Incentive Plan (incorporated by reference to Exhibit 10.1 of the Current Report on Form 8-K filed on May 1, 2019, Commission File No. 001-36777)*</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Form of Restricted Share Award Agreement (James River Group Holdings, Ltd. 2014 Non-Employee Director Incentive Plan) (incorporated by reference to Exhibit 10.16 of Amendment No. 1 to the Registration Statement on Form S-1, Registration No. 333-199958, filed with the Commission on November 24,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Form of Restricted Share Unit Award Agreement (James River Group Holdings, Ltd., 2014 Non-Employee Director Incentive Plan) (incorporated by reference to Exhibit 10.17 of Amendment No. 3 to the Registration Statement on Form S-1, Registration No. 333-199958, filed with the Commission on December 9,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James River Management Company, Inc. Leadership Recognition Program (incorporated by reference to Exhibit 10.18 of Amendment No. 1 to the Registration Statement on Form S-1, Registration No. 333-199958, filed with the Commission on November 24, 2014)*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Employment Agreement, dated October 28, 2020, by and among Frank N. D’Orazio, James River Group Holdings, Ltd., and its subsidiary, James River Group, Inc. (incorporated by reference to Exhibit 10.1 to the Current Report on Form 8-K filed on November 2, 2020, Commission File No. 001-36777) *</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Separation and Release Agreement, dated November 2, 2020, by and among J. Adam Abram, James River Group Holdings, Ltd., and its subsidiary, James River Group, Inc. (incorporated by reference to Exhibit 10.2 to the Current Report on Form 8-K filed on November 2, 2020, Commission File No. 001-36777) *</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 xml:space="preserve">Separation and Release Agreement, dated as of August 2, 2021, by and among Robert P. Myron, James River Group Holdings, Ltd., and its subsidiary, James River Group, Inc. (incorporated by reference to Exhibit 10.1 of the Current Report on Form 8-K filed on August 4, 2021, Commission File No. 001-36777) * </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Employment Agreement, dated December 19, 2016, by and among James River Group Holdings, Ltd., James River Group, Inc., and Sarah C. Doran (incorporated by reference to Exhibit 10.1 to the Current Report on Form 8-K filed on December 22, 2016, Commission File No. 001-36777)*</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Amendment to Employment Agreement dated December 19, 2016, between Sarah C. Doran and James River Group Holdings, Ltd., and its subsidiary, James River Group, Inc. (incorporated by reference to Exhibit 10.1 to the Quarterly Report on Form 10-Q filed on November 8, 2018, Commission File No. 001-36777)*</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Amended and Restated Employment Agreement, dated January 15, 2018, by and among James River Group, Inc., certain subsidiaries of James River Group, Inc. and Richard Schmitzer (incorporated by reference to Exhibit 10.22 to Annual Report on Form 10-K filed on March 1, 2018, Commission File No. 001-36777)*</w:t>
              </w:r>
            </w:hyperlink>
          </w:p>
        </w:tc>
      </w:tr>
    </w:tbl>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10205" w:type="dxa"/>
        <w:jc w:val="center"/>
        <w:tblInd w:w="0" w:type="dxa"/>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c>
          <w:tcPr>
            <w:tcW w:w="3822"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FF"/>
                  <w:sz w:val="20"/>
                  <w:u w:val="single"/>
                </w:rPr>
                <w:t>James River Management Company, Inc. Leadership Recognition Program Award Letter, dated September 30, 2011 to Richard Schmitzer (incorporated by reference to Exhibit 10.22 of Amendment No. 1 to the Registration Statement on Form S-1, Registration No. 333-199958, filed with the Commission on November 24,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Employment Agreement, dated September 17, 2018, by and among James River Group, Inc., certain subsidiaries of James River Group, Inc. and Terry McCafferty, as supplemented by a letter agreement dated October 12, 2018 (incorporated by reference to Exhibit 10.30 to the Annual Report on Form 10-K filed on February 27, 2019,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Employment Agreement, dated April 5, 2018, by and among JRG Reinsurance Company, Ltd. and Daniel Heinlein (incorporated by reference to Exhibit 10.31 to the Annual Report on Form 10-K filed on February 27, 2019,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Loss Portfolio Transfer Reinsurance Agreement dated September 27, 2021 between James River Insurance Company and James River Casualty Company and Aleka Insurance, Inc. (incorporated by reference to Exhibit 10.1 on the Current Report on Form 8-K filed on September 30, 2021,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3">
              <w:r>
                <w:rPr>
                  <w:rStyle w:val="InternetLink"/>
                  <w:rFonts w:ascii="Times New Roman;sans-serif" w:hAnsi="Times New Roman;sans-serif"/>
                  <w:b w:val="false"/>
                  <w:color w:val="0000FF"/>
                  <w:sz w:val="20"/>
                  <w:u w:val="single"/>
                </w:rPr>
                <w:t>Trust Agreement dated September 27, 2021 among James River Insurance Company and James River Casualty Company, Aleka Insurance, Inc., and Wells Fargo Bank, N.A. (incorporated by reference to Exhibit 10.2 on the Current Report on Form 8-K filed on September 30, 2021,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44">
              <w:r>
                <w:rPr>
                  <w:rStyle w:val="InternetLink"/>
                </w:rPr>
                <w:t>I</w:t>
              </w:r>
            </w:hyperlink>
            <w:hyperlink r:id="rId45">
              <w:r>
                <w:rPr>
                  <w:rStyle w:val="InternetLink"/>
                </w:rPr>
                <w:t>nvestment Agreement, dated Febr</w:t>
              </w:r>
            </w:hyperlink>
            <w:hyperlink r:id="rId46">
              <w:r>
                <w:rPr>
                  <w:rStyle w:val="InternetLink"/>
                </w:rPr>
                <w:t>uary 24, 2022, by an</w:t>
              </w:r>
            </w:hyperlink>
            <w:hyperlink r:id="rId47">
              <w:r>
                <w:rPr>
                  <w:rStyle w:val="InternetLink"/>
                </w:rPr>
                <w:t>d b</w:t>
              </w:r>
            </w:hyperlink>
            <w:hyperlink r:id="rId48">
              <w:r>
                <w:rPr>
                  <w:rStyle w:val="InternetLink"/>
                </w:rPr>
                <w:t>etwee</w:t>
              </w:r>
            </w:hyperlink>
            <w:hyperlink r:id="rId49">
              <w:r>
                <w:rPr>
                  <w:rStyle w:val="InternetLink"/>
                </w:rPr>
                <w:t>n James River Group Holdings, Ltd. and GPC Partners Investments (Thames</w:t>
              </w:r>
            </w:hyperlink>
            <w:hyperlink r:id="rId50">
              <w:r>
                <w:rPr>
                  <w:rStyle w:val="InternetLink"/>
                </w:rPr>
                <w:t>) LP (incorporated by ref</w:t>
              </w:r>
            </w:hyperlink>
            <w:hyperlink r:id="rId51">
              <w:r>
                <w:rPr>
                  <w:rStyle w:val="InternetLink"/>
                </w:rPr>
                <w:t xml:space="preserve">erence </w:t>
              </w:r>
            </w:hyperlink>
            <w:hyperlink r:id="rId52">
              <w:r>
                <w:rPr>
                  <w:rStyle w:val="InternetLink"/>
                </w:rPr>
                <w:t>to Exhibit 10.1 on the Current Report on Form 8-K filed on February 28, 2022; Commission File No. 001-36777)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53">
              <w:r>
                <w:rPr>
                  <w:rStyle w:val="InternetLink"/>
                  <w:rFonts w:ascii="Times New Roman;sans-serif" w:hAnsi="Times New Roman;sans-serif"/>
                  <w:b w:val="false"/>
                  <w:color w:val="0000FF"/>
                  <w:sz w:val="20"/>
                  <w:u w:val="single"/>
                </w:rPr>
                <w:t>Loss Portfolio Transfer Retrocession Agreement entered into on February 23, 2022 by and between JRG Reinsurance Company Ltd. and Fortitude Reinsurance Company Ltd. (incorporated by reference to Exhibit 10.2 on the Current Report on Form 8-K filed on February 28, 2022; Commission File No. 001-36777)</w:t>
              </w:r>
            </w:hyperlink>
          </w:p>
        </w:tc>
      </w:tr>
    </w:tbl>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10205" w:type="dxa"/>
        <w:jc w:val="left"/>
        <w:tblInd w:w="0" w:type="dxa"/>
        <w:tblCellMar>
          <w:top w:w="28" w:type="dxa"/>
          <w:left w:w="28" w:type="dxa"/>
          <w:bottom w:w="28" w:type="dxa"/>
          <w:right w:w="28" w:type="dxa"/>
        </w:tblCellMar>
      </w:tblPr>
      <w:tblGrid>
        <w:gridCol w:w="289"/>
        <w:gridCol w:w="255"/>
        <w:gridCol w:w="256"/>
        <w:gridCol w:w="109"/>
        <w:gridCol w:w="109"/>
        <w:gridCol w:w="109"/>
        <w:gridCol w:w="2741"/>
        <w:gridCol w:w="2608"/>
        <w:gridCol w:w="3729"/>
      </w:tblGrid>
      <w:tr>
        <w:trPr/>
        <w:tc>
          <w:tcPr>
            <w:tcW w:w="28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1" w:type="dxa"/>
            <w:tcBorders/>
            <w:shd w:fill="auto" w:val="clear"/>
            <w:vAlign w:val="center"/>
          </w:tcPr>
          <w:p>
            <w:pPr>
              <w:pStyle w:val="TableContents"/>
              <w:spacing w:before="0" w:after="283"/>
              <w:rPr>
                <w:sz w:val="4"/>
                <w:szCs w:val="4"/>
              </w:rPr>
            </w:pPr>
            <w:r>
              <w:rPr>
                <w:sz w:val="4"/>
                <w:szCs w:val="4"/>
              </w:rPr>
            </w:r>
          </w:p>
        </w:tc>
        <w:tc>
          <w:tcPr>
            <w:tcW w:w="2608" w:type="dxa"/>
            <w:tcBorders/>
            <w:shd w:fill="auto" w:val="clear"/>
            <w:vAlign w:val="center"/>
          </w:tcPr>
          <w:p>
            <w:pPr>
              <w:pStyle w:val="TableContents"/>
              <w:spacing w:before="0" w:after="283"/>
              <w:rPr>
                <w:sz w:val="4"/>
                <w:szCs w:val="4"/>
              </w:rPr>
            </w:pPr>
            <w:r>
              <w:rPr>
                <w:sz w:val="4"/>
                <w:szCs w:val="4"/>
              </w:rPr>
            </w:r>
          </w:p>
        </w:tc>
        <w:tc>
          <w:tcPr>
            <w:tcW w:w="3729" w:type="dxa"/>
            <w:tcBorders/>
            <w:shd w:fill="auto" w:val="clear"/>
            <w:vAlign w:val="center"/>
          </w:tcPr>
          <w:p>
            <w:pPr>
              <w:pStyle w:val="TableContents"/>
              <w:spacing w:before="0" w:after="283"/>
              <w:rPr>
                <w:sz w:val="4"/>
                <w:szCs w:val="4"/>
              </w:rPr>
            </w:pPr>
            <w:r>
              <w:rPr>
                <w:sz w:val="4"/>
                <w:szCs w:val="4"/>
              </w:rPr>
            </w:r>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a4q21jrvrex211.htm">
              <w:r>
                <w:rPr>
                  <w:rStyle w:val="InternetLink"/>
                  <w:rFonts w:ascii="Times New Roman;sans-serif" w:hAnsi="Times New Roman;sans-serif"/>
                  <w:b w:val="false"/>
                  <w:color w:val="0000FF"/>
                  <w:sz w:val="20"/>
                  <w:u w:val="single"/>
                </w:rPr>
                <w:t>List of subsidiaries of James River Group Holdings, Ltd.</w:t>
              </w:r>
            </w:hyperlink>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4q21jrvrex231.htm">
              <w:r>
                <w:rPr>
                  <w:rStyle w:val="InternetLink"/>
                  <w:rFonts w:ascii="Times New Roman;sans-serif" w:hAnsi="Times New Roman;sans-serif"/>
                  <w:b w:val="false"/>
                  <w:color w:val="0000FF"/>
                  <w:sz w:val="20"/>
                  <w:u w:val="single"/>
                </w:rPr>
                <w:t>Consent of Ernst &amp; Young LLP, Independent Registered Public Accounting Firm</w:t>
              </w:r>
            </w:hyperlink>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4q21jrvrex311.htm">
              <w:r>
                <w:rPr>
                  <w:rStyle w:val="InternetLink"/>
                  <w:rFonts w:ascii="Times New Roman;sans-serif" w:hAnsi="Times New Roman;sans-serif"/>
                  <w:b w:val="false"/>
                  <w:color w:val="0000FF"/>
                  <w:sz w:val="20"/>
                  <w:u w:val="single"/>
                </w:rPr>
                <w:t>Principal Executive Officer Certification pursuant to Rule 13a-14(a)/15d-14(a)</w:t>
              </w:r>
            </w:hyperlink>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4q21jrvrex312.htm">
              <w:r>
                <w:rPr>
                  <w:rStyle w:val="InternetLink"/>
                  <w:rFonts w:ascii="Times New Roman;sans-serif" w:hAnsi="Times New Roman;sans-serif"/>
                  <w:b w:val="false"/>
                  <w:color w:val="0000FF"/>
                  <w:sz w:val="20"/>
                  <w:u w:val="single"/>
                </w:rPr>
                <w:t>Principal Financial Officer Certification pursuant to Rule 13a-14(a)/15d-14(a)</w:t>
              </w:r>
            </w:hyperlink>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4q21jrvrex321.htm">
              <w:r>
                <w:rPr>
                  <w:rStyle w:val="InternetLink"/>
                  <w:rFonts w:ascii="Times New Roman;sans-serif" w:hAnsi="Times New Roman;sans-serif"/>
                  <w:b w:val="false"/>
                  <w:color w:val="0000FF"/>
                  <w:sz w:val="20"/>
                  <w:u w:val="single"/>
                </w:rPr>
                <w:t>Principal Executive Officer and Principal Financial Officer Certification pursuant to 18 U.S.C. Section 1350, as adopted pursuant to Section 906 of the Sarbanes-Oxley Act of 2002.</w:t>
              </w:r>
            </w:hyperlink>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00"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 Exhibit 101.</w:t>
            </w:r>
          </w:p>
        </w:tc>
      </w:tr>
    </w:tbl>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Denotes a management contract or compensatory plan or arrangement.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Exhibit not filed with the Securities and Exchange Commission pursuant to Item 601(b)(4)(iii) of Regulation S-K. The Company will furnish a copy to the SEC upon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120"/>
        <w:jc w:val="center"/>
        <w:rPr/>
      </w:pPr>
      <w:r>
        <w:rPr/>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530" w:type="dxa"/>
        <w:jc w:val="left"/>
        <w:tblInd w:w="0" w:type="dxa"/>
        <w:tblCellMar>
          <w:top w:w="28" w:type="dxa"/>
          <w:left w:w="28" w:type="dxa"/>
          <w:bottom w:w="28" w:type="dxa"/>
          <w:right w:w="28" w:type="dxa"/>
        </w:tblCellMar>
      </w:tblPr>
      <w:tblGrid>
        <w:gridCol w:w="264"/>
        <w:gridCol w:w="232"/>
        <w:gridCol w:w="232"/>
        <w:gridCol w:w="232"/>
        <w:gridCol w:w="232"/>
        <w:gridCol w:w="232"/>
        <w:gridCol w:w="1024"/>
        <w:gridCol w:w="1024"/>
        <w:gridCol w:w="1027"/>
        <w:gridCol w:w="232"/>
        <w:gridCol w:w="232"/>
        <w:gridCol w:w="232"/>
        <w:gridCol w:w="391"/>
        <w:gridCol w:w="391"/>
        <w:gridCol w:w="553"/>
      </w:tblGrid>
      <w:tr>
        <w:trPr/>
        <w:tc>
          <w:tcPr>
            <w:tcW w:w="26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6530"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before="0" w:after="0"/>
              <w:jc w:val="left"/>
              <w:rPr/>
            </w:pPr>
            <w:r>
              <w:rPr/>
            </w:r>
          </w:p>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959" w:type="dxa"/>
        <w:jc w:val="left"/>
        <w:tblInd w:w="0" w:type="dxa"/>
        <w:tblCellMar>
          <w:top w:w="28" w:type="dxa"/>
          <w:left w:w="28" w:type="dxa"/>
          <w:bottom w:w="28" w:type="dxa"/>
          <w:right w:w="28" w:type="dxa"/>
        </w:tblCellMar>
      </w:tblPr>
      <w:tblGrid>
        <w:gridCol w:w="722"/>
        <w:gridCol w:w="633"/>
        <w:gridCol w:w="640"/>
        <w:gridCol w:w="109"/>
        <w:gridCol w:w="109"/>
        <w:gridCol w:w="109"/>
        <w:gridCol w:w="1319"/>
        <w:gridCol w:w="1319"/>
        <w:gridCol w:w="1337"/>
        <w:gridCol w:w="109"/>
        <w:gridCol w:w="109"/>
        <w:gridCol w:w="109"/>
        <w:gridCol w:w="389"/>
        <w:gridCol w:w="389"/>
        <w:gridCol w:w="557"/>
      </w:tblGrid>
      <w:tr>
        <w:trPr/>
        <w:tc>
          <w:tcPr>
            <w:tcW w:w="72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E. Crow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E. Crow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 Adam Abram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Non-Executive Chairman of the Board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 Adam Abram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Brown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L. Brown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Janet Cowell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Cowell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Kirstin Gould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Kirstin Gould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Jerry R. Masters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Jerry R. Masters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T. Oakes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Oakes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Patricia H. Roberts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Patricia H. Roberts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Ollie L. Sherman,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Ollie L. Sherman,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Sundar Srinivasan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19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Sundar Srinivasan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center"/>
        <w:rPr/>
      </w:pPr>
      <w:r>
        <w:rPr/>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 AND SCHEDULES</w:t>
      </w:r>
    </w:p>
    <w:tbl>
      <w:tblPr>
        <w:tblW w:w="10205" w:type="dxa"/>
        <w:jc w:val="left"/>
        <w:tblInd w:w="0" w:type="dxa"/>
        <w:tblCellMar>
          <w:top w:w="28" w:type="dxa"/>
          <w:left w:w="28" w:type="dxa"/>
          <w:bottom w:w="28" w:type="dxa"/>
          <w:right w:w="28" w:type="dxa"/>
        </w:tblCellMar>
      </w:tblPr>
      <w:tblGrid>
        <w:gridCol w:w="1442"/>
        <w:gridCol w:w="1205"/>
        <w:gridCol w:w="1205"/>
        <w:gridCol w:w="1997"/>
        <w:gridCol w:w="1880"/>
        <w:gridCol w:w="1931"/>
        <w:gridCol w:w="158"/>
        <w:gridCol w:w="158"/>
        <w:gridCol w:w="229"/>
      </w:tblGrid>
      <w:tr>
        <w:trPr/>
        <w:tc>
          <w:tcPr>
            <w:tcW w:w="144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3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94">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E32E1"/>
                <w:sz w:val="20"/>
                <w:u w:val="single"/>
              </w:rPr>
              <w:t>42</w:t>
            </w:r>
            <w:hyperlink w:anchor="iccfdafa41a104136acbc204fcaa30e50_94">
              <w:r>
                <w:rPr>
                  <w:rStyle w:val="InternetLink"/>
                  <w:rFonts w:ascii="Times New Roman;sans-serif" w:hAnsi="Times New Roman;sans-serif"/>
                  <w:b w:val="false"/>
                  <w:color w:val="0000FF"/>
                  <w:sz w:val="20"/>
                  <w:u w:val="single"/>
                </w:rPr>
                <w:t>)</w:t>
              </w:r>
            </w:hyperlink>
          </w:p>
        </w:tc>
        <w:tc>
          <w:tcPr>
            <w:tcW w:w="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ccfdafa41a104136acbc204fcaa30e50_94">
              <w:r>
                <w:rPr>
                  <w:rStyle w:val="InternetLink"/>
                  <w:rFonts w:ascii="Times New Roman;sans-serif" w:hAnsi="Times New Roman;sans-serif"/>
                  <w:b w:val="false"/>
                  <w:color w:val="0000FF"/>
                  <w:sz w:val="20"/>
                  <w:u w:val="single"/>
                </w:rPr>
                <w:t>2</w:t>
              </w:r>
            </w:hyperlink>
          </w:p>
        </w:tc>
      </w:tr>
      <w:tr>
        <w:trPr/>
        <w:tc>
          <w:tcPr>
            <w:tcW w:w="9660"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97">
              <w:r>
                <w:rPr>
                  <w:rStyle w:val="InternetLink"/>
                  <w:rFonts w:ascii="Times New Roman;sans-serif" w:hAnsi="Times New Roman;sans-serif"/>
                  <w:b w:val="false"/>
                  <w:color w:val="0000FF"/>
                  <w:sz w:val="20"/>
                  <w:u w:val="single"/>
                </w:rPr>
                <w:t>Report of Independent Registered Public Accounting Firm on Internal Control over Financial Reporting</w:t>
              </w:r>
            </w:hyperlink>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97">
              <w:r>
                <w:rPr>
                  <w:rStyle w:val="InternetLink"/>
                  <w:rFonts w:ascii="Times New Roman;sans-serif" w:hAnsi="Times New Roman;sans-serif"/>
                  <w:b w:val="false"/>
                  <w:color w:val="0000FF"/>
                  <w:sz w:val="20"/>
                  <w:u w:val="single"/>
                </w:rPr>
                <w:t>4</w:t>
              </w:r>
            </w:hyperlink>
          </w:p>
        </w:tc>
      </w:tr>
      <w:tr>
        <w:trPr/>
        <w:tc>
          <w:tcPr>
            <w:tcW w:w="966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00">
              <w:r>
                <w:rPr>
                  <w:rStyle w:val="InternetLink"/>
                  <w:rFonts w:ascii="Times New Roman;sans-serif" w:hAnsi="Times New Roman;sans-serif"/>
                  <w:b w:val="false"/>
                  <w:color w:val="0000FF"/>
                  <w:sz w:val="20"/>
                  <w:u w:val="single"/>
                </w:rPr>
                <w:t>Consolidated Balance Sheets as of December 31, 2021 and 2020</w:t>
              </w:r>
            </w:hyperlink>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00">
              <w:r>
                <w:rPr>
                  <w:rStyle w:val="InternetLink"/>
                  <w:rFonts w:ascii="Times New Roman;sans-serif" w:hAnsi="Times New Roman;sans-serif"/>
                  <w:b w:val="false"/>
                  <w:color w:val="0000FF"/>
                  <w:sz w:val="20"/>
                  <w:u w:val="single"/>
                </w:rPr>
                <w:t>5</w:t>
              </w:r>
            </w:hyperlink>
          </w:p>
        </w:tc>
      </w:tr>
      <w:tr>
        <w:trPr/>
        <w:tc>
          <w:tcPr>
            <w:tcW w:w="9660"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03">
              <w:r>
                <w:rPr>
                  <w:rStyle w:val="InternetLink"/>
                  <w:rFonts w:ascii="Times New Roman;sans-serif" w:hAnsi="Times New Roman;sans-serif"/>
                  <w:b w:val="false"/>
                  <w:color w:val="0000FF"/>
                  <w:sz w:val="20"/>
                  <w:u w:val="single"/>
                </w:rPr>
                <w:t>Consolidated Statements of Income and Comprehensive Income for the Years Ended</w:t>
              </w:r>
            </w:hyperlink>
          </w:p>
          <w:p>
            <w:pPr>
              <w:pStyle w:val="TableContents"/>
              <w:spacing w:lineRule="auto" w:line="240" w:before="0" w:after="0"/>
              <w:ind w:left="0" w:right="0" w:firstLine="360"/>
              <w:jc w:val="left"/>
              <w:rPr/>
            </w:pPr>
            <w:hyperlink w:anchor="iccfdafa41a104136acbc204fcaa30e50_103">
              <w:r>
                <w:rPr>
                  <w:rStyle w:val="InternetLink"/>
                  <w:rFonts w:ascii="Times New Roman;sans-serif" w:hAnsi="Times New Roman;sans-serif"/>
                  <w:b w:val="false"/>
                  <w:color w:val="0000FF"/>
                  <w:sz w:val="20"/>
                  <w:u w:val="single"/>
                </w:rPr>
                <w:t>December 31, 2021, 2020 and 2019</w:t>
              </w:r>
            </w:hyperlink>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03">
              <w:r>
                <w:rPr>
                  <w:rStyle w:val="InternetLink"/>
                  <w:rFonts w:ascii="Times New Roman;sans-serif" w:hAnsi="Times New Roman;sans-serif"/>
                  <w:b w:val="false"/>
                  <w:color w:val="0000FF"/>
                  <w:sz w:val="20"/>
                  <w:u w:val="single"/>
                </w:rPr>
                <w:t>7</w:t>
              </w:r>
            </w:hyperlink>
          </w:p>
        </w:tc>
      </w:tr>
      <w:tr>
        <w:trPr/>
        <w:tc>
          <w:tcPr>
            <w:tcW w:w="966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06">
              <w:r>
                <w:rPr>
                  <w:rStyle w:val="InternetLink"/>
                  <w:rFonts w:ascii="Times New Roman;sans-serif" w:hAnsi="Times New Roman;sans-serif"/>
                  <w:b w:val="false"/>
                  <w:color w:val="0000FF"/>
                  <w:sz w:val="20"/>
                  <w:u w:val="single"/>
                </w:rPr>
                <w:t>Consolidated Statements of Changes in Shareholders’ Equity for the Years Ended</w:t>
              </w:r>
            </w:hyperlink>
          </w:p>
          <w:p>
            <w:pPr>
              <w:pStyle w:val="TableContents"/>
              <w:spacing w:lineRule="auto" w:line="240" w:before="0" w:after="0"/>
              <w:ind w:left="0" w:right="0" w:firstLine="360"/>
              <w:jc w:val="left"/>
              <w:rPr/>
            </w:pPr>
            <w:hyperlink w:anchor="iccfdafa41a104136acbc204fcaa30e50_106">
              <w:r>
                <w:rPr>
                  <w:rStyle w:val="InternetLink"/>
                  <w:rFonts w:ascii="Times New Roman;sans-serif" w:hAnsi="Times New Roman;sans-serif"/>
                  <w:b w:val="false"/>
                  <w:color w:val="0000FF"/>
                  <w:sz w:val="20"/>
                  <w:u w:val="single"/>
                </w:rPr>
                <w:t>December 31, 2021, 2020 and 2019</w:t>
              </w:r>
            </w:hyperlink>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06">
              <w:r>
                <w:rPr>
                  <w:rStyle w:val="InternetLink"/>
                  <w:rFonts w:ascii="Times New Roman;sans-serif" w:hAnsi="Times New Roman;sans-serif"/>
                  <w:b w:val="false"/>
                  <w:color w:val="0000FF"/>
                  <w:sz w:val="20"/>
                  <w:u w:val="single"/>
                </w:rPr>
                <w:t>8</w:t>
              </w:r>
            </w:hyperlink>
          </w:p>
        </w:tc>
      </w:tr>
      <w:tr>
        <w:trPr/>
        <w:tc>
          <w:tcPr>
            <w:tcW w:w="9660"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09">
              <w:r>
                <w:rPr>
                  <w:rStyle w:val="InternetLink"/>
                  <w:rFonts w:ascii="Times New Roman;sans-serif" w:hAnsi="Times New Roman;sans-serif"/>
                  <w:b w:val="false"/>
                  <w:color w:val="0000FF"/>
                  <w:sz w:val="20"/>
                  <w:u w:val="single"/>
                </w:rPr>
                <w:t>Consolidated Statements of Cash Flows for the Years Ended December 31, 2021, 2020 and 2019</w:t>
              </w:r>
            </w:hyperlink>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09">
              <w:r>
                <w:rPr>
                  <w:rStyle w:val="InternetLink"/>
                  <w:rFonts w:ascii="Times New Roman;sans-serif" w:hAnsi="Times New Roman;sans-serif"/>
                  <w:b w:val="false"/>
                  <w:color w:val="0000FF"/>
                  <w:sz w:val="20"/>
                  <w:u w:val="single"/>
                </w:rPr>
                <w:t>9</w:t>
              </w:r>
            </w:hyperlink>
          </w:p>
        </w:tc>
      </w:tr>
      <w:tr>
        <w:trPr/>
        <w:tc>
          <w:tcPr>
            <w:tcW w:w="966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12">
              <w:r>
                <w:rPr>
                  <w:rStyle w:val="InternetLink"/>
                  <w:rFonts w:ascii="Times New Roman;sans-serif" w:hAnsi="Times New Roman;sans-serif"/>
                  <w:b w:val="false"/>
                  <w:color w:val="0000FF"/>
                  <w:sz w:val="20"/>
                  <w:u w:val="single"/>
                </w:rPr>
                <w:t>Notes to Consolidated Financial Statements for the Years Ended December 31, 2021, 2020 and 2019</w:t>
              </w:r>
            </w:hyperlink>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12">
              <w:r>
                <w:rPr>
                  <w:rStyle w:val="InternetLink"/>
                  <w:rFonts w:ascii="Times New Roman;sans-serif" w:hAnsi="Times New Roman;sans-serif"/>
                  <w:b w:val="false"/>
                  <w:color w:val="0000FF"/>
                  <w:sz w:val="20"/>
                  <w:u w:val="single"/>
                </w:rPr>
                <w:t>10</w:t>
              </w:r>
            </w:hyperlink>
          </w:p>
        </w:tc>
      </w:tr>
      <w:tr>
        <w:trPr/>
        <w:tc>
          <w:tcPr>
            <w:tcW w:w="385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0">
              <w:r>
                <w:rPr>
                  <w:rStyle w:val="InternetLink"/>
                  <w:rFonts w:ascii="Times New Roman;sans-serif" w:hAnsi="Times New Roman;sans-serif"/>
                  <w:b w:val="false"/>
                  <w:color w:val="0000FF"/>
                  <w:sz w:val="20"/>
                  <w:u w:val="single"/>
                </w:rPr>
                <w:t>Schedule I</w:t>
              </w:r>
            </w:hyperlink>
          </w:p>
        </w:tc>
        <w:tc>
          <w:tcPr>
            <w:tcW w:w="58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0">
              <w:r>
                <w:rPr>
                  <w:rStyle w:val="InternetLink"/>
                  <w:rFonts w:ascii="Times New Roman;sans-serif" w:hAnsi="Times New Roman;sans-serif"/>
                  <w:b w:val="false"/>
                  <w:color w:val="0000FF"/>
                  <w:sz w:val="20"/>
                  <w:u w:val="single"/>
                </w:rPr>
                <w:t>Summary of Investments</w:t>
              </w:r>
            </w:hyperlink>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90">
              <w:r>
                <w:rPr>
                  <w:rStyle w:val="InternetLink"/>
                  <w:rFonts w:ascii="Times New Roman;sans-serif" w:hAnsi="Times New Roman;sans-serif"/>
                  <w:b w:val="false"/>
                  <w:color w:val="0000FF"/>
                  <w:sz w:val="20"/>
                  <w:u w:val="single"/>
                </w:rPr>
                <w:t>53</w:t>
              </w:r>
            </w:hyperlink>
          </w:p>
        </w:tc>
      </w:tr>
      <w:tr>
        <w:trPr/>
        <w:tc>
          <w:tcPr>
            <w:tcW w:w="38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3">
              <w:r>
                <w:rPr>
                  <w:rStyle w:val="InternetLink"/>
                  <w:rFonts w:ascii="Times New Roman;sans-serif" w:hAnsi="Times New Roman;sans-serif"/>
                  <w:b w:val="false"/>
                  <w:color w:val="0000FF"/>
                  <w:sz w:val="20"/>
                  <w:u w:val="single"/>
                </w:rPr>
                <w:t>Schedule II</w:t>
              </w:r>
            </w:hyperlink>
          </w:p>
        </w:tc>
        <w:tc>
          <w:tcPr>
            <w:tcW w:w="58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3">
              <w:r>
                <w:rPr>
                  <w:rStyle w:val="InternetLink"/>
                  <w:rFonts w:ascii="Times New Roman;sans-serif" w:hAnsi="Times New Roman;sans-serif"/>
                  <w:b w:val="false"/>
                  <w:color w:val="0000FF"/>
                  <w:sz w:val="20"/>
                  <w:u w:val="single"/>
                </w:rPr>
                <w:t>Condensed Financial Information of Registrant</w:t>
              </w:r>
            </w:hyperlink>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93">
              <w:r>
                <w:rPr>
                  <w:rStyle w:val="InternetLink"/>
                  <w:rFonts w:ascii="Times New Roman;sans-serif" w:hAnsi="Times New Roman;sans-serif"/>
                  <w:b w:val="false"/>
                  <w:color w:val="0000FF"/>
                  <w:sz w:val="20"/>
                  <w:u w:val="single"/>
                </w:rPr>
                <w:t>54</w:t>
              </w:r>
            </w:hyperlink>
          </w:p>
        </w:tc>
      </w:tr>
      <w:tr>
        <w:trPr/>
        <w:tc>
          <w:tcPr>
            <w:tcW w:w="385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6">
              <w:r>
                <w:rPr>
                  <w:rStyle w:val="InternetLink"/>
                  <w:rFonts w:ascii="Times New Roman;sans-serif" w:hAnsi="Times New Roman;sans-serif"/>
                  <w:b w:val="false"/>
                  <w:color w:val="0000FF"/>
                  <w:sz w:val="20"/>
                  <w:u w:val="single"/>
                </w:rPr>
                <w:t>Schedule III</w:t>
              </w:r>
            </w:hyperlink>
          </w:p>
        </w:tc>
        <w:tc>
          <w:tcPr>
            <w:tcW w:w="58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6">
              <w:r>
                <w:rPr>
                  <w:rStyle w:val="InternetLink"/>
                  <w:rFonts w:ascii="Times New Roman;sans-serif" w:hAnsi="Times New Roman;sans-serif"/>
                  <w:b w:val="false"/>
                  <w:color w:val="0000FF"/>
                  <w:sz w:val="20"/>
                  <w:u w:val="single"/>
                </w:rPr>
                <w:t>Supplementary Insurance Information</w:t>
              </w:r>
            </w:hyperlink>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96">
              <w:r>
                <w:rPr>
                  <w:rStyle w:val="InternetLink"/>
                  <w:rFonts w:ascii="Times New Roman;sans-serif" w:hAnsi="Times New Roman;sans-serif"/>
                  <w:b w:val="false"/>
                  <w:color w:val="0000FF"/>
                  <w:sz w:val="20"/>
                  <w:u w:val="single"/>
                </w:rPr>
                <w:t>58</w:t>
              </w:r>
            </w:hyperlink>
          </w:p>
        </w:tc>
      </w:tr>
      <w:tr>
        <w:trPr/>
        <w:tc>
          <w:tcPr>
            <w:tcW w:w="38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9">
              <w:r>
                <w:rPr>
                  <w:rStyle w:val="InternetLink"/>
                  <w:rFonts w:ascii="Times New Roman;sans-serif" w:hAnsi="Times New Roman;sans-serif"/>
                  <w:b w:val="false"/>
                  <w:color w:val="0000FF"/>
                  <w:sz w:val="20"/>
                  <w:u w:val="single"/>
                </w:rPr>
                <w:t>Schedule IV</w:t>
              </w:r>
            </w:hyperlink>
          </w:p>
        </w:tc>
        <w:tc>
          <w:tcPr>
            <w:tcW w:w="58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199">
              <w:r>
                <w:rPr>
                  <w:rStyle w:val="InternetLink"/>
                  <w:rFonts w:ascii="Times New Roman;sans-serif" w:hAnsi="Times New Roman;sans-serif"/>
                  <w:b w:val="false"/>
                  <w:color w:val="0000FF"/>
                  <w:sz w:val="20"/>
                  <w:u w:val="single"/>
                </w:rPr>
                <w:t>Reinsurance</w:t>
              </w:r>
            </w:hyperlink>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199">
              <w:r>
                <w:rPr>
                  <w:rStyle w:val="InternetLink"/>
                  <w:rFonts w:ascii="Times New Roman;sans-serif" w:hAnsi="Times New Roman;sans-serif"/>
                  <w:b w:val="false"/>
                  <w:color w:val="0000FF"/>
                  <w:sz w:val="20"/>
                  <w:u w:val="single"/>
                </w:rPr>
                <w:t>59</w:t>
              </w:r>
            </w:hyperlink>
          </w:p>
        </w:tc>
      </w:tr>
      <w:tr>
        <w:trPr/>
        <w:tc>
          <w:tcPr>
            <w:tcW w:w="385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02">
              <w:r>
                <w:rPr>
                  <w:rStyle w:val="InternetLink"/>
                  <w:rFonts w:ascii="Times New Roman;sans-serif" w:hAnsi="Times New Roman;sans-serif"/>
                  <w:b w:val="false"/>
                  <w:color w:val="0000FF"/>
                  <w:sz w:val="20"/>
                  <w:u w:val="single"/>
                </w:rPr>
                <w:t>Schedule V</w:t>
              </w:r>
            </w:hyperlink>
          </w:p>
        </w:tc>
        <w:tc>
          <w:tcPr>
            <w:tcW w:w="58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02">
              <w:r>
                <w:rPr>
                  <w:rStyle w:val="InternetLink"/>
                  <w:rFonts w:ascii="Times New Roman;sans-serif" w:hAnsi="Times New Roman;sans-serif"/>
                  <w:b w:val="false"/>
                  <w:color w:val="0000FF"/>
                  <w:sz w:val="20"/>
                  <w:u w:val="single"/>
                </w:rPr>
                <w:t>Valuation and Qualifying Accounts</w:t>
              </w:r>
            </w:hyperlink>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202">
              <w:r>
                <w:rPr>
                  <w:rStyle w:val="InternetLink"/>
                  <w:rFonts w:ascii="Times New Roman;sans-serif" w:hAnsi="Times New Roman;sans-serif"/>
                  <w:b w:val="false"/>
                  <w:color w:val="0000FF"/>
                  <w:sz w:val="20"/>
                  <w:u w:val="single"/>
                </w:rPr>
                <w:t>60</w:t>
              </w:r>
            </w:hyperlink>
          </w:p>
        </w:tc>
      </w:tr>
      <w:tr>
        <w:trPr/>
        <w:tc>
          <w:tcPr>
            <w:tcW w:w="38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05">
              <w:r>
                <w:rPr>
                  <w:rStyle w:val="InternetLink"/>
                  <w:rFonts w:ascii="Times New Roman;sans-serif" w:hAnsi="Times New Roman;sans-serif"/>
                  <w:b w:val="false"/>
                  <w:color w:val="0000FF"/>
                  <w:sz w:val="20"/>
                  <w:u w:val="single"/>
                </w:rPr>
                <w:t>Schedule VI</w:t>
              </w:r>
            </w:hyperlink>
          </w:p>
        </w:tc>
        <w:tc>
          <w:tcPr>
            <w:tcW w:w="58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cfdafa41a104136acbc204fcaa30e50_205">
              <w:r>
                <w:rPr>
                  <w:rStyle w:val="InternetLink"/>
                  <w:rFonts w:ascii="Times New Roman;sans-serif" w:hAnsi="Times New Roman;sans-serif"/>
                  <w:b w:val="false"/>
                  <w:color w:val="0000FF"/>
                  <w:sz w:val="20"/>
                  <w:u w:val="single"/>
                </w:rPr>
                <w:t>Supplementary Information Concerning Property Casualty Insurance Operations</w:t>
              </w:r>
            </w:hyperlink>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cfdafa41a104136acbc204fcaa30e50_205">
              <w:r>
                <w:rPr>
                  <w:rStyle w:val="InternetLink"/>
                  <w:rFonts w:ascii="Times New Roman;sans-serif" w:hAnsi="Times New Roman;sans-serif"/>
                  <w:b w:val="false"/>
                  <w:color w:val="0000FF"/>
                  <w:sz w:val="20"/>
                  <w:u w:val="single"/>
                </w:rPr>
                <w:t>61</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James River Group Holdings, Ltd.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rPr/>
      </w:pPr>
      <w:r>
        <w:rPr/>
      </w:r>
    </w:p>
    <w:p>
      <w:pPr>
        <w:pStyle w:val="TextBody"/>
        <w:spacing w:lineRule="auto" w:line="288" w:before="0" w:after="0"/>
        <w:ind w:left="0" w:right="0" w:firstLine="360"/>
        <w:rPr/>
      </w:pPr>
      <w:r>
        <w:rPr>
          <w:rFonts w:ascii="Times New Roman;sans-serif" w:hAnsi="Times New Roman;sans-serif"/>
          <w:b w:val="false"/>
          <w:color w:val="000000"/>
          <w:sz w:val="20"/>
        </w:rPr>
        <w:t>We have audited the accompanying consolidated balance sheets of James River Group Holdings, Ltd. and subsidiaries (the Company) as of December 31, 2021 and 2020, the related consolidated statements of (loss) income and</w:t>
      </w:r>
      <w:r>
        <w:rPr>
          <w:color w:val="000000"/>
        </w:rPr>
        <w:t xml:space="preserve"> </w:t>
      </w:r>
      <w:r>
        <w:rPr>
          <w:rFonts w:ascii="Times New Roman;sans-serif" w:hAnsi="Times New Roman;sans-serif"/>
          <w:b w:val="false"/>
          <w:color w:val="000000"/>
          <w:sz w:val="20"/>
        </w:rPr>
        <w:t xml:space="preserve">comprehensive (loss) income, changes in shareholders' equity and cash flows for each of the three years in the period ended December 31, 2021, and the related notes and the financial statement schedules listed in the Index at Item 15(a)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0" w:after="0"/>
        <w:rPr/>
      </w:pPr>
      <w:r>
        <w:rPr/>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tbl>
      <w:tblPr>
        <w:tblW w:w="10205" w:type="dxa"/>
        <w:jc w:val="left"/>
        <w:tblInd w:w="0" w:type="dxa"/>
        <w:tblCellMar>
          <w:top w:w="28" w:type="dxa"/>
          <w:left w:w="28" w:type="dxa"/>
          <w:bottom w:w="28" w:type="dxa"/>
          <w:right w:w="28" w:type="dxa"/>
        </w:tblCellMar>
      </w:tblPr>
      <w:tblGrid>
        <w:gridCol w:w="463"/>
        <w:gridCol w:w="407"/>
        <w:gridCol w:w="409"/>
        <w:gridCol w:w="109"/>
        <w:gridCol w:w="109"/>
        <w:gridCol w:w="109"/>
        <w:gridCol w:w="2760"/>
        <w:gridCol w:w="2415"/>
        <w:gridCol w:w="3424"/>
      </w:tblGrid>
      <w:tr>
        <w:trPr/>
        <w:tc>
          <w:tcPr>
            <w:tcW w:w="46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0" w:type="dxa"/>
            <w:tcBorders/>
            <w:shd w:fill="auto" w:val="clear"/>
            <w:vAlign w:val="center"/>
          </w:tcPr>
          <w:p>
            <w:pPr>
              <w:pStyle w:val="TableContents"/>
              <w:spacing w:before="0" w:after="283"/>
              <w:rPr>
                <w:sz w:val="4"/>
                <w:szCs w:val="4"/>
              </w:rPr>
            </w:pPr>
            <w:r>
              <w:rPr>
                <w:sz w:val="4"/>
                <w:szCs w:val="4"/>
              </w:rPr>
            </w:r>
          </w:p>
        </w:tc>
        <w:tc>
          <w:tcPr>
            <w:tcW w:w="2415" w:type="dxa"/>
            <w:tcBorders/>
            <w:shd w:fill="auto" w:val="clear"/>
            <w:vAlign w:val="center"/>
          </w:tcPr>
          <w:p>
            <w:pPr>
              <w:pStyle w:val="TableContents"/>
              <w:spacing w:before="0" w:after="283"/>
              <w:rPr>
                <w:sz w:val="4"/>
                <w:szCs w:val="4"/>
              </w:rPr>
            </w:pPr>
            <w:r>
              <w:rPr>
                <w:sz w:val="4"/>
                <w:szCs w:val="4"/>
              </w:rPr>
            </w:r>
          </w:p>
        </w:tc>
        <w:tc>
          <w:tcPr>
            <w:tcW w:w="342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Valuation of incurred but not reported reserves</w:t>
            </w:r>
          </w:p>
        </w:tc>
      </w:tr>
      <w:tr>
        <w:trPr/>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Company’s reserve for losses and loss adjustment expenses balance was $2.7 billion, of which $1.6 billion relates to incurred but not reported (“IBNR”) reserves. The carrying amount is management’s best estimate of the ultimate liability, which in turn is composed of known reported losses and an estimate of incurred losses that have not been reported to the Company. As described in Note 1 of the consolidated financial statements, there is significant uncertainty inherent in determining management’s best estimate of the ultimate loss settlement cost which is used to determine the IBNR reserves. In particular, the estimate is subject to a number of variables, given the long-tailed nature of the business generally written by the Company and the limited operating experience of certain lines of business. These variables include the initial expected loss ratio, the incurred and paid loss development factors, and the weighting of the five actuarial methods to be used for each accident year and line of business.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management’s best estimate of the IBNR reserves involved the use of actuarial specialists and a high degree of subjectivity in evaluating management’s methods and variables included in the estimate of the ultimate loss settlement cost. These variables have a significant effect on the valuation of the IBNR reserves.</w:t>
            </w:r>
          </w:p>
        </w:tc>
      </w:tr>
      <w:tr>
        <w:trPr/>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over the process to estimate the IBNR reserves, including, among others, the review and approval processes that management has in place for the methods and assumptions used in estimating the IBNR reserves. </w:t>
            </w:r>
          </w:p>
          <w:p>
            <w:pPr>
              <w:pStyle w:val="TableContents"/>
              <w:spacing w:before="0" w:after="0"/>
              <w:jc w:val="left"/>
              <w:rPr/>
            </w:pPr>
            <w:r>
              <w:rPr/>
            </w:r>
          </w:p>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IBNR reserves, our procedures included, among others, the involvement of actuarial specialists to assist with the evaluation of the Company’s selection and weighting of actuarial methods used in their analysis and a comparison of those methods used in prior periods and those used in the industry. We also independently calculated a range of reasonable reserve estimates and performed independent projections for certain lines of business. Our independent ranges consider the sensitivity of the reserve projections to reasonable fluctuations in assumptions of key variables to determine the effect of reasonable changes in those assumptions on projected IBNR. We compared the range of reasonable reserve estimates to management’s recorded best estimate and performed a review of the historical results of the development of the estimate. Additionally, to evaluate the significant assumptions in the variables used by management in the actuarial methods, we compared the significant variables, including the initial expected loss ratio and the incurred and paid loss development factors, to factors historically used as well as our independent selections.</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2022 </w:t>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James River Group Holdings, Ltd.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spacing w:before="0" w:after="0"/>
        <w:rPr/>
      </w:pPr>
      <w:r>
        <w:rPr/>
      </w:r>
    </w:p>
    <w:p>
      <w:pPr>
        <w:pStyle w:val="TextBody"/>
        <w:spacing w:lineRule="auto" w:line="288" w:before="0" w:after="0"/>
        <w:ind w:left="0" w:right="0" w:firstLine="360"/>
        <w:rPr/>
      </w:pPr>
      <w:r>
        <w:rPr>
          <w:rFonts w:ascii="Times New Roman;sans-serif" w:hAnsi="Times New Roman;sans-serif"/>
          <w:b w:val="false"/>
          <w:color w:val="000000"/>
          <w:sz w:val="20"/>
        </w:rPr>
        <w:t>We have audited James River Group Holdings, Ltd.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James River Group Holdings, Ltd. and subsidiaries (the Company) maintained, in all material respects, effective internal control over financial reporting as of December 31, 2021, based on the COSO criteria</w:t>
      </w:r>
      <w:r>
        <w:rPr>
          <w:rFonts w:ascii="Times New Roman;sans-serif" w:hAnsi="Times New Roman;sans-serif"/>
          <w:b/>
          <w:color w:val="000000"/>
          <w:sz w:val="20"/>
        </w:rPr>
        <w:t>.</w:t>
      </w:r>
    </w:p>
    <w:p>
      <w:pPr>
        <w:pStyle w:val="TextBody"/>
        <w:spacing w:lineRule="auto" w:line="288" w:before="0" w:after="0"/>
        <w:ind w:left="0" w:right="0" w:firstLine="36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2021 and 2020, the related consolidated statements of income and</w:t>
      </w:r>
      <w:r>
        <w:rPr>
          <w:color w:val="000000"/>
        </w:rPr>
        <w:t xml:space="preserve"> </w:t>
      </w:r>
      <w:r>
        <w:rPr>
          <w:rFonts w:ascii="Times New Roman;sans-serif" w:hAnsi="Times New Roman;sans-serif"/>
          <w:b w:val="false"/>
          <w:color w:val="000000"/>
          <w:sz w:val="20"/>
        </w:rPr>
        <w:t>comprehensive income, changes in shareholders' equity and cash flows for each of the three years in the period ended December 31, 2021, and related notes and financial statement schedules listed in the Index at Item 15(a) and our report dated March 1, 2022 expressed an unqualified opinion thereon.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before="0" w:after="0"/>
        <w:rPr/>
      </w:pPr>
      <w:r>
        <w:rPr/>
      </w:r>
    </w:p>
    <w:p>
      <w:pPr>
        <w:pStyle w:val="TextBody"/>
        <w:spacing w:lineRule="auto" w:line="288" w:before="0" w:after="1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CellMar>
          <w:top w:w="28" w:type="dxa"/>
          <w:left w:w="28" w:type="dxa"/>
          <w:bottom w:w="28" w:type="dxa"/>
          <w:right w:w="28" w:type="dxa"/>
        </w:tblCellMar>
      </w:tblPr>
      <w:tblGrid>
        <w:gridCol w:w="2625"/>
        <w:gridCol w:w="2230"/>
        <w:gridCol w:w="2227"/>
        <w:gridCol w:w="211"/>
        <w:gridCol w:w="976"/>
        <w:gridCol w:w="109"/>
        <w:gridCol w:w="109"/>
        <w:gridCol w:w="109"/>
        <w:gridCol w:w="109"/>
        <w:gridCol w:w="211"/>
        <w:gridCol w:w="976"/>
        <w:gridCol w:w="313"/>
      </w:tblGrid>
      <w:tr>
        <w:trPr/>
        <w:tc>
          <w:tcPr>
            <w:tcW w:w="2625"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7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82"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 at fair value (amortized cost: 2021 – $1,643,865; 2020 – $1,690,890)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1,783,642 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2021 – $95,783; 2020 – $81,698)</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88,975 </w:t>
            </w:r>
          </w:p>
        </w:tc>
        <w:tc>
          <w:tcPr>
            <w:tcW w:w="313"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147,604 </w:t>
            </w:r>
          </w:p>
        </w:tc>
        <w:tc>
          <w:tcPr>
            <w:tcW w:w="313"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130,289 </w:t>
            </w:r>
          </w:p>
        </w:tc>
        <w:tc>
          <w:tcPr>
            <w:tcW w:w="313"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46,548 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2,197,058 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162,260 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859,920 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369,577 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805,684 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losses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46,118 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243,741 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62,953 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82,115 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5,063,072 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CellMar>
          <w:top w:w="28" w:type="dxa"/>
          <w:left w:w="28" w:type="dxa"/>
          <w:bottom w:w="28" w:type="dxa"/>
          <w:right w:w="28" w:type="dxa"/>
        </w:tblCellMar>
      </w:tblPr>
      <w:tblGrid>
        <w:gridCol w:w="2645"/>
        <w:gridCol w:w="2293"/>
        <w:gridCol w:w="2302"/>
        <w:gridCol w:w="211"/>
        <w:gridCol w:w="976"/>
        <w:gridCol w:w="109"/>
        <w:gridCol w:w="109"/>
        <w:gridCol w:w="109"/>
        <w:gridCol w:w="109"/>
        <w:gridCol w:w="211"/>
        <w:gridCol w:w="976"/>
        <w:gridCol w:w="155"/>
      </w:tblGrid>
      <w:tr>
        <w:trPr/>
        <w:tc>
          <w:tcPr>
            <w:tcW w:w="2645" w:type="dxa"/>
            <w:tcBorders/>
            <w:shd w:fill="auto" w:val="clear"/>
            <w:vAlign w:val="center"/>
          </w:tcPr>
          <w:p>
            <w:pPr>
              <w:pStyle w:val="TableContents"/>
              <w:spacing w:before="0" w:after="283"/>
              <w:rPr>
                <w:sz w:val="4"/>
                <w:szCs w:val="4"/>
              </w:rPr>
            </w:pPr>
            <w:r>
              <w:rPr>
                <w:sz w:val="4"/>
                <w:szCs w:val="4"/>
              </w:rPr>
            </w:r>
          </w:p>
        </w:tc>
        <w:tc>
          <w:tcPr>
            <w:tcW w:w="2293" w:type="dxa"/>
            <w:tcBorders/>
            <w:shd w:fill="auto" w:val="clear"/>
            <w:vAlign w:val="center"/>
          </w:tcPr>
          <w:p>
            <w:pPr>
              <w:pStyle w:val="TableContents"/>
              <w:spacing w:before="0" w:after="283"/>
              <w:rPr>
                <w:sz w:val="4"/>
                <w:szCs w:val="4"/>
              </w:rPr>
            </w:pPr>
            <w:r>
              <w:rPr>
                <w:sz w:val="4"/>
                <w:szCs w:val="4"/>
              </w:rPr>
            </w:r>
          </w:p>
        </w:tc>
        <w:tc>
          <w:tcPr>
            <w:tcW w:w="23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2,192,080 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630,371 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reinsurers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4,267,464 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 $0.0002 par value; 200,000,000 shares authorized. 2021 and 2020: 37,373,066 and 30,649,261 shares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 2021 and 2020: $0.00125 par value; 20,000,000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 earnings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5,063,072 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(Loss) Income and Comprehensive (Loss) Income</w:t>
      </w:r>
    </w:p>
    <w:tbl>
      <w:tblPr>
        <w:tblW w:w="10205" w:type="dxa"/>
        <w:jc w:val="left"/>
        <w:tblInd w:w="0" w:type="dxa"/>
        <w:tblCellMar>
          <w:top w:w="28" w:type="dxa"/>
          <w:left w:w="28" w:type="dxa"/>
          <w:bottom w:w="28" w:type="dxa"/>
          <w:right w:w="28" w:type="dxa"/>
        </w:tblCellMar>
      </w:tblPr>
      <w:tblGrid>
        <w:gridCol w:w="2222"/>
        <w:gridCol w:w="1693"/>
        <w:gridCol w:w="1702"/>
        <w:gridCol w:w="211"/>
        <w:gridCol w:w="976"/>
        <w:gridCol w:w="109"/>
        <w:gridCol w:w="109"/>
        <w:gridCol w:w="109"/>
        <w:gridCol w:w="109"/>
        <w:gridCol w:w="211"/>
        <w:gridCol w:w="976"/>
        <w:gridCol w:w="109"/>
        <w:gridCol w:w="109"/>
        <w:gridCol w:w="109"/>
        <w:gridCol w:w="109"/>
        <w:gridCol w:w="211"/>
        <w:gridCol w:w="976"/>
        <w:gridCol w:w="155"/>
      </w:tblGrid>
      <w:tr>
        <w:trPr/>
        <w:tc>
          <w:tcPr>
            <w:tcW w:w="2222"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(574,585)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unearned premiums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(losses) income: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gains, net of taxes of $(7,135) in 2021, $6,874 in 2020, and $3,358 in 2019</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 share data:</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declared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34,956,957 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30,552,210 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30,275,184 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34,956,957 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30,884,416 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30,673,924 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tbl>
      <w:tblPr>
        <w:tblW w:w="10491" w:type="dxa"/>
        <w:jc w:val="left"/>
        <w:tblInd w:w="0" w:type="dxa"/>
        <w:tblCellMar>
          <w:top w:w="28" w:type="dxa"/>
          <w:left w:w="28" w:type="dxa"/>
          <w:bottom w:w="28" w:type="dxa"/>
          <w:right w:w="28" w:type="dxa"/>
        </w:tblCellMar>
      </w:tblPr>
      <w:tblGrid>
        <w:gridCol w:w="621"/>
        <w:gridCol w:w="282"/>
        <w:gridCol w:w="283"/>
        <w:gridCol w:w="480"/>
        <w:gridCol w:w="481"/>
        <w:gridCol w:w="336"/>
        <w:gridCol w:w="109"/>
        <w:gridCol w:w="109"/>
        <w:gridCol w:w="109"/>
        <w:gridCol w:w="274"/>
        <w:gridCol w:w="338"/>
        <w:gridCol w:w="154"/>
        <w:gridCol w:w="109"/>
        <w:gridCol w:w="109"/>
        <w:gridCol w:w="109"/>
        <w:gridCol w:w="223"/>
        <w:gridCol w:w="463"/>
        <w:gridCol w:w="12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208"/>
        <w:gridCol w:w="783"/>
        <w:gridCol w:w="165"/>
      </w:tblGrid>
      <w:tr>
        <w:trPr/>
        <w:tc>
          <w:tcPr>
            <w:tcW w:w="6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w:t>
              <w:br/>
              <w:t>(Par)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(Deficit)</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5"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2018</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29,988,460 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(15,828)</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709,241 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345,434 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90,497 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Adoption of ASU No. 2016-02, derecognition of build-to-suit lease (see Note 6)</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2019</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30,424,391 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778,581 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113,346 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111,524 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fair value option election (see Note 2)</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(7,827)</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ASU No. 2016-13 (see Note 1)</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2020</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30,649,261 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81,899 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(172,799)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(43,091)</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6,497,500 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192,107 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93,446 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132,859 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2021</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37,373,066 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725,362 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867" w:type="dxa"/>
        <w:jc w:val="center"/>
        <w:tblInd w:w="0" w:type="dxa"/>
        <w:tblCellMar>
          <w:top w:w="28" w:type="dxa"/>
          <w:left w:w="28" w:type="dxa"/>
          <w:bottom w:w="28" w:type="dxa"/>
          <w:right w:w="28" w:type="dxa"/>
        </w:tblCellMar>
      </w:tblPr>
      <w:tblGrid>
        <w:gridCol w:w="2061"/>
        <w:gridCol w:w="1812"/>
        <w:gridCol w:w="1827"/>
        <w:gridCol w:w="196"/>
        <w:gridCol w:w="811"/>
        <w:gridCol w:w="109"/>
        <w:gridCol w:w="109"/>
        <w:gridCol w:w="109"/>
        <w:gridCol w:w="109"/>
        <w:gridCol w:w="196"/>
        <w:gridCol w:w="871"/>
        <w:gridCol w:w="109"/>
        <w:gridCol w:w="109"/>
        <w:gridCol w:w="109"/>
        <w:gridCol w:w="109"/>
        <w:gridCol w:w="196"/>
        <w:gridCol w:w="871"/>
        <w:gridCol w:w="154"/>
      </w:tblGrid>
      <w:tr>
        <w:trPr/>
        <w:tc>
          <w:tcPr>
            <w:tcW w:w="2061" w:type="dxa"/>
            <w:tcBorders/>
            <w:shd w:fill="auto" w:val="clear"/>
            <w:vAlign w:val="center"/>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income to net cash (used in) provided by operating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policy acquisition costs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policy acquisition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and unrealized (gains) losses on investments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equity method investments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investments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U.S. federal income tax benefit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Excess tax benefits from equity incentive plan transactions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Reserve for losses and loss adjustment expenses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Unearned premiums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receivable and agents’ balances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Reinsurance balances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Funds held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(762,560)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insurance companies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operating activities (a)</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1,489,022 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(450,793)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and calls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 loan participations: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invested assets: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of capital</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and redemptions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receivable or payable,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debt issuances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debt repayments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common shares - public offering</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common shares under equity incentive plans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 repurchases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cash equivalents, and restricted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equivalents at beginning of year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cash equivalents, and restricted cash equivalents at end of year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information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federal income taxes (refunded) paid, net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586" w:type="dxa"/>
        <w:jc w:val="left"/>
        <w:tblInd w:w="0" w:type="dxa"/>
        <w:tblCellMar>
          <w:top w:w="28" w:type="dxa"/>
          <w:left w:w="28" w:type="dxa"/>
          <w:bottom w:w="28" w:type="dxa"/>
          <w:right w:w="28" w:type="dxa"/>
        </w:tblCellMar>
      </w:tblPr>
      <w:tblGrid>
        <w:gridCol w:w="1237"/>
        <w:gridCol w:w="1089"/>
        <w:gridCol w:w="1093"/>
        <w:gridCol w:w="196"/>
        <w:gridCol w:w="811"/>
        <w:gridCol w:w="109"/>
        <w:gridCol w:w="109"/>
        <w:gridCol w:w="109"/>
        <w:gridCol w:w="109"/>
        <w:gridCol w:w="196"/>
        <w:gridCol w:w="871"/>
        <w:gridCol w:w="109"/>
        <w:gridCol w:w="109"/>
        <w:gridCol w:w="109"/>
        <w:gridCol w:w="109"/>
        <w:gridCol w:w="196"/>
        <w:gridCol w:w="871"/>
        <w:gridCol w:w="154"/>
      </w:tblGrid>
      <w:tr>
        <w:trPr/>
        <w:tc>
          <w:tcPr>
            <w:tcW w:w="1237"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equivalents at beginning of year</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equivalents at end of year</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1,199,164 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restricted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(757,915)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1,199,164 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pPr>
      <w:r>
        <w:rPr>
          <w:rFonts w:ascii="Times New Roman;sans-serif" w:hAnsi="Times New Roman;sans-serif"/>
          <w:b w:val="false"/>
          <w:color w:val="000000"/>
          <w:sz w:val="20"/>
        </w:rPr>
        <w:t xml:space="preserve">(a) Cash (used in) provided by operating activities for the years ended December 31, 2021, 2020, and 2019 primarily reflects the activity in restricted cash equivalents above. 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sheets. See “Item 7. Management’s Discussion and Analysis of Financial Condition and Results of Operations – </w:t>
      </w:r>
      <w:r>
        <w:rPr>
          <w:rFonts w:ascii="Times New Roman;sans-serif" w:hAnsi="Times New Roman;sans-serif"/>
          <w:b w:val="false"/>
          <w:i/>
          <w:color w:val="000000"/>
          <w:sz w:val="20"/>
        </w:rPr>
        <w:t>Amounts Recoverable from an Indemnifying Party and Reinsurer on Legacy Commercial Auto Book</w:t>
      </w:r>
      <w:r>
        <w:rPr>
          <w:color w:val="000000"/>
        </w:rPr>
        <w:t>”</w:t>
      </w:r>
      <w:r>
        <w:rPr>
          <w:rFonts w:ascii="Times New Roman;sans-serif" w:hAnsi="Times New Roman;sans-serif"/>
          <w:b w:val="false"/>
          <w:color w:val="000000"/>
          <w:sz w:val="20"/>
        </w:rPr>
        <w:t>. Excluding the restricted cash activity above, cash (used in) provided by operating activities was $(155.6) million, $65.4 million, and $289.9 million for the years ended December 31, 2021, 2020, and 2019, respectively. The cash used in operating activities (excluding restricted cash equivalents) in 2021 was largely driven by the $317.6 million of reinsurance premium paid in September 2021 to effect the LPT transaction.</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(referred to as “JRG Holdings” or, with its subsidiaries, the “Company”) is an exempted holding company registered in Bermuda, organized for the purpose of acquiring and managing insurance and reinsurance entities.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owns five insurance companies based in the United States (“U.S.”) focused on specialty insurance niches and two Bermuda-based reinsurance companies as described below:</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James River Group Holdings UK Limited (“James River UK”) is an insurance holding company formed in 2015 in the United Kingdom (“U.K.”). The Company contributed James River Group, Inc. (“James River Group”), a U.S. insurance holding company, to James River UK in 2015.</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primarily writes specialty admitted fronting and program business and individual risk workers' compensation insurance.</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Carolina Re Ltd ("Carolina Re") was formed in 2018 and as of January 1, 2018 provides reinsurance to the Company's U.S.-based insurance subsidiaries. Carolina Re is also the cedent on a stop loss reinsurance treaty with JRG Re.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or by insurance regulators in Bermuda. The accompanying consolidated financial statements include the accounts and operations of the Company and its subsidiaries. Intercompany transactions and balances have been eliminated.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Fixed Maturity and Equity Securities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classified as “available-for-sale” are carried at fair value, and unrealized gains and losses on such securities, net of any deferred taxes, are reported as a separate component of accumulated other comprehensive income. The Company does not have any securities classified as “held-to-maturity” or “trading”.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Fair value generally represents quoted market value prices for securities traded in the public marketplace or prices analytically determined using bid or closing prices for securities not traded in the public marketplace.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and discounts on mortgage-backed securities and asset-backed securities are amortized or accrued using the constant yield method which considers anticipated prepayments at the date of purchase. To the extent that the estimated lives of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such securities change as a result of changes in estimated prepayment rates, the adjustments are included in net investment income using the retrospective method.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or losses are determined on a specific identification basis. Interest income is recognized as earned, and dividend income is recognized on the ex-dividend date.</w:t>
      </w:r>
    </w:p>
    <w:p>
      <w:pPr>
        <w:pStyle w:val="TextBody"/>
        <w:spacing w:lineRule="auto" w:line="288" w:before="0" w:after="120"/>
        <w:ind w:left="0" w:right="0" w:firstLine="405"/>
        <w:rPr/>
      </w:pPr>
      <w:r>
        <w:rPr>
          <w:rFonts w:ascii="Times New Roman;sans-serif" w:hAnsi="Times New Roman;sans-serif"/>
          <w:b w:val="false"/>
          <w:color w:val="000000"/>
          <w:sz w:val="20"/>
        </w:rPr>
        <w:t>The</w:t>
      </w:r>
      <w:r>
        <w:rPr>
          <w:color w:val="231F20"/>
        </w:rPr>
        <w:t xml:space="preserve"> </w:t>
      </w:r>
      <w:r>
        <w:rPr>
          <w:rFonts w:ascii="Times New Roman;sans-serif" w:hAnsi="Times New Roman;sans-serif"/>
          <w:b w:val="false"/>
          <w:color w:val="231F20"/>
          <w:sz w:val="20"/>
        </w:rPr>
        <w:t xml:space="preserve">Company adopted ASU 2016-13, </w:t>
      </w:r>
      <w:r>
        <w:rPr>
          <w:rFonts w:ascii="Times New Roman;sans-serif" w:hAnsi="Times New Roman;sans-serif"/>
          <w:b w:val="false"/>
          <w:i/>
          <w:color w:val="231F20"/>
          <w:sz w:val="20"/>
        </w:rPr>
        <w:t>Financial Instruments - Credit Losses (Topic 326): Measurement of Credit Losses on Financial Instruments</w:t>
      </w:r>
      <w:r>
        <w:rPr>
          <w:color w:val="231F20"/>
        </w:rPr>
        <w:t xml:space="preserve"> </w:t>
      </w:r>
      <w:r>
        <w:rPr>
          <w:rFonts w:ascii="Times New Roman;sans-serif" w:hAnsi="Times New Roman;sans-serif"/>
          <w:b w:val="false"/>
          <w:color w:val="231F20"/>
          <w:sz w:val="20"/>
        </w:rPr>
        <w:t xml:space="preserve">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w:t>
      </w:r>
      <w:r>
        <w:rPr>
          <w:rFonts w:ascii="Times New Roman;sans-serif" w:hAnsi="Times New Roman;sans-serif"/>
          <w:b w:val="false"/>
          <w:color w:val="000000"/>
          <w:sz w:val="20"/>
        </w:rPr>
        <w:t>credit-related</w:t>
      </w:r>
      <w:r>
        <w:rPr>
          <w:color w:val="231F20"/>
        </w:rPr>
        <w:t xml:space="preserve"> </w:t>
      </w:r>
      <w:r>
        <w:rPr>
          <w:rFonts w:ascii="Times New Roman;sans-serif" w:hAnsi="Times New Roman;sans-serif"/>
          <w:b w:val="false"/>
          <w:color w:val="231F20"/>
          <w:sz w:val="20"/>
        </w:rPr>
        <w:t>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continue to be recognized in other comprehensive income.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Bank Loan Participations</w:t>
      </w:r>
    </w:p>
    <w:p>
      <w:pPr>
        <w:pStyle w:val="TextBody"/>
        <w:spacing w:lineRule="auto" w:line="288" w:before="0" w:after="120"/>
        <w:ind w:left="0" w:right="0" w:firstLine="405"/>
        <w:rPr/>
      </w:pPr>
      <w:r>
        <w:rPr>
          <w:rFonts w:ascii="Times New Roman;sans-serif" w:hAnsi="Times New Roman;sans-serif"/>
          <w:b w:val="false"/>
          <w:color w:val="000000"/>
          <w:sz w:val="20"/>
        </w:rPr>
        <w:t xml:space="preserve">Bank loan participations are managed by a specialized outside investment manager. </w:t>
      </w:r>
      <w:r>
        <w:rPr>
          <w:rFonts w:ascii="Times New Roman;sans-serif" w:hAnsi="Times New Roman;sans-serif"/>
          <w:b w:val="false"/>
          <w:color w:val="231F20"/>
          <w:sz w:val="20"/>
        </w:rPr>
        <w:t>In connection with the adoption of ASU 2016-13, the Company elected the fair value option in accounting for bank loan participations effective January 1, 2020. Under the fair value option, bank loan participations are measured at fair value, and changes in unrealized gains and losses in bank loan participations are reported in our income statement as net realized and unrealized gains (losses) on investments.</w:t>
      </w:r>
    </w:p>
    <w:p>
      <w:pPr>
        <w:pStyle w:val="TextBody"/>
        <w:spacing w:lineRule="auto" w:line="288" w:before="0" w:after="120"/>
        <w:ind w:left="0" w:right="0" w:firstLine="405"/>
        <w:rPr>
          <w:rFonts w:ascii="Times New Roman;sans-serif" w:hAnsi="Times New Roman;sans-serif"/>
          <w:b w:val="false"/>
          <w:color w:val="231F20"/>
          <w:sz w:val="20"/>
        </w:rPr>
      </w:pPr>
      <w:r>
        <w:rPr>
          <w:rFonts w:ascii="Times New Roman;sans-serif" w:hAnsi="Times New Roman;sans-serif"/>
          <w:b w:val="false"/>
          <w:color w:val="231F20"/>
          <w:sz w:val="20"/>
        </w:rPr>
        <w:t xml:space="preserve">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 </w:t>
      </w:r>
    </w:p>
    <w:p>
      <w:pPr>
        <w:pStyle w:val="TextBody"/>
        <w:spacing w:lineRule="auto" w:line="288" w:before="0" w:after="120"/>
        <w:ind w:left="0" w:right="0" w:firstLine="405"/>
        <w:rPr/>
      </w:pPr>
      <w:r>
        <w:rPr>
          <w:rFonts w:ascii="Times New Roman;sans-serif" w:hAnsi="Times New Roman;sans-serif"/>
          <w:b w:val="false"/>
          <w:color w:val="000000"/>
          <w:sz w:val="20"/>
        </w:rPr>
        <w:t xml:space="preserve">Interest income is accrued on the unpaid principal balance. Discounts and premiums are amortized to income using the interest method. </w:t>
      </w:r>
      <w:r>
        <w:rPr>
          <w:rFonts w:ascii="Times New Roman;sans-serif" w:hAnsi="Times New Roman;sans-serif"/>
          <w:b w:val="false"/>
          <w:color w:val="231F20"/>
          <w:sz w:val="20"/>
        </w:rPr>
        <w:t xml:space="preserve">Prior to the election of the fair value option on January 1, 2020, bank loan participations were </w:t>
      </w:r>
      <w:r>
        <w:rPr>
          <w:rFonts w:ascii="Times New Roman;sans-serif" w:hAnsi="Times New Roman;sans-serif"/>
          <w:b w:val="false"/>
          <w:color w:val="000000"/>
          <w:sz w:val="20"/>
        </w:rPr>
        <w:t xml:space="preserve">generally stated at their outstanding unpaid principal balances net of unamortized premiums or discounts and net of any allowance for credit losses. The allowance for credit losses was maintained at a level considered adequate to absorb estimated probable credit losses.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2021 or 2020.</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Other Invested Assets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Other invested assets at December 31, 2021 and 2020 include the Company’s interests in private debt and equity investments. The investments are primarily focused in renewable energy, limited partnerships, and bank holding companies. Equity interests in various limited liability companies (“LLCs”) and limited partnerships are accounted for under the equity method, as the Company has determined that the equity method best reflects its economic interest in the underlying equity investment.</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Short-Term Investments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Short-term investments are carried at amortized cost, which approximates fair value. Short-term investments have maturities greater than three months but less than one year at the date of purchase.</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Cash Equivalents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considers highly liquid investments with maturities of three months or less at the date of purchase to be cash equivalents.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Restricted Cash Equivalents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with maturities of three months or less at the date of purchase that are segregated for a specific use to be restricted cash equivalents. Certain restricted cash equivalents invested in funds with floating net asset values are measured at fair value with changes in fair value recognized in net income. </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Direct Written Premiums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Assumed Reinsurance Premiums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Reinsurance premium estimates are reviewed by management periodically. Any adjustment to these estimates is recorded in the period in which it becomes known.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 is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 Contracts are accounted for on an individual basis, with no aggregation by counterparty.</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Premiums Receivable and Agents’ Balances, Net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are carried at face value net of any allowance for credit losses. The allowance for credit losses represents the current estimate of expected credit losses based on the Company’s assessment of the collectability of receivables that are past due, historical collection percentages, and consideration of current economic conditions and expectations of future conditions that could affect ultimate collections. Receivables greater than 90 days past due were $7.5 million and $6.9 million at December 31, 2021 and 2020, respectively. The allowance for credit losses was $16.7 million and $8.3 million at December 31, 2021 and 2020, respectively. Credit loss expense was $9.4 million for the year ended December 31, 2021 ($7.1 million of which will be deducted from amounts due to our reinsurers), $3.3 million for the year ended December 31, 2020, and $2.5 million for the year ended December 31, 2019. Receivables written off against the allowance for credit losses totaled $1.1 million for the year ended December 31, 2021, $660,000 for the year ended December 31, 2020, and $812,000 for the year ended December 31, 2019. Account balances are charged off against the allowance after all means of collection have been exhausted and the potential for recovery is considered remote.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Deferred Policy Acquisition Costs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Costs which are incrementally or directly related to the successful acquisition of new or renewal insurance business are deferred. These deferred costs are primarily commissions to agents, ceding commissions paid on reinsurance assumed,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 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Reinsurance and Adjustable Features of Insurance and Reinsurance Contracts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Certain premiums and losses are ceded to other insurance companies or assumed from other insurance companies under various excess of loss and quota-share reinsurance contracts. The Company enters into ceded reinsurance contracts to limit its exposure to large losses, to limit exposure on new lines of insurance written by the Company, and to provide additional capacity for growth.</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The Company uses a provision matrix to calculate the allowance for credit losses on reinsurance recoverables by applying impairment rates based on historical loss data to similarly rated reinsurance companies based on the expected duration of the receivables. The Company also considers the expected impact of current and future expected economic conditions and adjusts estimates if needed based on an evaluation of these factors. The allowance for credit losses on reinsurance recoverables at December 31, 2021 and 2020 was $631,000 and $335,000, respectively. Other amounts payable to insurance companies and reinsurers or receivable from insurance companies and reinsurers are netted where the right of offset exists. The Company receives ceding commissions in connection with certain ceded reinsurance. The ceding commissions are recorded as a reduction of other operating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Certain reinsurance contracts include provisions that adjust premiums or acquisition expenses based upon the loss experience under the contracts. Premiums written and earned, as well as related acquisition expenses are recorded based upon the projected loss experience under the contracts.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 loss experience under the contracts. Premiums written and earned, as well as related acquisition expenses, are recorded based upon the projected loss experience under the contracts.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Other income is principally comprised of fee income earned on policies for which the Company has no exposure to underwriting risk. Fee income of $4.5 million, $3.4 million, and $9.5 million is included in other income for the years ended December 31, 2021, 2020, and 2019, respectively. Fees are earned on a pro rata basis over the service period of the underlying business. Policies are accounted for on an individual basis, with no aggregation by counterparty.</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 The Company determined that no valuation allowance was necessary at December 31, 2021 or 2020. </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tested annually for impairment in the fourth quarter of each calendar year, or more frequently if events or changes in circumstances indicate that the carrying amount of the Company’s reporting units, including goodwill, may exceed 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 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Intangible assets are initially recognized and measured at fair value. Specifically identified intangible assets with indefinite lives include trademarks and state insurance licenses and authorities. Other specifically identified intangible assets with lives ranging from 7.0 to 27.5 years represent relationships with brokers. These intangible assets are amortized on a straight-line basis over their estimated useful lives.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 is written down to fair value, and the impairment is reported through earnings. The Company evaluates intangible assets with definite lives for impairment when impairment indicators are noted.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 amount of the asset or asset group at the date it is tested for recoverability. An impairment loss is measured as the amount by which the carrying amount of a long-lived asset or asset group exceeds its fair value.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Property and equipment, which is included in “other assets” in the accompanying consolidated balance sheets, is reported at cost less accumulated depreciation and is depreciated principally on a straight-line basis over the estimated useful lives of the depreciable assets, generally three to ten years.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Reserve for Losses and Loss Adjustment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utilizes various actuarially-accepted reserving methodologies in determining the continuum of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 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Casualty Reinsurance segment, the fronting and program business in the Specialty Admitted Insurance segment, and the commercial auto business in the Excess and Surplus Lines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Catastrophes of significant magnitude, including hurricanes and earthquakes,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 policies. Management estimates reserves for incurred but not reported claims for these catastrophes using judgment based on an assessment of the Company’s property insurance exposures where the catastrophes occur and the Company’s progress in settling claims.</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 expected reporting patterns. Accordingly, the ultimate settlement of losses and the related loss adjustment expenses may vary significantly from the estimates included in the Company’s consolidated financial statements. These estimates are reviewed continually by management and are adjusted as necessary as experience develops or new information becomes known; such adjustments are included in current operations.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Share Based Compensation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fair value of share equity awards over the vesting period of the award on a straight-line basis. The Black-Scholes-Merton option pricing model is used to value the options granted (see Note 12).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(loss) income and comprehensive (loss) income.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$26.9 million and $30.1 million as of December 31, 2021 and 2020, respectively, representing the Company’s maximum exposure to loss.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(Loss) Earnings Per Share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Basic (loss) earnings per share excludes dilution and is computed by dividing net (loss) income by the weighted-average number of common shares outstanding for the period. Diluted (loss) earnings per share reflects the dilution that could occur if securities or other contracts to issue common shares or common share equivalents were exercised or converted into common shares as calculated using the treasury stock method. When inclusion of common share equivalents increases the earnings per share or reduces the loss per share, the effect on earnings is anti-dilutive, and the diluted net earnings or net loss per share is computed excluding these common share equivalents.</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reconciliation of the numerator and denominator of the basic and diluted (loss) earnings per share computations contained in the consolidated financial statements.</w:t>
      </w:r>
    </w:p>
    <w:tbl>
      <w:tblPr>
        <w:tblW w:w="7655" w:type="dxa"/>
        <w:jc w:val="left"/>
        <w:tblInd w:w="0" w:type="dxa"/>
        <w:tblCellMar>
          <w:top w:w="28" w:type="dxa"/>
          <w:left w:w="28" w:type="dxa"/>
          <w:bottom w:w="28" w:type="dxa"/>
          <w:right w:w="28" w:type="dxa"/>
        </w:tblCellMar>
      </w:tblPr>
      <w:tblGrid>
        <w:gridCol w:w="993"/>
        <w:gridCol w:w="875"/>
        <w:gridCol w:w="877"/>
        <w:gridCol w:w="243"/>
        <w:gridCol w:w="1041"/>
        <w:gridCol w:w="125"/>
        <w:gridCol w:w="109"/>
        <w:gridCol w:w="109"/>
        <w:gridCol w:w="109"/>
        <w:gridCol w:w="540"/>
        <w:gridCol w:w="541"/>
        <w:gridCol w:w="491"/>
        <w:gridCol w:w="109"/>
        <w:gridCol w:w="109"/>
        <w:gridCol w:w="109"/>
        <w:gridCol w:w="283"/>
        <w:gridCol w:w="786"/>
        <w:gridCol w:w="206"/>
      </w:tblGrid>
      <w:tr>
        <w:trPr/>
        <w:tc>
          <w:tcPr>
            <w:tcW w:w="993"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(Loss) Income</w:t>
              <w:br/>
              <w:t>(Numerator)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Common Shares</w:t>
              <w:br/>
              <w:t>(Denominator)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 Earnings</w:t>
              <w:br/>
              <w:t>Per Share</w:t>
            </w:r>
          </w:p>
        </w:tc>
      </w:tr>
      <w:tr>
        <w:trPr/>
        <w:tc>
          <w:tcPr>
            <w:tcW w:w="2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34,956,957 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equivalents</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34,956,957 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30,552,210 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equivalents</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332,206 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30,884,416 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2019</w:t>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30,275,184 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equivalents</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398,740 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30,673,924 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Common share equivalents relate to our outstanding equity awards (stock options and RSUs).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common share equivalents of 175,360 were excluded from the calculation of diluted loss per share as their effects were anti-dilutive. For the year ended December 31, 2020, all common share equivalents were dilutive. For the year ended December 31, 2019, 9,735 shares were excluded from the calculation of diluted earnings per share as their effects were anti-dilutive.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spacing w:lineRule="auto" w:line="288" w:before="0" w:after="120"/>
        <w:ind w:left="0" w:right="0" w:firstLine="405"/>
        <w:rPr/>
      </w:pPr>
      <w:r>
        <w:rPr>
          <w:rFonts w:ascii="Times New Roman;sans-serif" w:hAnsi="Times New Roman;sans-serif"/>
          <w:b w:val="false"/>
          <w:color w:val="000000"/>
          <w:sz w:val="20"/>
        </w:rPr>
        <w:t>There were no new accounting standards adopted in 2021 that materially impacted the Company's financial statements</w:t>
      </w:r>
      <w:r>
        <w:rPr>
          <w:rFonts w:ascii="Times New Roman;sans-serif" w:hAnsi="Times New Roman;sans-serif"/>
          <w:b w:val="false"/>
          <w:color w:val="231F20"/>
          <w:sz w:val="20"/>
        </w:rPr>
        <w:t>.</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Prospective Accounting Standards</w:t>
      </w:r>
    </w:p>
    <w:p>
      <w:pPr>
        <w:pStyle w:val="TextBody"/>
        <w:spacing w:lineRule="auto" w:line="288" w:before="0" w:after="120"/>
        <w:ind w:left="0" w:right="0" w:firstLine="40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are no prospective accounting standards which are expected to have a material impact on our financial statements subsequent to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2.    Investments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fixed maturity securities are summarized as follows:</w:t>
      </w:r>
    </w:p>
    <w:tbl>
      <w:tblPr>
        <w:tblW w:w="10205" w:type="dxa"/>
        <w:jc w:val="left"/>
        <w:tblInd w:w="0" w:type="dxa"/>
        <w:tblCellMar>
          <w:top w:w="28" w:type="dxa"/>
          <w:left w:w="28" w:type="dxa"/>
          <w:bottom w:w="28" w:type="dxa"/>
          <w:right w:w="28" w:type="dxa"/>
        </w:tblCellMar>
      </w:tblPr>
      <w:tblGrid>
        <w:gridCol w:w="1678"/>
        <w:gridCol w:w="1443"/>
        <w:gridCol w:w="1331"/>
        <w:gridCol w:w="211"/>
        <w:gridCol w:w="976"/>
        <w:gridCol w:w="109"/>
        <w:gridCol w:w="109"/>
        <w:gridCol w:w="109"/>
        <w:gridCol w:w="109"/>
        <w:gridCol w:w="211"/>
        <w:gridCol w:w="721"/>
        <w:gridCol w:w="109"/>
        <w:gridCol w:w="109"/>
        <w:gridCol w:w="109"/>
        <w:gridCol w:w="109"/>
        <w:gridCol w:w="211"/>
        <w:gridCol w:w="772"/>
        <w:gridCol w:w="109"/>
        <w:gridCol w:w="109"/>
        <w:gridCol w:w="109"/>
        <w:gridCol w:w="109"/>
        <w:gridCol w:w="211"/>
        <w:gridCol w:w="976"/>
        <w:gridCol w:w="156"/>
      </w:tblGrid>
      <w:tr>
        <w:trPr/>
        <w:tc>
          <w:tcPr>
            <w:tcW w:w="1678"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5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investments in fixed maturity securities at December 31, 2021 are summarized, by contractual maturity, as follows:</w:t>
      </w:r>
    </w:p>
    <w:tbl>
      <w:tblPr>
        <w:tblW w:w="6308" w:type="dxa"/>
        <w:jc w:val="left"/>
        <w:tblInd w:w="0" w:type="dxa"/>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477,474 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for some securities because borrowers have the right to call or prepay obligations with or without penalties.</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CellMar>
          <w:top w:w="28" w:type="dxa"/>
          <w:left w:w="28" w:type="dxa"/>
          <w:bottom w:w="28" w:type="dxa"/>
          <w:right w:w="28" w:type="dxa"/>
        </w:tblCellMar>
      </w:tblPr>
      <w:tblGrid>
        <w:gridCol w:w="971"/>
        <w:gridCol w:w="617"/>
        <w:gridCol w:w="517"/>
        <w:gridCol w:w="211"/>
        <w:gridCol w:w="826"/>
        <w:gridCol w:w="109"/>
        <w:gridCol w:w="109"/>
        <w:gridCol w:w="109"/>
        <w:gridCol w:w="109"/>
        <w:gridCol w:w="211"/>
        <w:gridCol w:w="743"/>
        <w:gridCol w:w="109"/>
        <w:gridCol w:w="109"/>
        <w:gridCol w:w="109"/>
        <w:gridCol w:w="109"/>
        <w:gridCol w:w="211"/>
        <w:gridCol w:w="721"/>
        <w:gridCol w:w="109"/>
        <w:gridCol w:w="109"/>
        <w:gridCol w:w="109"/>
        <w:gridCol w:w="109"/>
        <w:gridCol w:w="211"/>
        <w:gridCol w:w="638"/>
        <w:gridCol w:w="109"/>
        <w:gridCol w:w="109"/>
        <w:gridCol w:w="109"/>
        <w:gridCol w:w="109"/>
        <w:gridCol w:w="211"/>
        <w:gridCol w:w="826"/>
        <w:gridCol w:w="109"/>
        <w:gridCol w:w="109"/>
        <w:gridCol w:w="109"/>
        <w:gridCol w:w="109"/>
        <w:gridCol w:w="211"/>
        <w:gridCol w:w="743"/>
        <w:gridCol w:w="157"/>
      </w:tblGrid>
      <w:tr>
        <w:trPr/>
        <w:tc>
          <w:tcPr>
            <w:tcW w:w="97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2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color w:val="000000"/>
        </w:rPr>
      </w:pPr>
      <w:r>
        <w:rPr>
          <w:color w:val="000000"/>
        </w:rPr>
        <w: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securities of 230 issuers that were in an unrealized loss position at December 31, 2021 with a total fair value of $617.6 million and gross unrealized losses of $12.6 million. None of the fixed maturity securities with unrealized losses has ever missed, or been delinquent on, a scheduled principal or interest payment.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99.5% of the Company’s fixed maturity security portfolio was rated “BBB-” or better (“investment grade”) by Standard &amp; Poor’s or received an equivalent rating from another nationally recognized rating agency.</w:t>
      </w:r>
    </w:p>
    <w:p>
      <w:pPr>
        <w:pStyle w:val="TextBody"/>
        <w:spacing w:lineRule="auto" w:line="288" w:before="0" w:after="120"/>
        <w:ind w:left="0" w:right="0" w:firstLine="405"/>
        <w:rPr/>
      </w:pPr>
      <w:r>
        <w:rPr>
          <w:rFonts w:ascii="Times New Roman;sans-serif" w:hAnsi="Times New Roman;sans-serif"/>
          <w:b w:val="false"/>
          <w:color w:val="000000"/>
          <w:sz w:val="20"/>
        </w:rPr>
        <w:t xml:space="preserve">The Company adopted ASU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 xml:space="preserve">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continue to be recognized in other comprehensive income.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expected cash flows equals or exceeds a security's amortized cost. As a result of this review, management concluded that there were no credit-related impairments of fixed maturities at December 31, 2021 or 2020. Management does not intend to sell the securities in an unrealized loss position, and it is not "more likely than not" that the Company will be required to sell these securities before a recovery in their value to their amortized cost basis occurs.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Management concluded that none of the fixed maturity securities with an unrealized loss at December 31, 2019 experienced an other-than-temporary impairment.</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pPr>
      <w:r>
        <w:rPr>
          <w:rFonts w:ascii="Times New Roman;sans-serif" w:hAnsi="Times New Roman;sans-serif"/>
          <w:b w:val="false"/>
          <w:color w:val="000000"/>
          <w:sz w:val="20"/>
        </w:rPr>
        <w:t xml:space="preserve">In connection with the adoption of ASU 2016-13, the Company elected the fair value option in accounting for bank loan participations effective January 1, 2020. The targeted transition relief offered by ASU 2019-05, </w:t>
      </w:r>
      <w:r>
        <w:rPr>
          <w:rFonts w:ascii="Times New Roman;sans-serif" w:hAnsi="Times New Roman;sans-serif"/>
          <w:b w:val="false"/>
          <w:i/>
          <w:color w:val="000000"/>
          <w:sz w:val="20"/>
        </w:rPr>
        <w:t xml:space="preserve">Financial Instruments - Credit Losses (Topic 326): Targeted Transition Relief </w:t>
      </w:r>
      <w:r>
        <w:rPr>
          <w:rFonts w:ascii="Times New Roman;sans-serif" w:hAnsi="Times New Roman;sans-serif"/>
          <w:b w:val="false"/>
          <w:color w:val="000000"/>
          <w:sz w:val="20"/>
        </w:rPr>
        <w:t>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Applying the fair value option to the bank loan portfolio increases volatility in the Company's financial statements, but management believes it is less subjective and less burdensome to implement and maintain than ASU 2016-13, which would have otherwise been required. At December 31, 2021, the Company's bank loan portfolio had an aggregate unpaid principal balance of $159.0 million and an aggregate fair value of $156.0 million. Investment income on bank loan participations included in net investment income was $10.6 million and $12.2 million during the years ended December 31, 2021 and 2020, respectively. Net realized and unrealized gains (losses) on investments includes gains of $6.7 million and $1.3 million related to changes in unrealized gains and losses on bank loan participations for the years ended December 31, 2021 and 2020, respectively. Management concluded that none of the unrealized losses were due to credit-related impairments for the year ended December 31, 2021. For the year ended December 31, 2020, management concluded that $8.3 million of unrealized losses were due to credit-related impairments.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spacing w:lineRule="auto" w:line="288" w:before="0" w:after="120"/>
        <w:ind w:left="0" w:right="0" w:firstLine="405"/>
        <w:rPr/>
      </w:pPr>
      <w:r>
        <w:rPr>
          <w:rFonts w:ascii="Times New Roman;sans-serif" w:hAnsi="Times New Roman;sans-serif"/>
          <w:b w:val="false"/>
          <w:color w:val="000000"/>
          <w:sz w:val="20"/>
        </w:rPr>
        <w:t>Prior to the election of the fair value option on January 1, 2020, bank loan participations were classified as held-for-investment and carried at amortized cost net of any allowance for credit losses. Under the prior accounting method, management concluded that</w:t>
      </w:r>
      <w:r>
        <w:rPr>
          <w:color w:val="231F20"/>
        </w:rPr>
        <w:t xml:space="preserve"> </w:t>
      </w:r>
      <w:r>
        <w:rPr>
          <w:rFonts w:ascii="Times New Roman;sans-serif" w:hAnsi="Times New Roman;sans-serif"/>
          <w:b w:val="false"/>
          <w:color w:val="000000"/>
          <w:sz w:val="20"/>
        </w:rPr>
        <w:t>seven</w:t>
      </w:r>
      <w:r>
        <w:rPr>
          <w:color w:val="231F20"/>
        </w:rPr>
        <w:t xml:space="preserve"> </w:t>
      </w:r>
      <w:r>
        <w:rPr>
          <w:rFonts w:ascii="Times New Roman;sans-serif" w:hAnsi="Times New Roman;sans-serif"/>
          <w:b w:val="false"/>
          <w:color w:val="231F20"/>
          <w:sz w:val="20"/>
        </w:rPr>
        <w:t xml:space="preserve">loans from six issuers </w:t>
      </w:r>
      <w:r>
        <w:rPr>
          <w:rFonts w:ascii="Times New Roman;sans-serif" w:hAnsi="Times New Roman;sans-serif"/>
          <w:b w:val="false"/>
          <w:color w:val="000000"/>
          <w:sz w:val="20"/>
        </w:rPr>
        <w:t xml:space="preserve">in the Company's bank loan portfolio were impaired at </w:t>
      </w:r>
      <w:r>
        <w:rPr>
          <w:rFonts w:ascii="Times New Roman;sans-serif" w:hAnsi="Times New Roman;sans-serif"/>
          <w:b w:val="false"/>
          <w:color w:val="231F20"/>
          <w:sz w:val="20"/>
        </w:rPr>
        <w:t>December 31, 2019</w:t>
      </w:r>
      <w:r>
        <w:rPr>
          <w:rFonts w:ascii="Times New Roman;sans-serif" w:hAnsi="Times New Roman;sans-serif"/>
          <w:b w:val="false"/>
          <w:color w:val="000000"/>
          <w:sz w:val="20"/>
        </w:rPr>
        <w:t xml:space="preserve">. At </w:t>
      </w:r>
      <w:r>
        <w:rPr>
          <w:rFonts w:ascii="Times New Roman;sans-serif" w:hAnsi="Times New Roman;sans-serif"/>
          <w:b w:val="false"/>
          <w:color w:val="231F20"/>
          <w:sz w:val="20"/>
        </w:rPr>
        <w:t>December 31, 2019</w:t>
      </w:r>
      <w:r>
        <w:rPr>
          <w:rFonts w:ascii="Times New Roman;sans-serif" w:hAnsi="Times New Roman;sans-serif"/>
          <w:b w:val="false"/>
          <w:color w:val="000000"/>
          <w:sz w:val="20"/>
        </w:rPr>
        <w:t xml:space="preserve">, the impaired loans had a carrying value of $6.9 million, unpaid principal of $14.3 million, and an allowance for credit losses of </w:t>
      </w:r>
      <w:r>
        <w:rPr>
          <w:rFonts w:ascii="Times New Roman;sans-serif" w:hAnsi="Times New Roman;sans-serif"/>
          <w:b w:val="false"/>
          <w:color w:val="231F20"/>
          <w:sz w:val="20"/>
        </w:rPr>
        <w:t>$7.2 million</w:t>
      </w:r>
      <w:r>
        <w:rPr>
          <w:rFonts w:ascii="Times New Roman;sans-serif" w:hAnsi="Times New Roman;sans-serif"/>
          <w:b w:val="false"/>
          <w:color w:val="000000"/>
          <w:sz w:val="20"/>
        </w:rPr>
        <w:t xml:space="preserve">, $5.1 million of which related to </w:t>
      </w:r>
      <w:r>
        <w:rPr>
          <w:rFonts w:ascii="Times New Roman;sans-serif" w:hAnsi="Times New Roman;sans-serif"/>
          <w:b w:val="false"/>
          <w:color w:val="231F20"/>
          <w:sz w:val="20"/>
        </w:rPr>
        <w:t>two</w:t>
      </w:r>
      <w:r>
        <w:rPr>
          <w:color w:val="000000"/>
        </w:rPr>
        <w:t xml:space="preserve"> </w:t>
      </w:r>
      <w:r>
        <w:rPr>
          <w:rFonts w:ascii="Times New Roman;sans-serif" w:hAnsi="Times New Roman;sans-serif"/>
          <w:b w:val="false"/>
          <w:color w:val="000000"/>
          <w:sz w:val="20"/>
        </w:rPr>
        <w:t xml:space="preserve">loans from </w:t>
      </w:r>
      <w:r>
        <w:rPr>
          <w:rFonts w:ascii="Times New Roman;sans-serif" w:hAnsi="Times New Roman;sans-serif"/>
          <w:b w:val="false"/>
          <w:color w:val="231F20"/>
          <w:sz w:val="20"/>
        </w:rPr>
        <w:t>one</w:t>
      </w:r>
      <w:r>
        <w:rPr>
          <w:color w:val="000000"/>
        </w:rPr>
        <w:t xml:space="preserve"> </w:t>
      </w:r>
      <w:r>
        <w:rPr>
          <w:rFonts w:ascii="Times New Roman;sans-serif" w:hAnsi="Times New Roman;sans-serif"/>
          <w:b w:val="false"/>
          <w:color w:val="000000"/>
          <w:sz w:val="20"/>
        </w:rPr>
        <w:t>issuer that was experiencing liquidity concerns resulting from revenue declines and poor growth prospects in its most profitable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December 31, 2021 or 2020.</w:t>
      </w:r>
    </w:p>
    <w:p>
      <w:pPr>
        <w:pStyle w:val="TextBody"/>
        <w:spacing w:lineRule="auto" w:line="288" w:before="0" w:after="120"/>
        <w:ind w:left="0" w:right="0" w:firstLine="405"/>
        <w:rPr/>
      </w:pPr>
      <w:r>
        <w:rPr>
          <w:rFonts w:ascii="Times New Roman;sans-serif" w:hAnsi="Times New Roman;sans-serif"/>
          <w:b w:val="false"/>
          <w:color w:val="000000"/>
          <w:sz w:val="20"/>
        </w:rPr>
        <w:t xml:space="preserve">The average recorded investment in impaired bank loans was $3.5 million during the year ended </w:t>
      </w:r>
      <w:r>
        <w:rPr>
          <w:rFonts w:ascii="Times New Roman;sans-serif" w:hAnsi="Times New Roman;sans-serif"/>
          <w:b w:val="false"/>
          <w:color w:val="231F20"/>
          <w:sz w:val="20"/>
        </w:rPr>
        <w:t xml:space="preserve">December 31, 2019 </w:t>
      </w:r>
      <w:r>
        <w:rPr>
          <w:rFonts w:ascii="Times New Roman;sans-serif" w:hAnsi="Times New Roman;sans-serif"/>
          <w:b w:val="false"/>
          <w:color w:val="000000"/>
          <w:sz w:val="20"/>
        </w:rPr>
        <w:t xml:space="preserve">and investment income of $293,000 was recognized during the time that the loans were impaired. The Company recorded losses of $8.9 million during the year ended </w:t>
      </w:r>
      <w:r>
        <w:rPr>
          <w:rFonts w:ascii="Times New Roman;sans-serif" w:hAnsi="Times New Roman;sans-serif"/>
          <w:b w:val="false"/>
          <w:color w:val="231F20"/>
          <w:sz w:val="20"/>
        </w:rPr>
        <w:t xml:space="preserve">December 31, 2019 </w:t>
      </w:r>
      <w:r>
        <w:rPr>
          <w:rFonts w:ascii="Times New Roman;sans-serif" w:hAnsi="Times New Roman;sans-serif"/>
          <w:b w:val="false"/>
          <w:color w:val="000000"/>
          <w:sz w:val="20"/>
        </w:rPr>
        <w:t>for changes in the fair value of impaired bank loans.</w:t>
      </w:r>
    </w:p>
    <w:p>
      <w:pPr>
        <w:pStyle w:val="TextBody"/>
        <w:spacing w:lineRule="auto" w:line="288" w:before="0" w:after="120"/>
        <w:ind w:left="0" w:right="0" w:firstLine="405"/>
        <w:rPr/>
      </w:pPr>
      <w:r>
        <w:rPr>
          <w:rFonts w:ascii="Times New Roman;sans-serif" w:hAnsi="Times New Roman;sans-serif"/>
          <w:b w:val="false"/>
          <w:color w:val="000000"/>
          <w:sz w:val="20"/>
        </w:rPr>
        <w:t xml:space="preserve">At </w:t>
      </w:r>
      <w:r>
        <w:rPr>
          <w:rFonts w:ascii="Times New Roman;sans-serif" w:hAnsi="Times New Roman;sans-serif"/>
          <w:b w:val="false"/>
          <w:color w:val="231F20"/>
          <w:sz w:val="20"/>
        </w:rPr>
        <w:t>December 31, 2019</w:t>
      </w:r>
      <w:r>
        <w:rPr>
          <w:rFonts w:ascii="Times New Roman;sans-serif" w:hAnsi="Times New Roman;sans-serif"/>
          <w:b w:val="false"/>
          <w:color w:val="000000"/>
          <w:sz w:val="20"/>
        </w:rPr>
        <w:t xml:space="preserve">, unamortized discounts on bank loan participations were $2.4 million, and unamortized premiums were $4,000. </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Major categories of the Company’s net investment income are summarized as follows:</w:t>
      </w:r>
    </w:p>
    <w:tbl>
      <w:tblPr>
        <w:tblW w:w="10205" w:type="dxa"/>
        <w:jc w:val="left"/>
        <w:tblInd w:w="0" w:type="dxa"/>
        <w:tblCellMar>
          <w:top w:w="28" w:type="dxa"/>
          <w:left w:w="28" w:type="dxa"/>
          <w:bottom w:w="28" w:type="dxa"/>
          <w:right w:w="28" w:type="dxa"/>
        </w:tblCellMar>
      </w:tblPr>
      <w:tblGrid>
        <w:gridCol w:w="2317"/>
        <w:gridCol w:w="2029"/>
        <w:gridCol w:w="2036"/>
        <w:gridCol w:w="211"/>
        <w:gridCol w:w="721"/>
        <w:gridCol w:w="109"/>
        <w:gridCol w:w="109"/>
        <w:gridCol w:w="109"/>
        <w:gridCol w:w="109"/>
        <w:gridCol w:w="211"/>
        <w:gridCol w:w="721"/>
        <w:gridCol w:w="109"/>
        <w:gridCol w:w="109"/>
        <w:gridCol w:w="109"/>
        <w:gridCol w:w="109"/>
        <w:gridCol w:w="211"/>
        <w:gridCol w:w="721"/>
        <w:gridCol w:w="155"/>
      </w:tblGrid>
      <w:tr>
        <w:trPr/>
        <w:tc>
          <w:tcPr>
            <w:tcW w:w="2317"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19,772 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6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80,373 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75,652 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net realized and unrealized gains and losses on investments are summarized as follows:</w:t>
      </w:r>
    </w:p>
    <w:tbl>
      <w:tblPr>
        <w:tblW w:w="8697" w:type="dxa"/>
        <w:jc w:val="left"/>
        <w:tblInd w:w="0" w:type="dxa"/>
        <w:tblCellMar>
          <w:top w:w="28" w:type="dxa"/>
          <w:left w:w="28" w:type="dxa"/>
          <w:bottom w:w="28" w:type="dxa"/>
          <w:right w:w="28" w:type="dxa"/>
        </w:tblCellMar>
      </w:tblPr>
      <w:tblGrid>
        <w:gridCol w:w="1750"/>
        <w:gridCol w:w="1537"/>
        <w:gridCol w:w="1543"/>
        <w:gridCol w:w="211"/>
        <w:gridCol w:w="721"/>
        <w:gridCol w:w="109"/>
        <w:gridCol w:w="109"/>
        <w:gridCol w:w="109"/>
        <w:gridCol w:w="109"/>
        <w:gridCol w:w="211"/>
        <w:gridCol w:w="796"/>
        <w:gridCol w:w="109"/>
        <w:gridCol w:w="109"/>
        <w:gridCol w:w="109"/>
        <w:gridCol w:w="109"/>
        <w:gridCol w:w="211"/>
        <w:gridCol w:w="691"/>
        <w:gridCol w:w="154"/>
      </w:tblGrid>
      <w:tr>
        <w:trPr/>
        <w:tc>
          <w:tcPr>
            <w:tcW w:w="1750"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equity securities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bank loan participations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other:</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short-term investments and other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change in the Company’s available-for-sale fixed maturity gross unrealized net gains was $(59.1) million, $57.7 million, and $50.3 million for the years ended December 31, 2021, 2020, and 2019,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which together comprise the Company’s other invested assets, are primarily focused in renewable energy, limited partnerships, and bank holding companies.</w:t>
      </w:r>
    </w:p>
    <w:tbl>
      <w:tblPr>
        <w:tblW w:w="9934" w:type="dxa"/>
        <w:jc w:val="left"/>
        <w:tblInd w:w="0" w:type="dxa"/>
        <w:tblCellMar>
          <w:top w:w="28" w:type="dxa"/>
          <w:left w:w="28" w:type="dxa"/>
          <w:bottom w:w="28" w:type="dxa"/>
          <w:right w:w="28" w:type="dxa"/>
        </w:tblCellMar>
      </w:tblPr>
      <w:tblGrid>
        <w:gridCol w:w="1180"/>
        <w:gridCol w:w="1036"/>
        <w:gridCol w:w="103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18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98"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Renewable energy LLCs </w:t>
            </w:r>
            <w:r>
              <w:rPr>
                <w:rFonts w:ascii="Times New Roman;sans-serif" w:hAnsi="Times New Roman;sans-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Renewable energy notes receivable (</w:t>
            </w:r>
            <w:r>
              <w:rPr>
                <w:rFonts w:ascii="Times New Roman;sans-serif" w:hAnsi="Times New Roman;sans-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Limited partnerships </w:t>
            </w:r>
            <w:r>
              <w:rPr>
                <w:rFonts w:ascii="Times New Roman;sans-serif" w:hAnsi="Times New Roman;sans-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Bank holding companies </w:t>
            </w:r>
            <w:r>
              <w:rPr>
                <w:rFonts w:ascii="Times New Roman;sans-serif" w:hAnsi="Times New Roman;sans-serif"/>
                <w:b w:val="false"/>
                <w:i/>
                <w:color w:val="000000"/>
                <w:sz w:val="20"/>
              </w:rPr>
              <w:t>(d)</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The Company’s Excess and Surplus Lines and Corporate and Other segments own equity interests ranging from 2.6% to 32.6% in various LLCs whose principal objective is capital appreciation and income generation from owning and operating renewable energy production facilities (wind and solar). The LLCs are managed by an entity for which two of our former directors serve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During the year ended December 31, 2021, the Company transferred $26.3 million of its investments in the LLCs from the Corporate and Other segment to the Excess and Surplus Lines segment. The Company received cash distributions from these investments totaling $1.8 million and $3.1 million for the years ended December 31, 2021 and 2020, respectively.</w:t>
      </w:r>
    </w:p>
    <w:p>
      <w:pPr>
        <w:pStyle w:val="TextBody"/>
        <w:spacing w:lineRule="auto" w:line="288" w:before="0" w:after="120"/>
        <w:ind w:left="0" w:right="0" w:hanging="360"/>
        <w:rPr/>
      </w:pPr>
      <w:r>
        <w:rPr>
          <w:rFonts w:ascii="Times New Roman;sans-serif" w:hAnsi="Times New Roman;sans-serif"/>
          <w:b w:val="false"/>
          <w:color w:val="000000"/>
          <w:sz w:val="20"/>
        </w:rPr>
        <w:t xml:space="preserve">(b)    The Company's Excess and Surplus Lines and Corporate and Other segments have invested in notes receivable for renewable energy projects. </w:t>
      </w:r>
      <w:r>
        <w:rPr>
          <w:rFonts w:ascii="Times New Roman;sans-serif" w:hAnsi="Times New Roman;sans-serif"/>
          <w:b w:val="false"/>
          <w:color w:val="231F20"/>
          <w:sz w:val="20"/>
        </w:rPr>
        <w:t xml:space="preserve">At </w:t>
      </w:r>
      <w:r>
        <w:rPr>
          <w:rFonts w:ascii="Times New Roman;sans-serif" w:hAnsi="Times New Roman;sans-serif"/>
          <w:b w:val="false"/>
          <w:color w:val="000000"/>
          <w:sz w:val="20"/>
        </w:rPr>
        <w:t xml:space="preserve">December 31, 2021, </w:t>
      </w:r>
      <w:r>
        <w:rPr>
          <w:rFonts w:ascii="Times New Roman;sans-serif" w:hAnsi="Times New Roman;sans-serif"/>
          <w:b w:val="false"/>
          <w:color w:val="231F20"/>
          <w:sz w:val="20"/>
        </w:rPr>
        <w:t>the Company held two notes issued by an</w:t>
      </w:r>
      <w:r>
        <w:rPr>
          <w:color w:val="000000"/>
        </w:rPr>
        <w:t xml:space="preserve"> </w:t>
      </w:r>
      <w:r>
        <w:rPr>
          <w:rFonts w:ascii="Times New Roman;sans-serif" w:hAnsi="Times New Roman;sans-serif"/>
          <w:b w:val="false"/>
          <w:color w:val="000000"/>
          <w:sz w:val="20"/>
        </w:rPr>
        <w:t>entity for which two of our former directors serve as officers</w:t>
      </w:r>
      <w:r>
        <w:rPr>
          <w:rFonts w:ascii="Times New Roman;sans-serif" w:hAnsi="Times New Roman;sans-serif"/>
          <w:b w:val="false"/>
          <w:color w:val="231F20"/>
          <w:sz w:val="20"/>
        </w:rPr>
        <w:t xml:space="preserve">. Interest on the notes, which mature in 2025, is fixed at </w:t>
      </w:r>
      <w:r>
        <w:rPr>
          <w:rFonts w:ascii="Times New Roman;sans-serif" w:hAnsi="Times New Roman;sans-serif"/>
          <w:b w:val="false"/>
          <w:color w:val="000000"/>
          <w:sz w:val="20"/>
        </w:rPr>
        <w:t xml:space="preserve">12%. </w:t>
      </w:r>
      <w:r>
        <w:rPr>
          <w:rFonts w:ascii="Times New Roman;sans-serif" w:hAnsi="Times New Roman;sans-serif"/>
          <w:b w:val="false"/>
          <w:color w:val="231F20"/>
          <w:sz w:val="20"/>
        </w:rPr>
        <w:t xml:space="preserve">During the year ended December 31, 2021, the Company received principal repayments of $1.7 million and $2.1 million on the notes receivable in the Company's Excess and Surplus Lines segment and Corporate and Other segment, respectively. During the year ended </w:t>
      </w:r>
      <w:r>
        <w:rPr>
          <w:rFonts w:ascii="Times New Roman;sans-serif" w:hAnsi="Times New Roman;sans-serif"/>
          <w:b w:val="false"/>
          <w:color w:val="000000"/>
          <w:sz w:val="20"/>
        </w:rPr>
        <w:t>December 31, 2020</w:t>
      </w:r>
      <w:r>
        <w:rPr>
          <w:rFonts w:ascii="Times New Roman;sans-serif" w:hAnsi="Times New Roman;sans-serif"/>
          <w:b w:val="false"/>
          <w:color w:val="231F20"/>
          <w:sz w:val="20"/>
        </w:rPr>
        <w:t xml:space="preserve">, the Company received the total principal balance of $8.8 million plus a $5.3 million gain at maturity on an earlier note receivable for renewable energy projects. </w:t>
      </w:r>
      <w:r>
        <w:rPr>
          <w:rFonts w:ascii="Times New Roman;sans-serif" w:hAnsi="Times New Roman;sans-serif"/>
          <w:b w:val="false"/>
          <w:color w:val="000000"/>
          <w:sz w:val="20"/>
        </w:rPr>
        <w:t xml:space="preserve">Interest on that note was fixed at 15%. </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    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Income from the partnerships is recognized under the equity method of accounting. During the year ended December 31, 2021, the Company transferred $5.1 million of its investments in the limited partnerships from the Corporate and Other segment to the Excess and Surplus Lines segment. At December 31, 2021, the Company’s Excess and Surplus Lines segment has outstanding commitments to invest another $5.3 million in these limited partnerships.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The Company's Excess and Surplus Lines segment holds $4.5 million of subordinated notes issued by a bank holding company for which the Company’s Non-Executive Chairman was previously the Lead Independent Director and an investor and for which one of the Company’s directors is also an investor (the "Bank Holding Company"). During the year ended December 31, 2021, the Company transferred ownership of the subordinated notes from the Corporate and Other segment to the Excess and Surplus Lines segment. Interest on the notes, which mature in 2023, is fixed at 7.6% per annum.</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2020, the Company held an investment in a collateralized loan obligation (CLO) where one of the underlying loans was issued by the Bank Holding Company. The investment, with a carrying value of $520,000 at December 31, 2020, was classified as an available-for-sale fixed maturity. During the year ended December 31, 2021, the Company received the final principal repayment for the investment.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maintains fixed maturity securities, short-term investments, accrued investment income, and cash and cash equivalents amounting to $478.4 million at December 31, 2021 in trust accounts or on deposit as collateral for outstanding letters of credit issued as security to third-party reinsureds on reinsurance assumed by JRG Re.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cash and investments with a fair value of $54.9 million and $46.9 million, respectively, were on deposit with state insurance departments to satisfy regulatory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3.    Deferred Policy Acquisition Costs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 analysis of deferred policy acquisition costs is as follows:</w:t>
      </w:r>
    </w:p>
    <w:tbl>
      <w:tblPr>
        <w:tblW w:w="7212" w:type="dxa"/>
        <w:jc w:val="left"/>
        <w:tblInd w:w="0" w:type="dxa"/>
        <w:tblCellMar>
          <w:top w:w="28" w:type="dxa"/>
          <w:left w:w="28" w:type="dxa"/>
          <w:bottom w:w="28" w:type="dxa"/>
          <w:right w:w="28" w:type="dxa"/>
        </w:tblCellMar>
      </w:tblPr>
      <w:tblGrid>
        <w:gridCol w:w="1228"/>
        <w:gridCol w:w="1079"/>
        <w:gridCol w:w="1083"/>
        <w:gridCol w:w="211"/>
        <w:gridCol w:w="721"/>
        <w:gridCol w:w="109"/>
        <w:gridCol w:w="109"/>
        <w:gridCol w:w="109"/>
        <w:gridCol w:w="109"/>
        <w:gridCol w:w="211"/>
        <w:gridCol w:w="721"/>
        <w:gridCol w:w="109"/>
        <w:gridCol w:w="109"/>
        <w:gridCol w:w="109"/>
        <w:gridCol w:w="109"/>
        <w:gridCol w:w="211"/>
        <w:gridCol w:w="721"/>
        <w:gridCol w:w="154"/>
      </w:tblGrid>
      <w:tr>
        <w:trPr/>
        <w:tc>
          <w:tcPr>
            <w:tcW w:w="122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Policy acquisition costs deferred:</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and other issue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All of the Company’s goodwill is an asset of the Excess and Surplus Lines segment. The Company’s annual testing performed in the fourth quarter of 2021, 2020 and 2019 indicated that no impairment of goodwill had occurred. The carrying amount of goodwill at December 31, 2021 and 2020 was $181.8 million. Accumulated goodwill impairment losses were $99.6 million at December 31, 2021 and 2020. The most recent goodwill impairment losses occurred in 2010.</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Specifically identifiable intangible assets were acquired in the Merger. During the fourth quarters of 2021, 2020 and 2019, the indefinite-lived intangible assets for trademarks and insurance licenses and authorities were tested for impairment. Intangible assets for broker relationships that have specific lives and are subject to amortization were also reviewed for impairment. There were no impairments recognized in 2021, 2020, or 2019.</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for each major specifically identifiable intangible asset class were as follows:</w:t>
      </w:r>
    </w:p>
    <w:tbl>
      <w:tblPr>
        <w:tblW w:w="10205" w:type="dxa"/>
        <w:jc w:val="left"/>
        <w:tblInd w:w="0" w:type="dxa"/>
        <w:tblCellMar>
          <w:top w:w="28" w:type="dxa"/>
          <w:left w:w="28" w:type="dxa"/>
          <w:bottom w:w="28" w:type="dxa"/>
          <w:right w:w="28" w:type="dxa"/>
        </w:tblCellMar>
      </w:tblPr>
      <w:tblGrid>
        <w:gridCol w:w="1356"/>
        <w:gridCol w:w="1172"/>
        <w:gridCol w:w="1178"/>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8"/>
      </w:tblGrid>
      <w:tr>
        <w:trPr/>
        <w:tc>
          <w:tcPr>
            <w:tcW w:w="1356"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Life</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1"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intangibles not subject to amortization</w:t>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subject to amortization</w:t>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pPr>
      <w:r>
        <w:rPr>
          <w:rFonts w:ascii="Times New Roman;sans-serif" w:hAnsi="Times New Roman;sans-serif"/>
          <w:b w:val="false"/>
          <w:color w:val="000000"/>
          <w:sz w:val="20"/>
        </w:rPr>
        <w:t>Future estimated amortization of specifically identifiable intangible assets as of December 31, 2021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1927" w:type="dxa"/>
        <w:jc w:val="left"/>
        <w:tblInd w:w="0" w:type="dxa"/>
        <w:tblCellMar>
          <w:top w:w="28" w:type="dxa"/>
          <w:left w:w="28" w:type="dxa"/>
          <w:bottom w:w="28" w:type="dxa"/>
          <w:right w:w="28" w:type="dxa"/>
        </w:tblCellMar>
      </w:tblPr>
      <w:tblGrid>
        <w:gridCol w:w="342"/>
        <w:gridCol w:w="300"/>
        <w:gridCol w:w="304"/>
        <w:gridCol w:w="211"/>
        <w:gridCol w:w="61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changes in the net carrying values of intangible assets by segment for 2021:</w:t>
      </w:r>
    </w:p>
    <w:tbl>
      <w:tblPr>
        <w:tblW w:w="9007" w:type="dxa"/>
        <w:jc w:val="left"/>
        <w:tblInd w:w="0" w:type="dxa"/>
        <w:tblCellMar>
          <w:top w:w="28" w:type="dxa"/>
          <w:left w:w="28" w:type="dxa"/>
          <w:bottom w:w="28" w:type="dxa"/>
          <w:right w:w="28" w:type="dxa"/>
        </w:tblCellMar>
      </w:tblPr>
      <w:tblGrid>
        <w:gridCol w:w="1062"/>
        <w:gridCol w:w="934"/>
        <w:gridCol w:w="943"/>
        <w:gridCol w:w="304"/>
        <w:gridCol w:w="1039"/>
        <w:gridCol w:w="157"/>
        <w:gridCol w:w="109"/>
        <w:gridCol w:w="109"/>
        <w:gridCol w:w="109"/>
        <w:gridCol w:w="284"/>
        <w:gridCol w:w="649"/>
        <w:gridCol w:w="148"/>
        <w:gridCol w:w="109"/>
        <w:gridCol w:w="109"/>
        <w:gridCol w:w="109"/>
        <w:gridCol w:w="279"/>
        <w:gridCol w:w="537"/>
        <w:gridCol w:w="145"/>
        <w:gridCol w:w="109"/>
        <w:gridCol w:w="109"/>
        <w:gridCol w:w="109"/>
        <w:gridCol w:w="300"/>
        <w:gridCol w:w="1026"/>
        <w:gridCol w:w="219"/>
      </w:tblGrid>
      <w:tr>
        <w:trPr/>
        <w:tc>
          <w:tcPr>
            <w:tcW w:w="1062"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changes in the net carrying values of intangible assets by segment for 2020:</w:t>
      </w:r>
    </w:p>
    <w:tbl>
      <w:tblPr>
        <w:tblW w:w="9007" w:type="dxa"/>
        <w:jc w:val="left"/>
        <w:tblInd w:w="0" w:type="dxa"/>
        <w:tblCellMar>
          <w:top w:w="28" w:type="dxa"/>
          <w:left w:w="28" w:type="dxa"/>
          <w:bottom w:w="28" w:type="dxa"/>
          <w:right w:w="28" w:type="dxa"/>
        </w:tblCellMar>
      </w:tblPr>
      <w:tblGrid>
        <w:gridCol w:w="1062"/>
        <w:gridCol w:w="934"/>
        <w:gridCol w:w="943"/>
        <w:gridCol w:w="304"/>
        <w:gridCol w:w="1039"/>
        <w:gridCol w:w="157"/>
        <w:gridCol w:w="109"/>
        <w:gridCol w:w="109"/>
        <w:gridCol w:w="109"/>
        <w:gridCol w:w="284"/>
        <w:gridCol w:w="649"/>
        <w:gridCol w:w="148"/>
        <w:gridCol w:w="109"/>
        <w:gridCol w:w="109"/>
        <w:gridCol w:w="109"/>
        <w:gridCol w:w="279"/>
        <w:gridCol w:w="537"/>
        <w:gridCol w:w="145"/>
        <w:gridCol w:w="109"/>
        <w:gridCol w:w="109"/>
        <w:gridCol w:w="109"/>
        <w:gridCol w:w="300"/>
        <w:gridCol w:w="1026"/>
        <w:gridCol w:w="219"/>
      </w:tblGrid>
      <w:tr>
        <w:trPr/>
        <w:tc>
          <w:tcPr>
            <w:tcW w:w="1062"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$362,000 for the Excess and Surplus Lines segment and $235,000 for the Specialty Admitted Insurance segment for the year ended December 31,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is included in "other assets" on the consolidated balance sheets and consists of the following:</w:t>
      </w:r>
    </w:p>
    <w:tbl>
      <w:tblPr>
        <w:tblW w:w="6354" w:type="dxa"/>
        <w:jc w:val="left"/>
        <w:tblInd w:w="0" w:type="dxa"/>
        <w:tblCellMar>
          <w:top w:w="28" w:type="dxa"/>
          <w:left w:w="28" w:type="dxa"/>
          <w:bottom w:w="28" w:type="dxa"/>
          <w:right w:w="28" w:type="dxa"/>
        </w:tblCellMar>
      </w:tblPr>
      <w:tblGrid>
        <w:gridCol w:w="1489"/>
        <w:gridCol w:w="1306"/>
        <w:gridCol w:w="1315"/>
        <w:gridCol w:w="211"/>
        <w:gridCol w:w="616"/>
        <w:gridCol w:w="109"/>
        <w:gridCol w:w="109"/>
        <w:gridCol w:w="109"/>
        <w:gridCol w:w="109"/>
        <w:gridCol w:w="211"/>
        <w:gridCol w:w="616"/>
        <w:gridCol w:w="154"/>
      </w:tblGrid>
      <w:tr>
        <w:trPr/>
        <w:tc>
          <w:tcPr>
            <w:tcW w:w="1489"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data processing hardware and software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cost basis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6.    Leases</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The Company has entered into operating leases for office space in Bermuda, North Carolina, Virginia, Arizona, and Georgia. Following the adoption of </w:t>
      </w:r>
      <w:r>
        <w:rPr>
          <w:rFonts w:ascii="Times New Roman;sans-serif" w:hAnsi="Times New Roman;sans-serif"/>
          <w:b w:val="false"/>
          <w:color w:val="231F20"/>
          <w:sz w:val="20"/>
        </w:rPr>
        <w:t xml:space="preserve">ASU 2016-02, </w:t>
      </w:r>
      <w:r>
        <w:rPr>
          <w:rFonts w:ascii="Times New Roman;sans-serif" w:hAnsi="Times New Roman;sans-serif"/>
          <w:b w:val="false"/>
          <w:i/>
          <w:color w:val="231F20"/>
          <w:sz w:val="20"/>
        </w:rPr>
        <w:t>Leases (Topic 842)</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effective January 1, 2019, the present value of future lease payments for the Company’s leases with terms greater than 12 months are included on the consolidated balance sheets as lease liabilities and right-of-use lease assets. For leases with terms of 12 months or less, lease payments are recognized in other operating expenses on a straight-line basis over the lease term.</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Total expected lease payments are based on the lease payments specified in the contract and the stated term, including any options to extend or terminate that the Company is reasonably certain to exercise. The Company has elected the practical expedient to account for lease components and any associated non-lease components as a single lease component, and therefore allocates all of the expected lease payments to the lease component.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lease liability, which represents the Company’s obligation to make lease payments arising from the lease, is calculated based on the present value of expected lease payments over the remaining lease term, discounted using the Company’s collateralized incremental borrowing rate at the commencement date. The lease liability is then adjusted for any prepaid rent, lease incentives received or capitalized initial direct costs to determine the lease asset, which represents the Company's right to use the underlying asset for the lease term. Lease liabilities and right-of-use assets are included in other liabilities and other assets, respectively, on the Company's consolidated balance sheets.</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adoption of the new standard on January 1, 2019, the Company derecognized assets of $22.6 million and liabilities of $30.9 million associated with a lease that was designated as build-to-suit under the previous guidance, and recorded a cumulative-effect adjustment to increase retained earnings by $8.3 million. The Company also recorded right-of-use assets of $17.2 million and lease liabilities of $17.8 million at adoption of the new standard associated with the Company's operating leases.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December 31, 2021, lease liabilities and right-of-use assets associated with the Company's operating leases were $12.8 million and $11.7 million, respectively ($14.9 million and $14.0 million at December 31, 2020, respectively). The weighted-average discount rate and weighted average remaining lease term for operating leases was 4.1% and 3.6 years, respectively, as of December 31, 2021.</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maturities of the Company’s operating lease liabilities as of December 31, 2021, which reconciles to total lease liabilities included in other liabilities on the Company’s consolidated balance sheets:</w:t>
      </w:r>
    </w:p>
    <w:tbl>
      <w:tblPr>
        <w:tblW w:w="3900" w:type="dxa"/>
        <w:jc w:val="left"/>
        <w:tblInd w:w="0" w:type="dxa"/>
        <w:tblCellMar>
          <w:top w:w="28" w:type="dxa"/>
          <w:left w:w="28" w:type="dxa"/>
          <w:bottom w:w="28" w:type="dxa"/>
          <w:right w:w="28" w:type="dxa"/>
        </w:tblCellMar>
      </w:tblPr>
      <w:tblGrid>
        <w:gridCol w:w="961"/>
        <w:gridCol w:w="844"/>
        <w:gridCol w:w="850"/>
        <w:gridCol w:w="242"/>
        <w:gridCol w:w="827"/>
        <w:gridCol w:w="176"/>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(in thousands)</w:t>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include $8.5 million associated with office space in a building that is owned by a partnership in which the Company has a minority interest.</w:t>
      </w:r>
    </w:p>
    <w:p>
      <w:pPr>
        <w:pStyle w:val="TextBody"/>
        <w:spacing w:lineRule="auto" w:line="288" w:before="0" w:after="120"/>
        <w:ind w:left="0" w:right="0" w:firstLine="360"/>
        <w:rPr/>
      </w:pPr>
      <w:r>
        <w:rPr>
          <w:rFonts w:ascii="Times New Roman;sans-serif" w:hAnsi="Times New Roman;sans-serif"/>
          <w:b w:val="false"/>
          <w:color w:val="000000"/>
          <w:sz w:val="20"/>
        </w:rPr>
        <w:t xml:space="preserve">Operating lease costs were $5.1 million, $5.0 million, and $5.2 million for the years </w:t>
      </w:r>
      <w:r>
        <w:rPr>
          <w:rFonts w:ascii="Times New Roman;sans-serif" w:hAnsi="Times New Roman;sans-serif"/>
          <w:b w:val="false"/>
          <w:color w:val="231F20"/>
          <w:sz w:val="20"/>
        </w:rPr>
        <w:t xml:space="preserve">ended </w:t>
      </w:r>
      <w:r>
        <w:rPr>
          <w:rFonts w:ascii="Times New Roman;sans-serif" w:hAnsi="Times New Roman;sans-serif"/>
          <w:b w:val="false"/>
          <w:color w:val="000000"/>
          <w:sz w:val="20"/>
        </w:rPr>
        <w:t>December 31, 2021</w:t>
      </w:r>
      <w:r>
        <w:rPr>
          <w:rFonts w:ascii="Times New Roman;sans-serif" w:hAnsi="Times New Roman;sans-serif"/>
          <w:b w:val="false"/>
          <w:color w:val="231F20"/>
          <w:sz w:val="20"/>
        </w:rPr>
        <w:t>, 2020, and 2019, respectively. Operating</w:t>
      </w:r>
      <w:r>
        <w:rPr>
          <w:color w:val="000000"/>
        </w:rPr>
        <w:t xml:space="preserve"> </w:t>
      </w:r>
      <w:r>
        <w:rPr>
          <w:rFonts w:ascii="Times New Roman;sans-serif" w:hAnsi="Times New Roman;sans-serif"/>
          <w:b w:val="false"/>
          <w:color w:val="000000"/>
          <w:sz w:val="20"/>
        </w:rPr>
        <w:t>lease costs are primarily comprised of rental expense for operating leases. Rental expense is recognized on a straight line basis over the lease term and includes amortization of the right-of-use lease asset and imputed interest on the lease liability. Operating lease costs are included in other operating expenses in the Company's consolidated statements of (loss) income and comprehensive (loss)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7.    Reserve for Losses and Loss Adjustment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establishing the reserve for losses and loss adjustment expenses, the Company’s internal actuaries estimate an initial expected ultimate loss ratio for each of our lines of business by accident year (or for our Casualty Reinsurance segment, on a contract by contract basis). Input from the Company’s underwriting and claims departments, including premium pricing assumptions and historical experience, are considered by the Company’s internal actuaries in estimating the initial expected loss ratios. The Company’s internal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internal actuaries perform a study on each of these parameters annually and make recommendations for the initial expected loss ratios, the incurred and paid loss development factors and the weighting of the five actuarial methods by accident year and line of business. Members of management’s Reserve Committee review and approve the parameter review actuarial recommendations, and absent any developments requiring an earlier review, these approved parameters are used in the reserve estimation process for the next four quarters at which time a new parameter study is performed. For the Casualty Reinsurance segment, periodic assessments are made on a contract by contract basis. Method weights are generally less rigid for the Casualty Reinsurance </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segment given the heterogeneous nature of the various contracts, and the potential for significant changes in mix of business within individual treaties.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Different reserving methods are appropriate in different situations, and the Company’s internal actuaries use their judgment and experience to determine the weighting of the methods to use for each accident year and each line of business and, for our Casualty Reinsurance segment, on a contract by contract basis. For example, the current accident year has very little incurred and paid loss development data on which to base reserve projections. As a result, the Company relies heavily on the initial expected loss ratio in estimating reserves for the current accident year. The Company generally sets the initial expected loss ratio for the current accident year consistent with the internal actuaries’ pricing assumptions adjusted upward where warranted based on management's judgment in order to produce the best estimate. We 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data is available for the oldest accident years, so more weight is given to this development data and less weight is given to the initial expected loss ratio.</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net of reinsurance, to the gross amounts reported in the consolidated balance sheets. Reinsurance recoverables on unpaid losses and loss adjustment expenses are presented gross of an allowance for credit losses on reinsurance balances of $631,000 and $335,000 at December 31, 2021 and 2020, respectively.</w:t>
      </w:r>
    </w:p>
    <w:tbl>
      <w:tblPr>
        <w:tblW w:w="10205" w:type="dxa"/>
        <w:jc w:val="left"/>
        <w:tblInd w:w="0" w:type="dxa"/>
        <w:tblCellMar>
          <w:top w:w="28" w:type="dxa"/>
          <w:left w:w="28" w:type="dxa"/>
          <w:bottom w:w="28" w:type="dxa"/>
          <w:right w:w="28" w:type="dxa"/>
        </w:tblCellMar>
      </w:tblPr>
      <w:tblGrid>
        <w:gridCol w:w="2078"/>
        <w:gridCol w:w="1766"/>
        <w:gridCol w:w="1772"/>
        <w:gridCol w:w="211"/>
        <w:gridCol w:w="976"/>
        <w:gridCol w:w="109"/>
        <w:gridCol w:w="109"/>
        <w:gridCol w:w="109"/>
        <w:gridCol w:w="109"/>
        <w:gridCol w:w="211"/>
        <w:gridCol w:w="976"/>
        <w:gridCol w:w="109"/>
        <w:gridCol w:w="109"/>
        <w:gridCol w:w="109"/>
        <w:gridCol w:w="109"/>
        <w:gridCol w:w="211"/>
        <w:gridCol w:w="976"/>
        <w:gridCol w:w="156"/>
      </w:tblGrid>
      <w:tr>
        <w:trPr/>
        <w:tc>
          <w:tcPr>
            <w:tcW w:w="2078" w:type="dxa"/>
            <w:tcBorders/>
            <w:shd w:fill="auto" w:val="clear"/>
            <w:vAlign w:val="center"/>
          </w:tcPr>
          <w:p>
            <w:pPr>
              <w:pStyle w:val="TableContents"/>
              <w:spacing w:before="0" w:after="283"/>
              <w:rPr>
                <w:sz w:val="4"/>
                <w:szCs w:val="4"/>
              </w:rPr>
            </w:pPr>
            <w:r>
              <w:rPr>
                <w:sz w:val="4"/>
                <w:szCs w:val="4"/>
              </w:rPr>
            </w:r>
          </w:p>
        </w:tc>
        <w:tc>
          <w:tcPr>
            <w:tcW w:w="1766"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61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beginning of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1,194,088 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Incurred losses and loss adjustment expenses net of reinsurance: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603,094 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losses and loss and adjustment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and loss adjustment expense payments net of reinsurance: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 payments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reserves ceded in LPT Transaction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end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 on unpaid losses and loss adjustment expenses at end of period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gross of reinsurance recoverables on unpaid losses and loss adjustment expenses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05"/>
        <w:rPr/>
      </w:pPr>
      <w:r>
        <w:rPr>
          <w:rFonts w:ascii="Times New Roman;sans-serif" w:hAnsi="Times New Roman;sans-serif"/>
          <w:b w:val="false"/>
          <w:color w:val="000000"/>
          <w:sz w:val="20"/>
        </w:rPr>
        <w:t xml:space="preserve">The foregoing reconciliation shows that $325.8 million of adverse development was experienced in 2021 on the reserve for losses and loss adjustment expenses held at December 31, 2020. This adverse reserve development included $190.7 million of adverse development in the Excess and Surplus Lines segment, including $200.1 million of adverse development in the commercial auto line of business that was primarily related to the 2019 and prior accident years with Rasier LLC and its affiliates </w:t>
      </w:r>
      <w:r>
        <w:rPr>
          <w:rFonts w:ascii="Times New Roman;sans-serif" w:hAnsi="Times New Roman;sans-serif"/>
          <w:b w:val="false"/>
          <w:color w:val="212529"/>
          <w:sz w:val="20"/>
        </w:rPr>
        <w:t>(collectively, “Rasier”)</w:t>
      </w:r>
      <w:r>
        <w:rPr>
          <w:rFonts w:ascii="Times New Roman;sans-serif" w:hAnsi="Times New Roman;sans-serif"/>
          <w:b w:val="false"/>
          <w:color w:val="000000"/>
          <w:sz w:val="20"/>
        </w:rPr>
        <w:t xml:space="preserve">. The adverse development for commercial auto was partially offset by $9.4 million of favorable development in other Excess and Surplus Lines underwriting divisions. Favorable reserve development in the Specialty Admitted Insurance segment was $2.5 million as losses on our workers’ compensation business written prior to 2020 continued to develop more favorably than we had anticipated. The Casualty Reinsurance segment experienced $137.6 million of adverse development on prior underwriting years. Actual reported and paid losses in the Casualty Reinsurance segment significantly exceeded expectations in 2021, particularly in the fourth quarter of 2021, causing us to refine some of the assumptions used to determine our best estimate of ultimate losses for this segment. Specifically, we responded to this highly </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elevated loss emergence by making significant adjustments to our assumed tail factors, other development factors, initial expected loss ratios, and weights given to various actuarial methods. In particular, we gave significantly more weight to incurred loss development methods and Bornhuetter – Ferguson incurred loss development methods than had been done previously. These actuarial refinements resulted in material deterioration in ultimate loss selections for underwriting years 2014 through 2018. The adverse development was concentrated in four treaties, three of which were general liability and one which was professional liability. Of the $137.6 million of adverse development recognized in 2021, $113.4 million was concentrated in these four treaties.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foregoing reconciliation shows that $92.2 million of adverse development was experienced in 2020 on the reserve for losses and loss adjustment expenses held at December 31, 2019. This adverse reserve development included $59.4 million of adverse development in the Excess and Surplus Lines segment including $91.4 million of adverse development in the commercial auto line of business that was primarily related to the 2018 and prior accident years with Rasier. The adverse development for commercial auto was partially offset by $32.0 million of favorable development in other Excess and Surplus Lines underwriting divisions that was primarily related to the 2018 and 2019 accident years. The Company also experienced $5.0 million of favorable development on prior accident years in the Specialty Admitted Insurance segment, as losses on our workers’ compensation business written prior to 2019 continued to develop more favorably than we had anticipated. The Casualty Reinsurance segment experienced $37.8 million of adverse development on prior accident years primarily in accident years 2014 through 2018. This adverse development was mainly in the general liability and commercial auto lines of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foregoing reconciliation shows that $69.0 million of adverse development was experienced in 2019 on the reserve for losses and loss adjustment expenses held at December 31, 2018. This adverse reserve development included $51.2 million of adverse development in the Excess and Surplus Lines segment including $57.4 million of adverse development in the commercial auto line of business that was primarily related to the 2016 and 2017 accident years with Rasier. The adverse development for commercial auto was partially offset by $6.2 million of favorable development in other Excess and Surplus Lines underwriting divisions. The Company also experienced $5.3 million of favorable development on prior accident years in the Specialty Admitted Insurance segment, as losses on our workers’ compensation business written prior to 2018 continued to develop more favorably than we had anticipated. The Casualty Reinsurance segment experienced $23.1 million of adverse development on prior accident years primarily in accident years 2011 through 2016. This adverse development was mainly in the general liability and commercial auto lines of business.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incurred and paid losses and loss adjustment expenses, net of reinsurance as of December 31, 2021 for: (1) the Excess and Surplus Lines segment split between all excess and surplus lines business excluding commercial auto, and separately, commercial auto, (2) the Specialty Admitted Insurance segment split between individual risk workers’ compensation and fronting and programs, and (3) the Casualty Reinsurance segment. The information provided herein about incurred and paid accident year claims development for the years ended December 31, 2020 and prior is presented as “unaudited” supplementary information.</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Excess and Surplus Lines — Excluding Commercial Auto</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bl>
      <w:tblPr>
        <w:tblW w:w="14071"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tbl>
      <w:tblPr>
        <w:tblW w:w="13576"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85" w:type="dxa"/>
            <w:gridSpan w:val="51"/>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outstanding losses and loss adjustment expenses prior to 2012, net of reinsurance (44 claims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29" w:type="dxa"/>
            <w:gridSpan w:val="3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800,632 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Excess and Surplus Lines — Commercial Auto</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Incurred losses and adjustment expenses, net of reinsurance (in thousands)</w:t>
      </w:r>
    </w:p>
    <w:tbl>
      <w:tblPr>
        <w:tblW w:w="11803"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871"/>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bl>
      <w:tblPr>
        <w:tblW w:w="11443"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33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2" w:type="dxa"/>
            <w:gridSpan w:val="45"/>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 before Rasier LPT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0" w:type="dxa"/>
            <w:gridSpan w:val="21"/>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recoverable for Rasier LPT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256,452 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2" w:type="dxa"/>
            <w:gridSpan w:val="45"/>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Specialty Admitted — Individual Risk Workers’ Compensation</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bl>
      <w:tblPr>
        <w:tblW w:w="13666"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bl>
      <w:tblPr>
        <w:tblW w:w="13576"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85" w:type="dxa"/>
            <w:gridSpan w:val="51"/>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outstanding losses and loss adjustment expenses prior to 2012, net of reinsurance (6 claims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85" w:type="dxa"/>
            <w:gridSpan w:val="51"/>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losses and loss adjustment expenses assumed from involuntary workers’ compensation pools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29" w:type="dxa"/>
            <w:gridSpan w:val="3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Specialty Admitted — Fronting and Programs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bl>
      <w:tblPr>
        <w:tblW w:w="10611"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421"/>
        <w:gridCol w:w="109"/>
        <w:gridCol w:w="109"/>
        <w:gridCol w:w="109"/>
        <w:gridCol w:w="109"/>
        <w:gridCol w:w="206"/>
        <w:gridCol w:w="350"/>
        <w:gridCol w:w="109"/>
        <w:gridCol w:w="109"/>
        <w:gridCol w:w="109"/>
        <w:gridCol w:w="109"/>
        <w:gridCol w:w="206"/>
        <w:gridCol w:w="350"/>
        <w:gridCol w:w="109"/>
        <w:gridCol w:w="109"/>
        <w:gridCol w:w="109"/>
        <w:gridCol w:w="109"/>
        <w:gridCol w:w="239"/>
        <w:gridCol w:w="407"/>
        <w:gridCol w:w="109"/>
        <w:gridCol w:w="109"/>
        <w:gridCol w:w="109"/>
        <w:gridCol w:w="109"/>
        <w:gridCol w:w="239"/>
        <w:gridCol w:w="407"/>
        <w:gridCol w:w="109"/>
        <w:gridCol w:w="109"/>
        <w:gridCol w:w="109"/>
        <w:gridCol w:w="109"/>
        <w:gridCol w:w="239"/>
        <w:gridCol w:w="407"/>
        <w:gridCol w:w="109"/>
        <w:gridCol w:w="109"/>
        <w:gridCol w:w="109"/>
        <w:gridCol w:w="109"/>
        <w:gridCol w:w="239"/>
        <w:gridCol w:w="407"/>
        <w:gridCol w:w="109"/>
        <w:gridCol w:w="109"/>
        <w:gridCol w:w="109"/>
        <w:gridCol w:w="109"/>
        <w:gridCol w:w="239"/>
        <w:gridCol w:w="407"/>
        <w:gridCol w:w="109"/>
        <w:gridCol w:w="109"/>
        <w:gridCol w:w="109"/>
        <w:gridCol w:w="109"/>
        <w:gridCol w:w="196"/>
        <w:gridCol w:w="736"/>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bl>
      <w:tblPr>
        <w:tblW w:w="10205" w:type="dxa"/>
        <w:jc w:val="left"/>
        <w:tblInd w:w="0" w:type="dxa"/>
        <w:tblCellMar>
          <w:top w:w="28" w:type="dxa"/>
          <w:left w:w="28" w:type="dxa"/>
          <w:bottom w:w="28" w:type="dxa"/>
          <w:right w:w="28" w:type="dxa"/>
        </w:tblCellMar>
      </w:tblPr>
      <w:tblGrid>
        <w:gridCol w:w="298"/>
        <w:gridCol w:w="262"/>
        <w:gridCol w:w="263"/>
        <w:gridCol w:w="109"/>
        <w:gridCol w:w="109"/>
        <w:gridCol w:w="109"/>
        <w:gridCol w:w="196"/>
        <w:gridCol w:w="331"/>
        <w:gridCol w:w="109"/>
        <w:gridCol w:w="109"/>
        <w:gridCol w:w="109"/>
        <w:gridCol w:w="109"/>
        <w:gridCol w:w="196"/>
        <w:gridCol w:w="331"/>
        <w:gridCol w:w="109"/>
        <w:gridCol w:w="109"/>
        <w:gridCol w:w="109"/>
        <w:gridCol w:w="109"/>
        <w:gridCol w:w="206"/>
        <w:gridCol w:w="350"/>
        <w:gridCol w:w="109"/>
        <w:gridCol w:w="109"/>
        <w:gridCol w:w="109"/>
        <w:gridCol w:w="109"/>
        <w:gridCol w:w="206"/>
        <w:gridCol w:w="350"/>
        <w:gridCol w:w="109"/>
        <w:gridCol w:w="109"/>
        <w:gridCol w:w="109"/>
        <w:gridCol w:w="109"/>
        <w:gridCol w:w="206"/>
        <w:gridCol w:w="350"/>
        <w:gridCol w:w="109"/>
        <w:gridCol w:w="109"/>
        <w:gridCol w:w="109"/>
        <w:gridCol w:w="109"/>
        <w:gridCol w:w="206"/>
        <w:gridCol w:w="350"/>
        <w:gridCol w:w="109"/>
        <w:gridCol w:w="109"/>
        <w:gridCol w:w="109"/>
        <w:gridCol w:w="109"/>
        <w:gridCol w:w="239"/>
        <w:gridCol w:w="407"/>
        <w:gridCol w:w="109"/>
        <w:gridCol w:w="109"/>
        <w:gridCol w:w="109"/>
        <w:gridCol w:w="109"/>
        <w:gridCol w:w="239"/>
        <w:gridCol w:w="407"/>
        <w:gridCol w:w="109"/>
        <w:gridCol w:w="109"/>
        <w:gridCol w:w="109"/>
        <w:gridCol w:w="109"/>
        <w:gridCol w:w="196"/>
        <w:gridCol w:w="646"/>
        <w:gridCol w:w="155"/>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18,219 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9,958 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9" w:type="dxa"/>
            <w:gridSpan w:val="45"/>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72,772 </w:t>
            </w:r>
          </w:p>
        </w:tc>
        <w:tc>
          <w:tcPr>
            <w:tcW w:w="155"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7" w:type="dxa"/>
            <w:gridSpan w:val="3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losses and loss adjustment expenses, assumed from involuntary pools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9" w:type="dxa"/>
            <w:gridSpan w:val="45"/>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73,553 </w:t>
            </w:r>
          </w:p>
        </w:tc>
        <w:tc>
          <w:tcPr>
            <w:tcW w:w="15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Casualty Reinsurance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bl>
      <w:tblPr>
        <w:tblW w:w="14611"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op w:val="single" w:sz="8" w:space="0" w:color="FFFFFF"/>
              <w:bottom w:val="single" w:sz="8" w:space="0" w:color="FFFFFF"/>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bottom w:val="single" w:sz="8" w:space="0" w:color="FFFFFF"/>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1,312,871 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bl>
      <w:tblPr>
        <w:tblW w:w="14206" w:type="dxa"/>
        <w:jc w:val="left"/>
        <w:tblInd w:w="0" w:type="dxa"/>
        <w:tblCellMar>
          <w:top w:w="28" w:type="dxa"/>
          <w:left w:w="28" w:type="dxa"/>
          <w:bottom w:w="28" w:type="dxa"/>
          <w:right w:w="28" w:type="dxa"/>
        </w:tblCellMar>
      </w:tblPr>
      <w:tblGrid>
        <w:gridCol w:w="272"/>
        <w:gridCol w:w="239"/>
        <w:gridCol w:w="24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89" w:type="dxa"/>
            <w:gridSpan w:val="3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outstanding losses and loss adjustment expenses prior to 2012, net of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89" w:type="dxa"/>
            <w:gridSpan w:val="3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424,994 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net incurred and paid claims development tables to the reserve for losses and loss adjustment expenses in the consolidated balance sheet at December 31, 2021 is as follows (in thousands):</w:t>
      </w:r>
    </w:p>
    <w:tbl>
      <w:tblPr>
        <w:tblW w:w="10205" w:type="dxa"/>
        <w:jc w:val="left"/>
        <w:tblInd w:w="0" w:type="dxa"/>
        <w:tblCellMar>
          <w:top w:w="28" w:type="dxa"/>
          <w:left w:w="28" w:type="dxa"/>
          <w:bottom w:w="28" w:type="dxa"/>
          <w:right w:w="28" w:type="dxa"/>
        </w:tblCellMar>
      </w:tblPr>
      <w:tblGrid>
        <w:gridCol w:w="3218"/>
        <w:gridCol w:w="2818"/>
        <w:gridCol w:w="2827"/>
        <w:gridCol w:w="211"/>
        <w:gridCol w:w="976"/>
        <w:gridCol w:w="155"/>
      </w:tblGrid>
      <w:tr>
        <w:trPr/>
        <w:tc>
          <w:tcPr>
            <w:tcW w:w="3218" w:type="dxa"/>
            <w:tcBorders/>
            <w:shd w:fill="auto" w:val="clear"/>
            <w:vAlign w:val="center"/>
          </w:tcPr>
          <w:p>
            <w:pPr>
              <w:pStyle w:val="TableContents"/>
              <w:spacing w:before="0" w:after="283"/>
              <w:rPr>
                <w:sz w:val="4"/>
                <w:szCs w:val="4"/>
              </w:rPr>
            </w:pPr>
            <w:r>
              <w:rPr>
                <w:sz w:val="4"/>
                <w:szCs w:val="4"/>
              </w:rPr>
            </w:r>
          </w:p>
        </w:tc>
        <w:tc>
          <w:tcPr>
            <w:tcW w:w="2818" w:type="dxa"/>
            <w:tcBorders/>
            <w:shd w:fill="auto" w:val="clear"/>
            <w:vAlign w:val="center"/>
          </w:tcPr>
          <w:p>
            <w:pPr>
              <w:pStyle w:val="TableContents"/>
              <w:spacing w:before="0" w:after="283"/>
              <w:rPr>
                <w:sz w:val="4"/>
                <w:szCs w:val="4"/>
              </w:rPr>
            </w:pPr>
            <w:r>
              <w:rPr>
                <w:sz w:val="4"/>
                <w:szCs w:val="4"/>
              </w:rPr>
            </w:r>
          </w:p>
        </w:tc>
        <w:tc>
          <w:tcPr>
            <w:tcW w:w="28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E&amp;S – excluding commercial auto</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800,632 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E&amp;S – commercial auto</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 individual risk workers’ compensation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 fronting and programs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loss adjustment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recoverables on unpaid losses (gross of $631,000 allowance for credit losses on reinsurance recoverables)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1,349,259 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reserve for losses and loss adjustment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unaudited supplementary information about average annual percentage payouts of incurred claims by age, net of reinsurance, as of December 31, 2021. </w:t>
      </w:r>
    </w:p>
    <w:tbl>
      <w:tblPr>
        <w:tblW w:w="10874" w:type="dxa"/>
        <w:jc w:val="left"/>
        <w:tblInd w:w="0" w:type="dxa"/>
        <w:tblCellMar>
          <w:top w:w="28" w:type="dxa"/>
          <w:left w:w="28" w:type="dxa"/>
          <w:bottom w:w="28" w:type="dxa"/>
          <w:right w:w="28" w:type="dxa"/>
        </w:tblCellMar>
      </w:tblPr>
      <w:tblGrid>
        <w:gridCol w:w="462"/>
        <w:gridCol w:w="301"/>
        <w:gridCol w:w="303"/>
        <w:gridCol w:w="233"/>
        <w:gridCol w:w="233"/>
        <w:gridCol w:w="261"/>
        <w:gridCol w:w="109"/>
        <w:gridCol w:w="109"/>
        <w:gridCol w:w="109"/>
        <w:gridCol w:w="233"/>
        <w:gridCol w:w="233"/>
        <w:gridCol w:w="261"/>
        <w:gridCol w:w="109"/>
        <w:gridCol w:w="109"/>
        <w:gridCol w:w="109"/>
        <w:gridCol w:w="233"/>
        <w:gridCol w:w="233"/>
        <w:gridCol w:w="261"/>
        <w:gridCol w:w="109"/>
        <w:gridCol w:w="109"/>
        <w:gridCol w:w="109"/>
        <w:gridCol w:w="233"/>
        <w:gridCol w:w="233"/>
        <w:gridCol w:w="261"/>
        <w:gridCol w:w="109"/>
        <w:gridCol w:w="109"/>
        <w:gridCol w:w="109"/>
        <w:gridCol w:w="233"/>
        <w:gridCol w:w="233"/>
        <w:gridCol w:w="261"/>
        <w:gridCol w:w="109"/>
        <w:gridCol w:w="109"/>
        <w:gridCol w:w="109"/>
        <w:gridCol w:w="188"/>
        <w:gridCol w:w="188"/>
        <w:gridCol w:w="261"/>
        <w:gridCol w:w="109"/>
        <w:gridCol w:w="109"/>
        <w:gridCol w:w="109"/>
        <w:gridCol w:w="188"/>
        <w:gridCol w:w="188"/>
        <w:gridCol w:w="261"/>
        <w:gridCol w:w="109"/>
        <w:gridCol w:w="109"/>
        <w:gridCol w:w="109"/>
        <w:gridCol w:w="188"/>
        <w:gridCol w:w="188"/>
        <w:gridCol w:w="261"/>
        <w:gridCol w:w="109"/>
        <w:gridCol w:w="109"/>
        <w:gridCol w:w="109"/>
        <w:gridCol w:w="188"/>
        <w:gridCol w:w="188"/>
        <w:gridCol w:w="261"/>
        <w:gridCol w:w="109"/>
        <w:gridCol w:w="109"/>
        <w:gridCol w:w="109"/>
        <w:gridCol w:w="188"/>
        <w:gridCol w:w="188"/>
        <w:gridCol w:w="306"/>
      </w:tblGrid>
      <w:tr>
        <w:trPr/>
        <w:tc>
          <w:tcPr>
            <w:tcW w:w="46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10</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E&amp;S – excluding commercial auto</w:t>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E&amp;S – commercial auto</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 – individual risk workers’ compensation</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 – fronting and programs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Casualty Reinsurance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determining the cumulative number of reported claims, the Company measures claim counts by individual claimant for individual risk workers’ compensation policies in the Specialty Admitted Insurance segment. In the Excess and Surplus Lines insurance segment and for fronting and programs in the Specialty Admitted Insurance segment, the Company measures claim counts by claim event. The claim counts include all claims reported, even if the Company does not establish a liability for the claim (i.e. reserve for loss and loss adjustment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Casualty Reinsurance segment typically assumes written premium under quota share arrangements. The Company typically does not have direct access to claim frequency information underlying its assumed quota share arrangements given the nature of that business. In addition, multiple claims are often aggregated by the ceding company before being reported to the Company. We do not use claim frequency information in the Casualty Reinsurance segment in the determination of loss </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reserves or for other internal purposes. Based on these considerations, the Company does not believe providing claims frequency information is practicable as it relates to the Casualty Reinsurance segment.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Excess and Surplus Lines — Excluding Commercial Auto</w:t>
      </w:r>
    </w:p>
    <w:tbl>
      <w:tblPr>
        <w:tblW w:w="5665" w:type="dxa"/>
        <w:jc w:val="left"/>
        <w:tblInd w:w="0" w:type="dxa"/>
        <w:tblCellMar>
          <w:top w:w="28" w:type="dxa"/>
          <w:left w:w="28" w:type="dxa"/>
          <w:bottom w:w="28" w:type="dxa"/>
          <w:right w:w="28" w:type="dxa"/>
        </w:tblCellMar>
      </w:tblPr>
      <w:tblGrid>
        <w:gridCol w:w="418"/>
        <w:gridCol w:w="367"/>
        <w:gridCol w:w="369"/>
        <w:gridCol w:w="109"/>
        <w:gridCol w:w="109"/>
        <w:gridCol w:w="109"/>
        <w:gridCol w:w="226"/>
        <w:gridCol w:w="887"/>
        <w:gridCol w:w="117"/>
        <w:gridCol w:w="109"/>
        <w:gridCol w:w="109"/>
        <w:gridCol w:w="109"/>
        <w:gridCol w:w="211"/>
        <w:gridCol w:w="616"/>
        <w:gridCol w:w="109"/>
        <w:gridCol w:w="109"/>
        <w:gridCol w:w="109"/>
        <w:gridCol w:w="109"/>
        <w:gridCol w:w="399"/>
        <w:gridCol w:w="399"/>
        <w:gridCol w:w="566"/>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90,944 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150,687 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189,671 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211,732 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304,435 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Excess and Surplus Lines — Commercial Auto</w:t>
      </w:r>
    </w:p>
    <w:tbl>
      <w:tblPr>
        <w:tblW w:w="5617" w:type="dxa"/>
        <w:jc w:val="left"/>
        <w:tblInd w:w="0" w:type="dxa"/>
        <w:tblCellMar>
          <w:top w:w="28" w:type="dxa"/>
          <w:left w:w="28" w:type="dxa"/>
          <w:bottom w:w="28" w:type="dxa"/>
          <w:right w:w="28" w:type="dxa"/>
        </w:tblCellMar>
      </w:tblPr>
      <w:tblGrid>
        <w:gridCol w:w="418"/>
        <w:gridCol w:w="367"/>
        <w:gridCol w:w="369"/>
        <w:gridCol w:w="109"/>
        <w:gridCol w:w="109"/>
        <w:gridCol w:w="109"/>
        <w:gridCol w:w="277"/>
        <w:gridCol w:w="810"/>
        <w:gridCol w:w="143"/>
        <w:gridCol w:w="109"/>
        <w:gridCol w:w="109"/>
        <w:gridCol w:w="109"/>
        <w:gridCol w:w="325"/>
        <w:gridCol w:w="396"/>
        <w:gridCol w:w="109"/>
        <w:gridCol w:w="109"/>
        <w:gridCol w:w="109"/>
        <w:gridCol w:w="109"/>
        <w:gridCol w:w="457"/>
        <w:gridCol w:w="399"/>
        <w:gridCol w:w="566"/>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38,046 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41,770 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164,399 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89,117 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355,713 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134,150 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349,067 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97,334 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339,771 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71,428 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Specialty Admitted - Individual Risk Workers’ Compensation</w:t>
      </w:r>
    </w:p>
    <w:tbl>
      <w:tblPr>
        <w:tblW w:w="5514" w:type="dxa"/>
        <w:jc w:val="left"/>
        <w:tblInd w:w="0" w:type="dxa"/>
        <w:tblCellMar>
          <w:top w:w="28" w:type="dxa"/>
          <w:left w:w="28" w:type="dxa"/>
          <w:bottom w:w="28" w:type="dxa"/>
          <w:right w:w="28" w:type="dxa"/>
        </w:tblCellMar>
      </w:tblPr>
      <w:tblGrid>
        <w:gridCol w:w="418"/>
        <w:gridCol w:w="367"/>
        <w:gridCol w:w="369"/>
        <w:gridCol w:w="109"/>
        <w:gridCol w:w="109"/>
        <w:gridCol w:w="109"/>
        <w:gridCol w:w="249"/>
        <w:gridCol w:w="852"/>
        <w:gridCol w:w="128"/>
        <w:gridCol w:w="109"/>
        <w:gridCol w:w="109"/>
        <w:gridCol w:w="109"/>
        <w:gridCol w:w="211"/>
        <w:gridCol w:w="466"/>
        <w:gridCol w:w="109"/>
        <w:gridCol w:w="109"/>
        <w:gridCol w:w="109"/>
        <w:gridCol w:w="109"/>
        <w:gridCol w:w="399"/>
        <w:gridCol w:w="399"/>
        <w:gridCol w:w="566"/>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color w:val="000000"/>
        </w:rPr>
      </w:pPr>
      <w:r>
        <w:rPr>
          <w:color w:val="000000"/>
        </w:rPr>
        <w:t> </w:t>
      </w:r>
      <w:r>
        <w:rPr>
          <w:rFonts w:ascii="Times New Roman;sans-serif" w:hAnsi="Times New Roman;sans-serif"/>
          <w:b/>
          <w:color w:val="000000"/>
          <w:sz w:val="20"/>
        </w:rPr>
        <w:t>Specialty Admitted — Fronting and Programs</w:t>
      </w:r>
    </w:p>
    <w:tbl>
      <w:tblPr>
        <w:tblW w:w="5559" w:type="dxa"/>
        <w:jc w:val="left"/>
        <w:tblInd w:w="0" w:type="dxa"/>
        <w:tblCellMar>
          <w:top w:w="28" w:type="dxa"/>
          <w:left w:w="28" w:type="dxa"/>
          <w:bottom w:w="28" w:type="dxa"/>
          <w:right w:w="28" w:type="dxa"/>
        </w:tblCellMar>
      </w:tblPr>
      <w:tblGrid>
        <w:gridCol w:w="418"/>
        <w:gridCol w:w="367"/>
        <w:gridCol w:w="369"/>
        <w:gridCol w:w="109"/>
        <w:gridCol w:w="109"/>
        <w:gridCol w:w="109"/>
        <w:gridCol w:w="380"/>
        <w:gridCol w:w="652"/>
        <w:gridCol w:w="198"/>
        <w:gridCol w:w="109"/>
        <w:gridCol w:w="109"/>
        <w:gridCol w:w="109"/>
        <w:gridCol w:w="246"/>
        <w:gridCol w:w="475"/>
        <w:gridCol w:w="109"/>
        <w:gridCol w:w="109"/>
        <w:gridCol w:w="109"/>
        <w:gridCol w:w="109"/>
        <w:gridCol w:w="399"/>
        <w:gridCol w:w="399"/>
        <w:gridCol w:w="566"/>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8,084 </w:t>
            </w:r>
          </w:p>
        </w:tc>
        <w:tc>
          <w:tcPr>
            <w:tcW w:w="5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on IBNR liabilities for the Casualty Reinsurance segment:</w:t>
      </w:r>
    </w:p>
    <w:tbl>
      <w:tblPr>
        <w:tblW w:w="3913" w:type="dxa"/>
        <w:jc w:val="left"/>
        <w:tblInd w:w="0" w:type="dxa"/>
        <w:tblCellMar>
          <w:top w:w="28" w:type="dxa"/>
          <w:left w:w="28" w:type="dxa"/>
          <w:bottom w:w="28" w:type="dxa"/>
          <w:right w:w="28" w:type="dxa"/>
        </w:tblCellMar>
      </w:tblPr>
      <w:tblGrid>
        <w:gridCol w:w="418"/>
        <w:gridCol w:w="367"/>
        <w:gridCol w:w="369"/>
        <w:gridCol w:w="109"/>
        <w:gridCol w:w="109"/>
        <w:gridCol w:w="109"/>
        <w:gridCol w:w="226"/>
        <w:gridCol w:w="887"/>
        <w:gridCol w:w="117"/>
        <w:gridCol w:w="109"/>
        <w:gridCol w:w="109"/>
        <w:gridCol w:w="109"/>
        <w:gridCol w:w="224"/>
        <w:gridCol w:w="497"/>
        <w:gridCol w:w="154"/>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r>
      <w:tr>
        <w:trPr/>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148,103 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8.    Reinsurance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 had reinsurance recoverables on unpaid losses of $1,348.6 million and reinsurance recoverables on paid losses of $82.2 million. All material reinsurance recoverables are from companies with A.M. Best Company ratings of “A-” (Excellent) or better, or are collateralized by the reinsurer for our benefit through letters of credit or trust agreements, or represent recoverables from a state residual market for automobile insurance.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reinsurance recoverables on unpaid losses from the Company’s three largest reinsurers were $325.0 million, $256.5 million, and $125.4 million, representing 52.4% of the total balance.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At December 31, 2021, prepaid reinsurance premiums ceded to three reinsurers totaled $80.7 million, $43.2 million, and $19.8 million, representing 49.3% of the total balance.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Premiums written, premiums earned, and losses and loss adjustment expenses incurred are summarized as follows:</w:t>
      </w:r>
    </w:p>
    <w:tbl>
      <w:tblPr>
        <w:tblW w:w="7736" w:type="dxa"/>
        <w:jc w:val="left"/>
        <w:tblInd w:w="0" w:type="dxa"/>
        <w:tblCellMar>
          <w:top w:w="28" w:type="dxa"/>
          <w:left w:w="28" w:type="dxa"/>
          <w:bottom w:w="28" w:type="dxa"/>
          <w:right w:w="28" w:type="dxa"/>
        </w:tblCellMar>
      </w:tblPr>
      <w:tblGrid>
        <w:gridCol w:w="1141"/>
        <w:gridCol w:w="1000"/>
        <w:gridCol w:w="1008"/>
        <w:gridCol w:w="211"/>
        <w:gridCol w:w="976"/>
        <w:gridCol w:w="109"/>
        <w:gridCol w:w="109"/>
        <w:gridCol w:w="109"/>
        <w:gridCol w:w="109"/>
        <w:gridCol w:w="211"/>
        <w:gridCol w:w="976"/>
        <w:gridCol w:w="109"/>
        <w:gridCol w:w="109"/>
        <w:gridCol w:w="109"/>
        <w:gridCol w:w="109"/>
        <w:gridCol w:w="211"/>
        <w:gridCol w:w="976"/>
        <w:gridCol w:w="154"/>
      </w:tblGrid>
      <w:tr>
        <w:trPr/>
        <w:tc>
          <w:tcPr>
            <w:tcW w:w="1141"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premiums: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Earned premiums: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9.    Senior Debt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has a $315.0 million senior revolving credit facility (as amended or amended and restated, the "2013 Facility”). The 2013 Facility is comprised of the following at December 31, 2021:</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 $102.5 million secured revolving facility utilized by JRG Re to issue letters of credit for the benefit of third-party reinsureds. This portion of our credit facility is secured by our investment securities. At December 31, 2021, the Company had $34.3 million of letters of credit issued under the secured facility.</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hanging="360"/>
        <w:rPr/>
      </w:pPr>
      <w:r>
        <w:rPr>
          <w:color w:val="000000"/>
        </w:rPr>
        <w:t>•    </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quarterly and is payable in arrears at LIBOR plus a margin (1.625% at December 31, 2021), which is subject to change according to terms in the credit agreement. At December 31, 2021 and 2020, the Company had a drawn balance of $185.8 million outstanding on the unsecured revolver.</w:t>
      </w:r>
      <w:r>
        <w:rPr>
          <w:color w:val="000000"/>
        </w:rPr>
        <w:t xml:space="preserve"> </w:t>
      </w:r>
      <w:r>
        <w:rPr>
          <w:rFonts w:ascii="Times New Roman;sans-serif" w:hAnsi="Times New Roman;sans-serif"/>
          <w:b w:val="false"/>
          <w:color w:val="000000"/>
          <w:sz w:val="20"/>
        </w:rPr>
        <w:t>In 2020, we borrowed an additional $52.5 million to support our growth and for general corporate purposes.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and JRG Re are borrowers on the 2013 Facility. 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 subsidiary of the Bank Holding Company is one of the lenders for the 2013 Facility, with a $36.0 million commitment allocation on the total $315.0 million 2013 Facility.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2013 Facility contains certain financial and other covenants (including minimum net worth, maximum ratio of total adjusted debt outstanding to total capitalization, and financial strength ratings) with which the Company was in compliance, at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The loans and letters of credit made or issued under the revolving line of credit may be used to finance the Borrowers’ general corporate purposes. On November 8, 2019, the Company entered into a First Amendment to Credit Agreement which, among other things, lowered the applicable interest rate and modified certain negative covenants to be less restrictive. Obligations under the 2017 Facility carry a variable rate of interest subject to terms in the credit agreement (LIBOR plus a margin of 1.625% at December 31, 2021) and will mature 30 days after notice of termination from the lender. Interest accrues quarterly and is payable in arrears at variable rates which are subject to change according to terms in the credit agreement. At December 31, 2021, unsecured loans of $61.5 million and secured letters of credit totaling $20.5 million were outstanding under the facility. During 2020, we borrowed an additional $51.5 million in unsecured loans to support our growth and for general corporate purposes.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order to secure borrowings and letters of credit made or issued under the secured portion of the revolving line of credit, JRG Re entered into a pledge and security agreement on August 2, 2017 with the lender, pursuant to which JRG Re will pledge certain investment securities. In the event the Company elects to pledge investment securities as collateral for the secured portion of the revolving credit facility, the Company will enter into a similar pledge and security agreement.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lender under the credit agreement and its affiliate is a joint bookrunner and joint lead arranger under the Company’s Second Amended and Restated Credit Agreement dated as of November 8, 2019, as amended, and its affiliate was also an underwriter in the December 2014 initial public offering of the Company’s common shares.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Facility contains certain financial and other covenants which we are in compliance with at December 31, 2021.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 three-month LIBOR on the Determination Date (as defined in the indenture) plus 3.85%. The Senior Debt is redeemable prior to its stated maturity in whole or in part, at the option of James River Group.</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terms of the indenture generally provide that so long as the Senior Debt is outstanding, neither James River Group nor any of its subsidiaries may:</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assume or permit to exist any indebtedness that is secured by any encumbrance on the capital stock of James River Group or any of its subsidiaries which is senior to the Senior Debt; or</w:t>
      </w:r>
    </w:p>
    <w:p>
      <w:pPr>
        <w:pStyle w:val="TextBody"/>
        <w:spacing w:lineRule="auto" w:line="288" w:before="0" w:after="120"/>
        <w:ind w:left="0" w:right="0" w:hanging="360"/>
        <w:rPr>
          <w:color w:val="000000"/>
        </w:rPr>
      </w:pPr>
      <w:r>
        <w:rPr>
          <w:color w:val="000000"/>
        </w:rPr>
        <w:t>•    </w:t>
      </w:r>
      <w:r>
        <w:rPr>
          <w:rFonts w:ascii="Times New Roman;sans-serif" w:hAnsi="Times New Roman;sans-serif"/>
          <w:b w:val="false"/>
          <w:color w:val="000000"/>
          <w:sz w:val="20"/>
        </w:rPr>
        <w:t>issue, sell, transfer or otherwise dispose of any shares of, securities convertible into, or warrants, rights or options to subscribe for or purchase shares of, capital stock of any subsidiary.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terms of the Senior Debt contain certain covenants, with which we are in compliance at December 31, 2021, and which, among other things, restrict our ability to assume senior indebtedness secured by our U.S. holding company's common stock or its subsidiaries' capital stock or to issue shares of its subsidiaries' capital stock.</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Interest payable is included in “accrued expenses” in the accompanying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10.    Junior Subordinated Debt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pStyle w:val="TextBody"/>
        <w:spacing w:lineRule="auto" w:line="288" w:before="0" w:after="120"/>
        <w:ind w:left="0" w:right="0" w:firstLine="405"/>
        <w:rPr/>
      </w:pPr>
      <w:r>
        <w:rPr>
          <w:rFonts w:ascii="Times New Roman;sans-serif" w:hAnsi="Times New Roman;sans-serif"/>
          <w:b w:val="false"/>
          <w:color w:val="000000"/>
          <w:sz w:val="20"/>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 are the sole liabilities of each Trust. The Company purchased all of the outstanding common stock of the Trusts, and the investment in the Trusts is included in “other assets” in the accompanying consolidated balance sheets.</w:t>
      </w:r>
      <w:r>
        <w:rPr>
          <w:color w:val="000000"/>
        </w:rPr>
        <w: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December 31, 2021 (including the Company’s repurchases of a portion of these trust preferred securities):</w:t>
      </w:r>
    </w:p>
    <w:tbl>
      <w:tblPr>
        <w:tblW w:w="10205" w:type="dxa"/>
        <w:jc w:val="left"/>
        <w:tblInd w:w="0" w:type="dxa"/>
        <w:tblCellMar>
          <w:top w:w="28" w:type="dxa"/>
          <w:left w:w="28" w:type="dxa"/>
          <w:bottom w:w="28" w:type="dxa"/>
          <w:right w:w="28" w:type="dxa"/>
        </w:tblCellMar>
      </w:tblPr>
      <w:tblGrid>
        <w:gridCol w:w="847"/>
        <w:gridCol w:w="576"/>
        <w:gridCol w:w="568"/>
        <w:gridCol w:w="455"/>
        <w:gridCol w:w="455"/>
        <w:gridCol w:w="460"/>
        <w:gridCol w:w="109"/>
        <w:gridCol w:w="109"/>
        <w:gridCol w:w="109"/>
        <w:gridCol w:w="467"/>
        <w:gridCol w:w="467"/>
        <w:gridCol w:w="437"/>
        <w:gridCol w:w="109"/>
        <w:gridCol w:w="109"/>
        <w:gridCol w:w="109"/>
        <w:gridCol w:w="512"/>
        <w:gridCol w:w="428"/>
        <w:gridCol w:w="430"/>
        <w:gridCol w:w="109"/>
        <w:gridCol w:w="109"/>
        <w:gridCol w:w="109"/>
        <w:gridCol w:w="467"/>
        <w:gridCol w:w="467"/>
        <w:gridCol w:w="437"/>
        <w:gridCol w:w="109"/>
        <w:gridCol w:w="109"/>
        <w:gridCol w:w="109"/>
        <w:gridCol w:w="413"/>
        <w:gridCol w:w="413"/>
        <w:gridCol w:w="598"/>
      </w:tblGrid>
      <w:tr>
        <w:trPr/>
        <w:tc>
          <w:tcPr>
            <w:tcW w:w="847"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1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1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 date</w:t>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w:t>
              <w:br/>
              <w:t>2004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w:t>
              <w:br/>
              <w:t>2004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15,</w:t>
              <w:br/>
              <w:t>2006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11,</w:t>
              <w:br/>
              <w:t>2007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10,</w:t>
              <w:br/>
              <w:t>2008</w:t>
            </w:r>
          </w:p>
        </w:tc>
      </w:tr>
      <w:tr>
        <w:trPr/>
        <w:tc>
          <w:tcPr>
            <w:tcW w:w="1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amount of Trust Preferred Securities</w:t>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$30,000</w:t>
            </w:r>
          </w:p>
        </w:tc>
      </w:tr>
      <w:tr>
        <w:trPr/>
        <w:tc>
          <w:tcPr>
            <w:tcW w:w="1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amount of Junior Subordinated Debt</w:t>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$15,464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$20,619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$55,670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$30,928</w:t>
            </w:r>
          </w:p>
        </w:tc>
      </w:tr>
      <w:tr>
        <w:trPr/>
        <w:tc>
          <w:tcPr>
            <w:tcW w:w="1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amount of Junior Subordinated Debt net of repurchases</w:t>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$20,619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$44,827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$15,928</w:t>
            </w:r>
          </w:p>
        </w:tc>
      </w:tr>
      <w:tr>
        <w:trPr/>
        <w:tc>
          <w:tcPr>
            <w:tcW w:w="1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date of Junior Subordinated Debt, unless accelerated earlier</w:t>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24,</w:t>
              <w:br/>
              <w:t>2034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w:t>
              <w:br/>
              <w:t>2034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15,</w:t>
              <w:br/>
              <w:t>2036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w:t>
              <w:br/>
              <w:t>2037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15,</w:t>
              <w:br/>
              <w:t>2038</w:t>
            </w:r>
          </w:p>
        </w:tc>
      </w:tr>
      <w:tr>
        <w:trPr/>
        <w:tc>
          <w:tcPr>
            <w:tcW w:w="1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common stock</w:t>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$928</w:t>
            </w:r>
          </w:p>
        </w:tc>
      </w:tr>
      <w:tr>
        <w:trPr/>
        <w:tc>
          <w:tcPr>
            <w:tcW w:w="1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per annum</w:t>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LIBOR plus 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LIBOR plus 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LIBOR plus 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LIBOR plus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LIBOR plus 4.0%</w:t>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 contemporaneously with the optional prepayment, in whole or in part, of the Junior Subordinated Debt. The Indentures contain certain covenants which the Company is in compliance with as of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Interest payable is included in “accrued expenses” on the accompanying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11.    Capital Stock</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authorized share capital consists of 200,000,000 common shares, par value $0.0002 per share (37,373,066 shares issued and outstanding at December 31, 2021) and 20,000,000 undesignated preferred shares, par value $0.00125 per share (no shares issued or outstanding at December 31, 2021).</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issued 226,305 common shares in 2021 related to outstanding equity incentive plan awards. Of the new shares issued, 93,446 were related to employee stock option exercises and 132,859 were related to vesting of restricted share units (“RSUs”). </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Offering and the issuances related to equity incentive plan awards, the total common shares outstanding increased from 30,649,261 at December 31, 2020 to 37,373,066 at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2020, the Company issued 224,870 shares related to outstanding equity incentive plan awards, increasing the number of common shares outstanding from 30,424,391 at December 31, 2019 to 30,649,261 at December 31, 2020. Of the new shares issued, 113,346 were related to employee stock option exercises and 111,524 were related to vesting of restricted share units (“RSUs”).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has 4,321,150 common shares reserved for future issuance upon exercise or vesting of equity awards, as applicable.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Board of Directors declared the following cash dividends in 2021, 2020, and 2019:</w:t>
      </w:r>
    </w:p>
    <w:tbl>
      <w:tblPr>
        <w:tblW w:w="10205" w:type="dxa"/>
        <w:jc w:val="left"/>
        <w:tblInd w:w="0" w:type="dxa"/>
        <w:tblCellMar>
          <w:top w:w="28" w:type="dxa"/>
          <w:left w:w="28" w:type="dxa"/>
          <w:bottom w:w="28" w:type="dxa"/>
          <w:right w:w="28" w:type="dxa"/>
        </w:tblCellMar>
      </w:tblPr>
      <w:tblGrid>
        <w:gridCol w:w="569"/>
        <w:gridCol w:w="499"/>
        <w:gridCol w:w="502"/>
        <w:gridCol w:w="109"/>
        <w:gridCol w:w="109"/>
        <w:gridCol w:w="109"/>
        <w:gridCol w:w="456"/>
        <w:gridCol w:w="456"/>
        <w:gridCol w:w="458"/>
        <w:gridCol w:w="109"/>
        <w:gridCol w:w="109"/>
        <w:gridCol w:w="109"/>
        <w:gridCol w:w="693"/>
        <w:gridCol w:w="693"/>
        <w:gridCol w:w="695"/>
        <w:gridCol w:w="109"/>
        <w:gridCol w:w="109"/>
        <w:gridCol w:w="109"/>
        <w:gridCol w:w="556"/>
        <w:gridCol w:w="546"/>
        <w:gridCol w:w="548"/>
        <w:gridCol w:w="109"/>
        <w:gridCol w:w="109"/>
        <w:gridCol w:w="109"/>
        <w:gridCol w:w="430"/>
        <w:gridCol w:w="1473"/>
        <w:gridCol w:w="323"/>
      </w:tblGrid>
      <w:tr>
        <w:trPr/>
        <w:tc>
          <w:tcPr>
            <w:tcW w:w="56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15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w:t>
              <w:br/>
              <w:t>Declaration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w:t>
              <w:br/>
              <w:t>Common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Payable to Shareholders</w:t>
              <w:br/>
              <w:t>of Record 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Amount (thousands)</w:t>
            </w:r>
          </w:p>
        </w:tc>
      </w:tr>
      <w:tr>
        <w:trPr/>
        <w:tc>
          <w:tcPr>
            <w:tcW w:w="1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14,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13,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13,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19,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16,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15,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14,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27,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14,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29,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10,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30,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16,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5,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16,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36,811 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Included in the dividends are $404,000, $449,000 and $433,000 of dividend equivalents on RSUs, of which $518,000, $663,000 and $623,000 were payable as of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12.    Equity Awards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Equity Incentive Plans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There are no options outstanding under the Legacy Plan as of December 31, 2021 and no additional awards may be granted.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December 31, 2021, 1,326,456 shares are available for grant.</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December 31, 2021, 94,781 shares are available for grant.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Options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option activity:</w:t>
      </w:r>
    </w:p>
    <w:tbl>
      <w:tblPr>
        <w:tblW w:w="9906" w:type="dxa"/>
        <w:jc w:val="left"/>
        <w:tblInd w:w="0" w:type="dxa"/>
        <w:tblCellMar>
          <w:top w:w="28" w:type="dxa"/>
          <w:left w:w="28" w:type="dxa"/>
          <w:bottom w:w="28" w:type="dxa"/>
          <w:right w:w="28" w:type="dxa"/>
        </w:tblCellMar>
      </w:tblPr>
      <w:tblGrid>
        <w:gridCol w:w="743"/>
        <w:gridCol w:w="654"/>
        <w:gridCol w:w="657"/>
        <w:gridCol w:w="449"/>
        <w:gridCol w:w="451"/>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09"/>
        <w:gridCol w:w="109"/>
        <w:gridCol w:w="109"/>
        <w:gridCol w:w="109"/>
        <w:gridCol w:w="488"/>
        <w:gridCol w:w="488"/>
        <w:gridCol w:w="196"/>
        <w:gridCol w:w="109"/>
        <w:gridCol w:w="109"/>
        <w:gridCol w:w="109"/>
        <w:gridCol w:w="211"/>
        <w:gridCol w:w="616"/>
        <w:gridCol w:w="154"/>
      </w:tblGrid>
      <w:tr>
        <w:trPr/>
        <w:tc>
          <w:tcPr>
            <w:tcW w:w="743"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643,851 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1,115,324 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(180,527)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(459,415)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year</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590,340 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All of the outstanding options vested over three years and have a contractual life of seven years from the original date of grant. All of the outstanding options have an exercise price equal to the fair value of the underlying shares at the date of grant.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intrinsic value of each option is determined based on the difference between the fair value of the underlying share and the exercise price of the underlying option. The total intrinsic value of options exercised during 2021, 2020 and 2019 was $1.3 million, $3.8 million and $8.2 million, respectively. The aggregate intrinsic value of options outstanding at December 31, 2021, 2020 and 2019 was $0, $7.8 million and $7.1 million, respectively. The aggregate intrinsic value of options exercisable at December 31, 2021, 2020 and 2019 was $0, $7.8 million and $7.1 million, respectively. The fair value used for calculating intrinsic values was $28.81, $49.15 and $41.21 at December 31, 2021, 2020 and 2019,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contractual life of the options outstanding and exercisable at December 31, 2021 is 1.4 years. There were no options granted in 2021, 2020, or 2019. The value of the options granted was estimated at the date of grant using the Black-Scholes-Merton option pricing model.</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RSUs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10205" w:type="dxa"/>
        <w:jc w:val="left"/>
        <w:tblInd w:w="0" w:type="dxa"/>
        <w:tblCellMar>
          <w:top w:w="28" w:type="dxa"/>
          <w:left w:w="28" w:type="dxa"/>
          <w:bottom w:w="28" w:type="dxa"/>
          <w:right w:w="28" w:type="dxa"/>
        </w:tblCellMar>
      </w:tblPr>
      <w:tblGrid>
        <w:gridCol w:w="869"/>
        <w:gridCol w:w="764"/>
        <w:gridCol w:w="76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69"/>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4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year</w:t>
            </w:r>
          </w:p>
        </w:tc>
        <w:tc>
          <w:tcPr>
            <w:tcW w:w="8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399,856 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340,368 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39.22 </w:t>
            </w:r>
          </w:p>
        </w:tc>
        <w:tc>
          <w:tcPr>
            <w:tcW w:w="16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272,608 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year</w:t>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vesting period of RSUs granted to employees have ranged from one to five years and vest ratably over the respective vesting period, with the majority vesting in three years. All RSUs granted to date to non-employee directors had a one year vesting period. The total fair value of shares vested in 2021, 2020 and 2019 was $9.1 million, $7.2 million and $5.3 million, respectively.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Compensation Expense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recognized on a straight line basis over the vesting period. The amount of expense and related tax benefit is summarized below:</w:t>
      </w:r>
    </w:p>
    <w:tbl>
      <w:tblPr>
        <w:tblW w:w="7991" w:type="dxa"/>
        <w:jc w:val="left"/>
        <w:tblInd w:w="0" w:type="dxa"/>
        <w:tblCellMar>
          <w:top w:w="28" w:type="dxa"/>
          <w:left w:w="28" w:type="dxa"/>
          <w:bottom w:w="28" w:type="dxa"/>
          <w:right w:w="28" w:type="dxa"/>
        </w:tblCellMar>
      </w:tblPr>
      <w:tblGrid>
        <w:gridCol w:w="1625"/>
        <w:gridCol w:w="1426"/>
        <w:gridCol w:w="1433"/>
        <w:gridCol w:w="211"/>
        <w:gridCol w:w="616"/>
        <w:gridCol w:w="109"/>
        <w:gridCol w:w="109"/>
        <w:gridCol w:w="109"/>
        <w:gridCol w:w="109"/>
        <w:gridCol w:w="211"/>
        <w:gridCol w:w="616"/>
        <w:gridCol w:w="109"/>
        <w:gridCol w:w="109"/>
        <w:gridCol w:w="109"/>
        <w:gridCol w:w="109"/>
        <w:gridCol w:w="211"/>
        <w:gridCol w:w="616"/>
        <w:gridCol w:w="154"/>
      </w:tblGrid>
      <w:tr>
        <w:trPr/>
        <w:tc>
          <w:tcPr>
            <w:tcW w:w="1625"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benefit on share based compensation expense</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$8.7 million of unrecognized share based compensation expense expected to be charged to earnings over a weighted-average period of 1.8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Under current Bermuda law, James River Group Holdings, Ltd. and its Bermuda based subsidiaries, JRG Re and Carolina Re, are not required to pay any Bermuda taxes on their income or capital gains. Those companies have received an undertaking from the Minister of Finance in Bermuda that, in the event of any taxes being imposed, the Company will be exempt from taxation in Bermuda until March 2035.</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Distributions from the Company’s U.S. subsidiaries to its U.K. intermediate holding company, James River UK, are generally subject to a 5% dividend withholding tax. No distributions occurred in 2021, 2020 or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U.S. subsidiaries are subject to federal, state and local corporate income taxes, and other taxes applicable to U.S. corporations. In addition, Carolina Re is subject to Federal income taxes as a result of its irrevocable election to be taxed as a U.S. domestic corporation under Section 953(d) of the Code. The Company’s U.S.-domiciled subsidiaries and Carolina Re file a consolidated U.S. federal income tax return.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U.S.-based subsidiaries are generally no longer subject to income tax examination by U.S. income tax authorities for the tax years ending before January 1, 2017.</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2018, the IRS published factors that allowed the Company to adjust its current and deferred tax liabilities based on the provisions of the Tax Act. The Tax Act has specific transition provisions associated with reserve discounting. The initial impact of the proposed regulations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 </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provision and adjusted out of our deferred tax liability. The regulations were finalized in 2019, and the remaining reserve adjustment at December 31, 2019 based on these final regulations is $5.7 million to be recognized over the next six years at $950,000 per year.</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expected income tax provision computed from pre-tax income at the weighted-average tax rate has been calculated as the sum of the pre-tax income in each jurisdiction multiplied by that jurisdiction’s applicable Federal statutory tax rate. Federal statutory tax rates of 0% and 21% have been used in 2021, 2020 and 2019 for Bermuda and the U.S., respectively. The U.S. (loss) income before Federal income taxes was $(89.3) million, $25.1 million, and $70.7 million for the years ending December 31, 2021, 2020, and 2019, respectively. The Tax Act base-erosion and anti-abuse tax (“BEAT”) provisions impose a minimum tax on applicable taxpayers that make certain payments to related foreign persons. BEAT subjects the modified taxable income of an applicable taxpayer to a specified tax rate (10% in 2021). Modified taxable income is generally calculated by adding back certain payments to related foreign persons to regular taxable income. For the Company, reinsurance premiums paid by the Company’s U.S. insurance subsidiaries to JRG Re, a Bermuda entity that is not a U.S. taxpayer, are added back to regular taxable income in applying the BEAT provisions. A reconciliation of the difference between the Company’s Federal income tax provision on U.S. income and the expected Federal tax provision on U.S. income using the weighted-average tax rate as well as a reconciliation to total tax expense is as follows:</w:t>
      </w:r>
    </w:p>
    <w:tbl>
      <w:tblPr>
        <w:tblW w:w="9177" w:type="dxa"/>
        <w:jc w:val="left"/>
        <w:tblInd w:w="0" w:type="dxa"/>
        <w:tblCellMar>
          <w:top w:w="28" w:type="dxa"/>
          <w:left w:w="28" w:type="dxa"/>
          <w:bottom w:w="28" w:type="dxa"/>
          <w:right w:w="28" w:type="dxa"/>
        </w:tblCellMar>
      </w:tblPr>
      <w:tblGrid>
        <w:gridCol w:w="1948"/>
        <w:gridCol w:w="1716"/>
        <w:gridCol w:w="1721"/>
        <w:gridCol w:w="211"/>
        <w:gridCol w:w="796"/>
        <w:gridCol w:w="109"/>
        <w:gridCol w:w="109"/>
        <w:gridCol w:w="109"/>
        <w:gridCol w:w="109"/>
        <w:gridCol w:w="211"/>
        <w:gridCol w:w="616"/>
        <w:gridCol w:w="109"/>
        <w:gridCol w:w="109"/>
        <w:gridCol w:w="109"/>
        <w:gridCol w:w="109"/>
        <w:gridCol w:w="211"/>
        <w:gridCol w:w="721"/>
        <w:gridCol w:w="154"/>
      </w:tblGrid>
      <w:tr>
        <w:trPr/>
        <w:tc>
          <w:tcPr>
            <w:tcW w:w="1948"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(benefit) expense at applicable statutory rates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Tax-exempt investment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received deduction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benefits on share based compensation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to return and amended tax returns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Erosion and Anti-Abuse Tax</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(benefit)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income tax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net deferred tax assets (liabilities) at the corporate income tax rate of 21% for the years ended December 31, 2021 and 2020 are summarized as follows:</w:t>
      </w:r>
    </w:p>
    <w:tbl>
      <w:tblPr>
        <w:tblW w:w="6413" w:type="dxa"/>
        <w:jc w:val="left"/>
        <w:tblInd w:w="0" w:type="dxa"/>
        <w:tblCellMar>
          <w:top w:w="28" w:type="dxa"/>
          <w:left w:w="28" w:type="dxa"/>
          <w:bottom w:w="28" w:type="dxa"/>
          <w:right w:w="28" w:type="dxa"/>
        </w:tblCellMar>
      </w:tblPr>
      <w:tblGrid>
        <w:gridCol w:w="1447"/>
        <w:gridCol w:w="1269"/>
        <w:gridCol w:w="1273"/>
        <w:gridCol w:w="211"/>
        <w:gridCol w:w="721"/>
        <w:gridCol w:w="109"/>
        <w:gridCol w:w="109"/>
        <w:gridCol w:w="109"/>
        <w:gridCol w:w="109"/>
        <w:gridCol w:w="211"/>
        <w:gridCol w:w="691"/>
        <w:gridCol w:w="154"/>
      </w:tblGrid>
      <w:tr>
        <w:trPr/>
        <w:tc>
          <w:tcPr>
            <w:tcW w:w="1447"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Deferred income taxes have not been accrued with respect to certain undistributed earnings of foreign subsidiaries. If the earnings were to be distributed, as dividends or otherwise, such amounts may be subject to withholding taxation in the jurisdiction of the paying entity. The Company asserts that U.S. unremitted earnings as of December 31, 2021 will be permanently reinvested in the U.S. and, accordingly, no provision for withholding taxes arising in respect to U.S. unremitted earnings has been made.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is considered a mixed company for net operating loss carryforward rules. A 20-year carryforward without an annual income limitation is applicable for insurance companies. The carryforward period for non-insurance companies is unlimited but limited to 80% of the current year taxable income.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had no reserve for future tax contingencies or liabilities (“unrecognized tax benefits”) at December 31, 2021 or 2020.</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U.S. imposes a 1% excise tax on reinsurance premiums paid to non-U.S. reinsurers with respect to risks located in the U.S. The rates of tax are established based on the nature of the risk, unless reduced by an applicable U.S. tax treaty. For the years ended December 31, 2021, 2020, and 2019, the Company paid $338,000, $468,000, and $586,000, respectively, of federal excise taxes on its intercompany reinsurance transactions. The Company also paid excise taxes of $1.5 million, $1.2 million, and $1.5 million for the years ended December 31, 2021, 2020, and 2019, respectively, on written premiums assumed from third-party insurers with respect to risks located in the U.S. These excise taxes are reflected as “other operating expenses” in the Company’s consolidated income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hanging="360"/>
        <w:rPr>
          <w:rFonts w:ascii="Times New Roman;sans-serif" w:hAnsi="Times New Roman;sans-serif"/>
          <w:b/>
          <w:color w:val="000000"/>
          <w:sz w:val="20"/>
        </w:rPr>
      </w:pPr>
      <w:r>
        <w:rPr>
          <w:rFonts w:ascii="Times New Roman;sans-serif" w:hAnsi="Times New Roman;sans-serif"/>
          <w:b/>
          <w:color w:val="000000"/>
          <w:sz w:val="20"/>
        </w:rPr>
        <w:t>14.    Other Operating Expenses and Other Expenses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the following:</w:t>
      </w:r>
    </w:p>
    <w:tbl>
      <w:tblPr>
        <w:tblW w:w="9281" w:type="dxa"/>
        <w:jc w:val="left"/>
        <w:tblInd w:w="0" w:type="dxa"/>
        <w:tblCellMar>
          <w:top w:w="28" w:type="dxa"/>
          <w:left w:w="28" w:type="dxa"/>
          <w:bottom w:w="28" w:type="dxa"/>
          <w:right w:w="28" w:type="dxa"/>
        </w:tblCellMar>
      </w:tblPr>
      <w:tblGrid>
        <w:gridCol w:w="1863"/>
        <w:gridCol w:w="1636"/>
        <w:gridCol w:w="1645"/>
        <w:gridCol w:w="211"/>
        <w:gridCol w:w="826"/>
        <w:gridCol w:w="109"/>
        <w:gridCol w:w="109"/>
        <w:gridCol w:w="109"/>
        <w:gridCol w:w="109"/>
        <w:gridCol w:w="211"/>
        <w:gridCol w:w="826"/>
        <w:gridCol w:w="109"/>
        <w:gridCol w:w="109"/>
        <w:gridCol w:w="109"/>
        <w:gridCol w:w="109"/>
        <w:gridCol w:w="211"/>
        <w:gridCol w:w="826"/>
        <w:gridCol w:w="154"/>
      </w:tblGrid>
      <w:tr>
        <w:trPr/>
        <w:tc>
          <w:tcPr>
            <w:tcW w:w="1863"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 of the insurance segments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Other expenses of $2.6 million for the year ended December 31, 2021 primarily consist of legal and other professional fees related to the Company’s May 2021 common share offering, certain legal and professional consulting fees related to various strategic initiatives, and employee severance costs. Other expenses of $2.1 million and $1.1 million for the years ended December 31, 2020 and 2019, respectively, primarily consist of employee severance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15.    Employee Benefits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2021, 2020, and 2019, the expense associated with the Savings Plans totaled $3.4 million, $3.5 million, and $3.2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16.    Commitments and Contingent Liabilities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matters and litigation regarding insurance claims arising in the ordinary course of business as well as an alleged class action lawsuit.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its consolidated financial position, results of operations or cash flows.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"Amended Complaint"), which asserts claims under Sections 10(b) and 20(a) of the Securities Exchange Act of 1934 on behalf of a putative class of persons and entities that purchased the Company's stock between February 22, 2019 and October 25, 2021. The Amended Complaint alleges that Defendants failed to make appropriate disclosures concerning the adequacy of reserves for policies that covered Rasier LLC, a subsidiary of Uber Technologies, Inc., and seeks unspecified damages, costs, attorneys’ fees and such other relief as the court may deem proper. The Defendants filed a motion to dismiss on January 18, 2022. Plaintiffs' response to the motion to dismiss is due to be filed on March 4, 2022.</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potential future impacts of COVID-19 on the Company, see the “The global coronavirus outbreak could harm business and results of operations of the Company” risk factor in Part I—Item IA in this Annual Report.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Company’s reinsurance subsidiary, JRG Re, entered into three letter of credit facilities with banks as security to third-party reinsureds on reinsurance assumed by JRG Re. JRG Re has established custodial accounts to secure these letters of credit. Under a $30.0 million facility, $5.9 million of letters of credit were issued through December 31, 2021 which were secured by deposits of $9.6 million. Under the 2013 Facility, $34.3 million of letters of credit were issued through December 31, 2021 which were secured by deposits of $53.2 million. Under the 2017 Facility, $20.5 million of letters of credit were issued through December 31, 2021 which were secured by deposits of $33.1 million. JRG Re has also established trust accounts to secure its obligations to selected reinsureds. The total amount deposited in the trust accounts for the benefit of third-party reinsureds was $382.4 million at December 31, 2021.</w:t>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“LPT Agreement”) with Aleka to reinsure substantially all of the Rasier Commercial Auto Policies for which James River is not otherwise indemnified by Rasier under the Indemnity Agreements. Under the terms of the LPT Agreement, effective as of July 1, 2021, James River ceded to Aleka approximately $345.1 million of commercial auto liabilities relating to Rasier Commercial Auto Policies written in the years 2013-2019, which amount constituted the reinsurance premium.</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LPT Agreement, respectively:</w:t>
      </w:r>
    </w:p>
    <w:p>
      <w:pPr>
        <w:pStyle w:val="TextBody"/>
        <w:spacing w:lineRule="auto" w:line="288" w:before="0" w:after="120"/>
        <w:ind w:left="0" w:right="0" w:firstLine="405"/>
        <w:rPr/>
      </w:pPr>
      <w:r>
        <w:rPr>
          <w:color w:val="000000"/>
        </w:rPr>
        <w:t>•</w:t>
      </w:r>
      <w:r>
        <w:rPr>
          <w:rFonts w:ascii="Times New Roman;sans-serif" w:hAnsi="Times New Roman;sans-serif"/>
          <w:b w:val="false"/>
          <w:color w:val="000000"/>
          <w:sz w:val="20"/>
        </w:rPr>
        <w:t>Pursuant to the Indemnity Agreements, Rasier is required to post collateral for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LPT Agreement, James River returned $691.3 million to the Indemnity Trust, representing the remaining balance of the amount withdrawn in October 2019, as was permitted under the indemnification agreements with Rasier and the associated trust agreement. At December 31, 2021, the balance in the Indemnity Trust was $584.6 million, and, together with the balance of the Loss Fund Trust (as defined below) attributable to the Indemnity Agreements as described below, the total balance of collateral securing Rasier’s obligations under the Indemnity Agreements was $653.7 million.</w:t>
      </w:r>
    </w:p>
    <w:p>
      <w:pPr>
        <w:pStyle w:val="TextBody"/>
        <w:spacing w:lineRule="auto" w:line="288" w:before="0" w:after="120"/>
        <w:ind w:left="0" w:right="0" w:firstLine="405"/>
        <w:rPr/>
      </w:pPr>
      <w:r>
        <w:rPr>
          <w:color w:val="000000"/>
        </w:rPr>
        <w:t>•</w:t>
      </w:r>
      <w:r>
        <w:rPr>
          <w:rFonts w:ascii="Times New Roman;sans-serif" w:hAnsi="Times New Roman;sans-serif"/>
          <w:b w:val="false"/>
          <w:color w:val="000000"/>
          <w:sz w:val="20"/>
        </w:rPr>
        <w:t>Pursuant to the LPT Agreement, Aleka is required to post collateral equal to 102% of James River's estimate of Aleka's obligations under the LPT Agreement, calculated in accordance with statutory accounting principles. The collateral is provided through a collateral trust arrangement (the “LPT Trust”) established in favor of James River by Aleka. At December 31, 2021, the balance in the LPT Trust was $251.7 million, and, together with the balance of the Loss Fund Trust (as defined below) attributable to the LPT Agreement as described below, the total balance of collateral securing Aleka’s obligations under the LPT Agreement was $279.9 million. At December 31, 2021, the total reinsurance recoverables under the LPT Agreement was $272.3 million (including $256.5 million of unpaid recoverables and $15.9 million of paid recoverables).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LPT Agreement,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LPT Agreement and James River’s existing third party reinsurance agreements, respectively. At December 31, 2021, the balance in the Loss Fund Trust was $102.0 million, including $69.2 million representing collateral supporting Rasier’s obligations under the Indemnity Agreements and $28.2 million representing collateral supporting Aleka’s obligations under the LPT Agreement. Funds posted to the Loss Fund Trust are classified as restricted cash equivalents on the Company's balance sheet.</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While the LPT Agreement brings economic finality to substantially all of the Rasier Commercial Auto Policies, the Company has credit exposure to Rasier and Aleka under the Indemnity Agreements and the LPT Agreement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LPT Agreement,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17.    Other Comprehensive (Loss) Income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other comprehensive (loss) income:</w:t>
      </w:r>
    </w:p>
    <w:tbl>
      <w:tblPr>
        <w:tblW w:w="10167" w:type="dxa"/>
        <w:jc w:val="left"/>
        <w:tblInd w:w="0" w:type="dxa"/>
        <w:tblCellMar>
          <w:top w:w="28" w:type="dxa"/>
          <w:left w:w="28" w:type="dxa"/>
          <w:bottom w:w="28" w:type="dxa"/>
          <w:right w:w="28" w:type="dxa"/>
        </w:tblCellMar>
      </w:tblPr>
      <w:tblGrid>
        <w:gridCol w:w="2269"/>
        <w:gridCol w:w="1994"/>
        <w:gridCol w:w="2007"/>
        <w:gridCol w:w="211"/>
        <w:gridCol w:w="796"/>
        <w:gridCol w:w="109"/>
        <w:gridCol w:w="109"/>
        <w:gridCol w:w="109"/>
        <w:gridCol w:w="109"/>
        <w:gridCol w:w="211"/>
        <w:gridCol w:w="721"/>
        <w:gridCol w:w="109"/>
        <w:gridCol w:w="109"/>
        <w:gridCol w:w="109"/>
        <w:gridCol w:w="109"/>
        <w:gridCol w:w="211"/>
        <w:gridCol w:w="721"/>
        <w:gridCol w:w="154"/>
      </w:tblGrid>
      <w:tr>
        <w:trPr/>
        <w:tc>
          <w:tcPr>
            <w:tcW w:w="2269"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arising during the period, before U.S.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arising during the period, net of U.S.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gains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investment gains realized in net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addition to the net realized investment gains of $4.9 million, $1.0 million, and $1.1 million on available-for-sale fixed maturity securities for the years ended December 31, 2021, 2020, and 2019, the Company recognized net realized and unrealized investment gains (losses) in the respective years of $5.8 million, $(15.4) million, and $(10.1) million on its investments in bank loan participations and $4.8 million, $(1.7) million, and $6.0 million on its investments in equity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has four reportable segments, three of which are separately managed business units and the fourth (“Corporate and Other”) includes the Company’s remaining operations. The Excess and Surplus Lines segment primarily offers commercial excess and surplus lines liability and excess property insurance products. The Specialty Admitted Insurance segment offers workers’ compensation insurance coverage as well as specialty admitted fronting and program business. The Casualty Reinsurance segment offers commercial liability and non-catastrophe property reinsurance to U.S. insurance companies and to the Company’s U.S.-based insurance subsidiaries. The Corporate and Other segment consists of certain management and treasury activities of James River Group, James River UK, and JRG Holdings as well as interest expense associated with senior debt and Junior Subordinated Debt, and investment income from investments classified as other invested assets. The accounting policies of the reportable segments are the same as those described in the summary of significant accounting policies.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Segment revenues for each reportable segment consist of net earned premiums, net investment income, and realized and unrealized (losses) gains on investments. Segment profit (loss) for each reportable segment is measured by underwriting profit (loss), which is generally defined as net earned premiums less losses and loss adjustment expenses and other operating expenses of the operating segments. Gross fee income of the Excess and Surplus Lines segment and Specialty Admitted Insurance segment is included in the respective segment’s underwriting (loss) profit. Gross fee income of $4.5 million ($0.0 million from the Excess and Surplus Lines segment and $4.5 million from the Specialty Admitted Insurance segment), $3.4 million ($1.6 million from the Excess and Surplus Lines segment and $1.8 million from the Specialty Admitted Insurance segment) and $9.5 million ($9.1 million from the Excess and Surplus Lines segment and $421,000 from the Specialty Admitted Insurance segment) was included in other income and in underwriting (loss) profit for the years ended December 31, 2021, 2020 and 2019, respectively. Segment results are reported prior to the effects of the intercompany reinsurance agreements between the Company’s insurance and reinsurance subsidiaries. All gross written premiums and net earned premiums for all periods presented were generated from policies issued to U.S. based insureds.</w:t>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tbl>
      <w:tblPr>
        <w:tblW w:w="10205" w:type="dxa"/>
        <w:jc w:val="left"/>
        <w:tblInd w:w="0" w:type="dxa"/>
        <w:tblCellMar>
          <w:top w:w="28" w:type="dxa"/>
          <w:left w:w="28" w:type="dxa"/>
          <w:bottom w:w="28" w:type="dxa"/>
          <w:right w:w="28" w:type="dxa"/>
        </w:tblCellMar>
      </w:tblPr>
      <w:tblGrid>
        <w:gridCol w:w="1213"/>
        <w:gridCol w:w="1015"/>
        <w:gridCol w:w="101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3"/>
        <w:gridCol w:w="487"/>
        <w:gridCol w:w="131"/>
        <w:gridCol w:w="109"/>
        <w:gridCol w:w="109"/>
        <w:gridCol w:w="109"/>
        <w:gridCol w:w="211"/>
        <w:gridCol w:w="976"/>
        <w:gridCol w:w="155"/>
      </w:tblGrid>
      <w:tr>
        <w:trPr/>
        <w:tc>
          <w:tcPr>
            <w:tcW w:w="1213"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Casualty</w:t>
              <w:br/>
              <w:t>Reinsurance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w:t>
              <w:b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9"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2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 of and for the Year Ended</w:t>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 of operating segments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4,948,550 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25"/>
        <w:gridCol w:w="1029"/>
        <w:gridCol w:w="10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46"/>
        <w:gridCol w:w="475"/>
        <w:gridCol w:w="109"/>
        <w:gridCol w:w="109"/>
        <w:gridCol w:w="109"/>
        <w:gridCol w:w="109"/>
        <w:gridCol w:w="211"/>
        <w:gridCol w:w="976"/>
        <w:gridCol w:w="156"/>
      </w:tblGrid>
      <w:tr>
        <w:trPr/>
        <w:tc>
          <w:tcPr>
            <w:tcW w:w="1225"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28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28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773" w:type="dxa"/>
            <w:gridSpan w:val="24"/>
            <w:tcBorders/>
            <w:shd w:fill="auto" w:val="clear"/>
          </w:tcPr>
          <w:p>
            <w:pPr>
              <w:pStyle w:val="TableContents"/>
              <w:spacing w:before="0" w:after="283"/>
              <w:rPr>
                <w:sz w:val="4"/>
                <w:szCs w:val="4"/>
              </w:rPr>
            </w:pPr>
            <w:r>
              <w:rPr>
                <w:sz w:val="4"/>
                <w:szCs w:val="4"/>
              </w:rPr>
            </w:r>
          </w:p>
        </w:tc>
      </w:tr>
      <w:tr>
        <w:trPr/>
        <w:tc>
          <w:tcPr>
            <w:tcW w:w="32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 of and for the Year Ended </w:t>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operating segments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5,063,072 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25"/>
        <w:gridCol w:w="1029"/>
        <w:gridCol w:w="10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46"/>
        <w:gridCol w:w="475"/>
        <w:gridCol w:w="109"/>
        <w:gridCol w:w="109"/>
        <w:gridCol w:w="109"/>
        <w:gridCol w:w="109"/>
        <w:gridCol w:w="211"/>
        <w:gridCol w:w="976"/>
        <w:gridCol w:w="156"/>
      </w:tblGrid>
      <w:tr>
        <w:trPr/>
        <w:tc>
          <w:tcPr>
            <w:tcW w:w="1225"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28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28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773" w:type="dxa"/>
            <w:gridSpan w:val="24"/>
            <w:tcBorders/>
            <w:shd w:fill="auto" w:val="clear"/>
          </w:tcPr>
          <w:p>
            <w:pPr>
              <w:pStyle w:val="TableContents"/>
              <w:spacing w:before="0" w:after="283"/>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 of and for the Year Ended </w:t>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10,596 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operating segments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5,024,405 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(loss) profit of operating segments by individual segment to income before income taxes:</w:t>
      </w:r>
    </w:p>
    <w:tbl>
      <w:tblPr>
        <w:tblW w:w="9102" w:type="dxa"/>
        <w:jc w:val="left"/>
        <w:tblInd w:w="0" w:type="dxa"/>
        <w:tblCellMar>
          <w:top w:w="28" w:type="dxa"/>
          <w:left w:w="28" w:type="dxa"/>
          <w:bottom w:w="28" w:type="dxa"/>
          <w:right w:w="28" w:type="dxa"/>
        </w:tblCellMar>
      </w:tblPr>
      <w:tblGrid>
        <w:gridCol w:w="1848"/>
        <w:gridCol w:w="1622"/>
        <w:gridCol w:w="1630"/>
        <w:gridCol w:w="211"/>
        <w:gridCol w:w="901"/>
        <w:gridCol w:w="109"/>
        <w:gridCol w:w="109"/>
        <w:gridCol w:w="109"/>
        <w:gridCol w:w="109"/>
        <w:gridCol w:w="211"/>
        <w:gridCol w:w="721"/>
        <w:gridCol w:w="109"/>
        <w:gridCol w:w="109"/>
        <w:gridCol w:w="109"/>
        <w:gridCol w:w="109"/>
        <w:gridCol w:w="211"/>
        <w:gridCol w:w="721"/>
        <w:gridCol w:w="154"/>
      </w:tblGrid>
      <w:tr>
        <w:trPr/>
        <w:tc>
          <w:tcPr>
            <w:tcW w:w="1848"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 of the operating segments: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(loss) profit of operating segments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15 underwriting divisions, including 13 in the Excess and Surplus Lines segment, one in the Specialty Admitted Insurance segment, and one in the Casualty Reinsurance segment. Each underwriting division focuses on a specific industry group or coverage.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Gross written premiums by segment and underwriting division are presented below:</w:t>
      </w:r>
    </w:p>
    <w:tbl>
      <w:tblPr>
        <w:tblW w:w="7961" w:type="dxa"/>
        <w:jc w:val="left"/>
        <w:tblInd w:w="0" w:type="dxa"/>
        <w:tblCellMar>
          <w:top w:w="28" w:type="dxa"/>
          <w:left w:w="28" w:type="dxa"/>
          <w:bottom w:w="28" w:type="dxa"/>
          <w:right w:w="28" w:type="dxa"/>
        </w:tblCellMar>
      </w:tblPr>
      <w:tblGrid>
        <w:gridCol w:w="1219"/>
        <w:gridCol w:w="1076"/>
        <w:gridCol w:w="1079"/>
        <w:gridCol w:w="211"/>
        <w:gridCol w:w="976"/>
        <w:gridCol w:w="109"/>
        <w:gridCol w:w="109"/>
        <w:gridCol w:w="109"/>
        <w:gridCol w:w="109"/>
        <w:gridCol w:w="211"/>
        <w:gridCol w:w="976"/>
        <w:gridCol w:w="109"/>
        <w:gridCol w:w="109"/>
        <w:gridCol w:w="109"/>
        <w:gridCol w:w="109"/>
        <w:gridCol w:w="211"/>
        <w:gridCol w:w="976"/>
        <w:gridCol w:w="154"/>
      </w:tblGrid>
      <w:tr>
        <w:trPr/>
        <w:tc>
          <w:tcPr>
            <w:tcW w:w="1219"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Contractors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Health</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Entertainment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Professionals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Excess and Surplus Lines segment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 segment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 segment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business with three brokers that generated $239.1 million, $197.3 million and $132.5 million of gross written premiums for the Excess and Surplus Lines segment for the year ended December 31, 2021, representing 15.9%, 13.1% </w:t>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and 8.8% of consolidated gross written premiums and 28.7%, 23.7% and 15.9% of the Excess and Surplus Lines segment’s gross written premiums, respectively. The Company has agency contracts with various branches within the aforementioned brokers. No other broker generated 10.0% or more of the gross written premiums for the Excess and Surplus Lines segment for the year ended December 31, 2021. No individual insured generated 10.0% or more of the gross written premiums for the Excess and Surplus Lines segment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accepts applications for insurance from a variety of sources, including independent retail agents, program administrators and managing general agents (“MGAs”). The Company does business with two agencies that generated $124.1 million (Atlas General Insurance Services) and $89.5 million of gross written premiums for the Specialty Admitted Insurance segment for the year ended December 31, 2021, representing 8.2% and 5.9% of the consolidated gross written premiums and 25.2% and 18.2% of the Specialty Admitted Insurance segment’s gross written premiums, respectively. No other agency generated 10.0% or more of the gross written premiums for the Specialty Admitted Insurance segment for the year ended December 31, 2021.</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does business with three brokers that generated $80.1 million, $53.9 million, and $20.0 million of gross written premiums for the Casualty Reinsurance segment for the year ended December 31, 2021, representing 5.3%, 3.6%, and 1.3% of consolidated gross written premiums and 44.0%, 29.6%, and 11.0% of the Casualty Reinsurance segment’s gross written premiums, respectively. No other broker generated 10.0% or more of the gross written premiums for the Casualty Reinsurance segment for the year ended December 31, 2021. The Casualty Reinsurance segment assumed business from three unaffiliated ceding companies that generated $76.6 million, $22.9 million, and $16.2 million of gross written premiums for the year ended December 31, 2021, representing 5.1%, 1.5%, and 1.1% of consolidated gross written premiums and 42.1%, 12.6%, and 8.9% of the Casualty Reinsurance segment’s gross written premiums,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19.    Fair Value Measurements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spacing w:lineRule="auto" w:line="288" w:before="0" w:after="120"/>
        <w:ind w:left="0" w:right="0" w:firstLine="405"/>
        <w:rPr/>
      </w:pPr>
      <w:r>
        <w:rPr>
          <w:rFonts w:ascii="Times New Roman;sans-serif" w:hAnsi="Times New Roman;sans-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2021 are summarized below:</w:t>
      </w:r>
    </w:p>
    <w:tbl>
      <w:tblPr>
        <w:tblW w:w="10205" w:type="dxa"/>
        <w:jc w:val="left"/>
        <w:tblInd w:w="0" w:type="dxa"/>
        <w:tblCellMar>
          <w:top w:w="28" w:type="dxa"/>
          <w:left w:w="28" w:type="dxa"/>
          <w:bottom w:w="28" w:type="dxa"/>
          <w:right w:w="28" w:type="dxa"/>
        </w:tblCellMar>
      </w:tblPr>
      <w:tblGrid>
        <w:gridCol w:w="1726"/>
        <w:gridCol w:w="1305"/>
        <w:gridCol w:w="1313"/>
        <w:gridCol w:w="231"/>
        <w:gridCol w:w="793"/>
        <w:gridCol w:w="119"/>
        <w:gridCol w:w="109"/>
        <w:gridCol w:w="109"/>
        <w:gridCol w:w="109"/>
        <w:gridCol w:w="211"/>
        <w:gridCol w:w="976"/>
        <w:gridCol w:w="109"/>
        <w:gridCol w:w="109"/>
        <w:gridCol w:w="109"/>
        <w:gridCol w:w="109"/>
        <w:gridCol w:w="294"/>
        <w:gridCol w:w="649"/>
        <w:gridCol w:w="153"/>
        <w:gridCol w:w="109"/>
        <w:gridCol w:w="109"/>
        <w:gridCol w:w="109"/>
        <w:gridCol w:w="211"/>
        <w:gridCol w:w="976"/>
        <w:gridCol w:w="158"/>
      </w:tblGrid>
      <w:tr>
        <w:trPr/>
        <w:tc>
          <w:tcPr>
            <w:tcW w:w="1726"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44"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304,488 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470" w:type="dxa"/>
            <w:gridSpan w:val="6"/>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6"/>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2020 are summarized below:</w:t>
      </w:r>
    </w:p>
    <w:tbl>
      <w:tblPr>
        <w:tblW w:w="10205" w:type="dxa"/>
        <w:jc w:val="left"/>
        <w:tblInd w:w="0" w:type="dxa"/>
        <w:tblCellMar>
          <w:top w:w="28" w:type="dxa"/>
          <w:left w:w="28" w:type="dxa"/>
          <w:bottom w:w="28" w:type="dxa"/>
          <w:right w:w="28" w:type="dxa"/>
        </w:tblCellMar>
      </w:tblPr>
      <w:tblGrid>
        <w:gridCol w:w="1726"/>
        <w:gridCol w:w="1305"/>
        <w:gridCol w:w="1313"/>
        <w:gridCol w:w="231"/>
        <w:gridCol w:w="793"/>
        <w:gridCol w:w="119"/>
        <w:gridCol w:w="109"/>
        <w:gridCol w:w="109"/>
        <w:gridCol w:w="109"/>
        <w:gridCol w:w="211"/>
        <w:gridCol w:w="976"/>
        <w:gridCol w:w="109"/>
        <w:gridCol w:w="109"/>
        <w:gridCol w:w="109"/>
        <w:gridCol w:w="109"/>
        <w:gridCol w:w="294"/>
        <w:gridCol w:w="649"/>
        <w:gridCol w:w="153"/>
        <w:gridCol w:w="109"/>
        <w:gridCol w:w="109"/>
        <w:gridCol w:w="109"/>
        <w:gridCol w:w="211"/>
        <w:gridCol w:w="976"/>
        <w:gridCol w:w="158"/>
      </w:tblGrid>
      <w:tr>
        <w:trPr/>
        <w:tc>
          <w:tcPr>
            <w:tcW w:w="1726"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293,848 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766,822 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326,719 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6"/>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147,604 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130,289 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beginning and ending balances of available-for-sale fixed maturity securities, equity securities, and bank loan participations (following the Company's election of the fair value option in accounting for bank loan participations </w:t>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measured at fair value on a recurring basis using significant unobservable inputs (Level 3) is shown below:</w:t>
      </w:r>
    </w:p>
    <w:tbl>
      <w:tblPr>
        <w:tblW w:w="6761" w:type="dxa"/>
        <w:jc w:val="left"/>
        <w:tblInd w:w="0" w:type="dxa"/>
        <w:tblCellMar>
          <w:top w:w="28" w:type="dxa"/>
          <w:left w:w="28" w:type="dxa"/>
          <w:bottom w:w="28" w:type="dxa"/>
          <w:right w:w="28" w:type="dxa"/>
        </w:tblCellMar>
      </w:tblPr>
      <w:tblGrid>
        <w:gridCol w:w="1287"/>
        <w:gridCol w:w="1131"/>
        <w:gridCol w:w="1136"/>
        <w:gridCol w:w="211"/>
        <w:gridCol w:w="466"/>
        <w:gridCol w:w="109"/>
        <w:gridCol w:w="109"/>
        <w:gridCol w:w="109"/>
        <w:gridCol w:w="109"/>
        <w:gridCol w:w="211"/>
        <w:gridCol w:w="466"/>
        <w:gridCol w:w="109"/>
        <w:gridCol w:w="109"/>
        <w:gridCol w:w="109"/>
        <w:gridCol w:w="109"/>
        <w:gridCol w:w="211"/>
        <w:gridCol w:w="616"/>
        <w:gridCol w:w="154"/>
      </w:tblGrid>
      <w:tr>
        <w:trPr/>
        <w:tc>
          <w:tcPr>
            <w:tcW w:w="128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 to Level 3</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calls and paydowns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gains or losses (realized/unrealized):</w:t>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comprehensive income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one equity security at December 31, 2021 for which the fair value was determined using significant unobservable inputs (Level 3). The fair value of $102,000 for the equity security was based on expected proceeds from its sale. During 2021, one equity security was transferred from Level 2 to Level 3 as the security was no longer actively traded. This security was exchanged for an equity security that is publicly traded and it was transferred from Level 3 to Level 1.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one bank loan participation and two equity securities at December 31, 2020 and one equity security at December 31, 2019 for which the fair value was determined using significant unobservable inputs (Level 3). A market approach using prices in trades of comparable securities was utilized to determine a fair value of $980,000 at December 31, 2020 and $43,000 at December 31, 2019. During 2019, one equity security was transferred from Level 1 to Level 3 as the security was no longer actively traded. The Company was subsequently able to obtain a quoted price from a pricing vendor for the equity security and it was transferred from Level 3 to Level 2. During 2020, the Company was able to obtain a quoted price from a vendor for two bank loan participations and one equity security and transferred them to Level 2. </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2021, 2020 or 2019. The Company recognizes transfers between levels at the beginning of the reporting period.</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investments for which external sources were unavailable to determine fair value as of December 31, 2021 and 2020.</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carrying values and fair values of financial instruments are summarized below:</w:t>
      </w:r>
    </w:p>
    <w:tbl>
      <w:tblPr>
        <w:tblW w:w="9840" w:type="dxa"/>
        <w:jc w:val="left"/>
        <w:tblInd w:w="0" w:type="dxa"/>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fair values of other invested assets-notes receivable, senior debt, and junior subordinated debt at December 31, 2021 and 2020 were determined by calculating the present value of expected future cash flows under the terms of the note agreements or debt agreements, as applicable, discounted at an estimated market rate of interest at December 31, 2021 and 2020,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fair values of senior debt and junior subordinated debt at December 31, 2021 and 2020 were determined using inputs to the valuation methodology that are unobservable (Level 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20.    Statutory Matters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U.S.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Combined net income, statutory capital and surplus and minimum required statutory capital and surplus, as determined in accordance with statutory accounting practices, for the U.S. insurance subsidiaries as of December 31, 2021, 2020, and 2019 and for the years then ended are summarized as follows:</w:t>
      </w:r>
    </w:p>
    <w:tbl>
      <w:tblPr>
        <w:tblW w:w="7570" w:type="dxa"/>
        <w:jc w:val="left"/>
        <w:tblInd w:w="0" w:type="dxa"/>
        <w:tblCellMar>
          <w:top w:w="28" w:type="dxa"/>
          <w:left w:w="28" w:type="dxa"/>
          <w:bottom w:w="28" w:type="dxa"/>
          <w:right w:w="28" w:type="dxa"/>
        </w:tblCellMar>
      </w:tblPr>
      <w:tblGrid>
        <w:gridCol w:w="1442"/>
        <w:gridCol w:w="1269"/>
        <w:gridCol w:w="1278"/>
        <w:gridCol w:w="211"/>
        <w:gridCol w:w="691"/>
        <w:gridCol w:w="109"/>
        <w:gridCol w:w="109"/>
        <w:gridCol w:w="109"/>
        <w:gridCol w:w="109"/>
        <w:gridCol w:w="251"/>
        <w:gridCol w:w="575"/>
        <w:gridCol w:w="109"/>
        <w:gridCol w:w="109"/>
        <w:gridCol w:w="109"/>
        <w:gridCol w:w="109"/>
        <w:gridCol w:w="211"/>
        <w:gridCol w:w="616"/>
        <w:gridCol w:w="154"/>
      </w:tblGrid>
      <w:tr>
        <w:trPr/>
        <w:tc>
          <w:tcPr>
            <w:tcW w:w="1442"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net (loss)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capital and surplus</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required statutory capital and surplus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Risk-Based Capital (“RBC”) requirements promulgated by the National Association of Insurance Commissioners require property-casualty insurers to maintain minimum capitalization levels determined based on formulas incorporating various business risks of the insurance subsidiaries. As of December 31, 2021, the insurance subsidiaries’ adjusted capital and surplus exceeds their authorized control level RBC.</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Bermuda</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two Bermuda-based insurance subsidiaries: JRG Re, a Class 3B insurer and Carolina Re, a Class 3A insurer.  Under the Bermuda Insurance Act 1978 and related regulations, an insurer must maintain minimum statutory capital and surplus at the greater of a minimum solvency margin (“MSM”) and the Enhanced Capital Requirement (“ECR”), which is the higher of the MSM and capital calculated by the Bermuda Solvency Capital Requirement (“BSCR”) model or an approved internal model.  The combined estimated Bermuda insurers minimum statutory solvency margin required at December 31, 2021 was approximately $167.1 million (2020: $172.9 million). Actual combined statutory capital and surplus at December 31, 2021 was $518.7 million (2020: $615.2 million). The insurers had combined statutory net (loss) income of $(141.5) million for 2021, $20.8 million for 2020, and $53.2 million for 2019.  The combined ECR for the year ended December 31, 2020 was $419.7 million.  The BSCR models for the year ended December 31, 2021 will not be filed with the Bermuda Monetary Authority until April 30, 2022.  The Company believes that the minimum statutory capital and surplus requirements will be met.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insurers must also maintain a minimum liquidity ratio in which the value of its relevant assets is not less than 75.0% of the amount of its relevant liabilities for general business. Relevant assets include cash and cash equivalents, fixed maturities, quoted alternative investments, accrued interest income, premiums receivable, losses recoverable from reinsurers, and funds withheld. The relevant liabilities include total insurance provisions and other liabilities less deferred income taxes and letters of credit, guarantees and other instruments. As of December 31, 2021, the minimum liquidity ratio requirements were met.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21.    Dividend Restrictions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U.S.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2022 without regulatory approval is $27.2 million. However, U.S. insurance regulators have broad powers to prevent the reduction of statutory surplus to inadequate levels and could refuse to permit the payment of dividends.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Distributions from the Company’s U.S.-based subsidiaries to its U.K. intermediate holding company, James River UK, are generally subject to a 5% dividend withholding tax. The payment of any dividends by the Company’s U.S.-based subsidiaries directly to a Bermuda-based entity is subject to U.S. taxes at a 30.0% tax rate. JRG Holdings has determined that earnings of its U.S. subsidiaries have been and will be indefinitely reinvested in U.S. operations.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Bermuda</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The maximum combined amount of dividends and return of capital that can be paid without prior regulatory approval from our Bermuda insurers at December 31, 2021 is calculated to be approximately $129.7 million. However, this dividend amount is subject to annual enhanced solvency requirement calculations.</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rPr>
          <w:rFonts w:ascii="Times New Roman;sans-serif" w:hAnsi="Times New Roman;sans-serif"/>
          <w:b/>
          <w:color w:val="000000"/>
          <w:sz w:val="20"/>
        </w:rPr>
      </w:pPr>
      <w:r>
        <w:rPr>
          <w:rFonts w:ascii="Times New Roman;sans-serif" w:hAnsi="Times New Roman;sans-serif"/>
          <w:b/>
          <w:color w:val="000000"/>
          <w:sz w:val="20"/>
        </w:rPr>
        <w:t>22.    Other Related Party Transactions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Company leases a commercial office building which houses the Company’s Richmond, Virginia operations under the terms of a non-cancelable lease from an entity with which it is affiliated. The term of the lease, which has been amended from time to time, runs through 2026. Operating costs under the lease were $2.1 million, $1.9 million, and $2.1 million for the years ended December 31, 2021, 2020, and 2019, respectively.</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Upon retiring effective July 31, 2021, the Company’s former President and Chief Operating Officer entered into a consulting agreement with the Company to provide consulting services as requested by the Company’s Chief Executive Officer during the period August 1, 2021 through December 31, 2021. The Company incurred expenses of $146,000 in 2021 as compensation for rendering these consulting services.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23.    Subsequent Events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February 21, 2022, the Board of Directors declared a cash dividend of $0.05 per share. The dividend is payable on March 31, 2022 to shareholders of record on March 14, 2022.</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February 21, 2022, the Board of Directors approved awards under the 2014 LTIP and the 2014 Director Plan to the Company’s employees and directors with an aggregate fair value of $11.0 million and a grant date of March 2, 2022.</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February 23, 2022, one of the Company’s primary operating subsidiaries, JRG Reinsurance Company Ltd., entered into a loss portfolio transfer retrocession agreement (the “Retrocession Agreement”) with Fortitude Reinsurance Company Ltd. (“FRL”) under which FRL will reinsure the majority of the reserves in the Company’s Casualty Reinsurance segment. Under the terms of the transaction, at closing, JRG Re will (a) cede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 to manage and retain the benefit of other third-party reinsurance on the Subject Business; (c) pay FRL a reinsurance premium of $335.0 million, $310.0 million of which JRG Re will credit to a notional funds withheld account (the “Funds Withheld Account”) and $25.0 million of which JRG Re will pay in cash to FRL; and (d) pay FRL a 2% per annum crediting rate on the Funds Withheld Account balance on a quarterly basis. The total premium, initial Funds Withheld Account credit, and aggregate limit will be adjusted for claims paid from October 1, 2021 to the closing date. An after-tax loss of $6.8 million will be recognized as adverse loss and loss adjustment reserve development in the Casualty Reinsurance segment associated with the Retrocession Agreement during the first quarter of 2022. The Retrocession Agreement will close upon receipt of required regulatory approvals by FRL and satisfaction of other customary closing conditions.</w:t>
      </w:r>
    </w:p>
    <w:p>
      <w:pPr>
        <w:pStyle w:val="TextBody"/>
        <w:spacing w:lineRule="auto" w:line="26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On February 24, 2022, we entered into an Investment Agreement with GPC Partners Investments (Thames) LP, an affiliate of Gallatin Point Capital LLC, relating to the issuance and sale of 150,000 7% Series A Perpetual Cumulative Convertible Preferred Shares, par value $0.00125 per share, for an aggregate purchase price of $150.0 million, or $1,000 per share, in a private placement. The closing of the transaction is expected to occur on March 1, 2022. In connection with the offering, the Company's Board of Directors approved the appointment of Matthew Botein, a co-founder of Gallatin Point Capital LLC, to serve as a member of the Board, effective following receipt of any necessary regulatory approvals. Mr. Botein will have Board observer status until applicable regulatory approvals are obtained.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Summary of Investments—Other than Investments in Related Parties</w:t>
      </w:r>
    </w:p>
    <w:tbl>
      <w:tblPr>
        <w:tblW w:w="10205" w:type="dxa"/>
        <w:jc w:val="left"/>
        <w:tblInd w:w="0" w:type="dxa"/>
        <w:tblCellMar>
          <w:top w:w="28" w:type="dxa"/>
          <w:left w:w="28" w:type="dxa"/>
          <w:bottom w:w="28" w:type="dxa"/>
          <w:right w:w="28" w:type="dxa"/>
        </w:tblCellMar>
      </w:tblPr>
      <w:tblGrid>
        <w:gridCol w:w="2057"/>
        <w:gridCol w:w="1720"/>
        <w:gridCol w:w="1729"/>
        <w:gridCol w:w="109"/>
        <w:gridCol w:w="109"/>
        <w:gridCol w:w="109"/>
        <w:gridCol w:w="226"/>
        <w:gridCol w:w="886"/>
        <w:gridCol w:w="116"/>
        <w:gridCol w:w="109"/>
        <w:gridCol w:w="109"/>
        <w:gridCol w:w="109"/>
        <w:gridCol w:w="211"/>
        <w:gridCol w:w="826"/>
        <w:gridCol w:w="109"/>
        <w:gridCol w:w="109"/>
        <w:gridCol w:w="109"/>
        <w:gridCol w:w="109"/>
        <w:gridCol w:w="211"/>
        <w:gridCol w:w="976"/>
        <w:gridCol w:w="157"/>
      </w:tblGrid>
      <w:tr>
        <w:trPr/>
        <w:tc>
          <w:tcPr>
            <w:tcW w:w="205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 of 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 at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which shown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Balance</w:t>
            </w:r>
          </w:p>
          <w:p>
            <w:pPr>
              <w:pStyle w:val="TableContents"/>
              <w:spacing w:lineRule="auto" w:line="240" w:before="0" w:after="0"/>
              <w:jc w:val="center"/>
              <w:rPr/>
            </w:pPr>
            <w:r>
              <w:rPr>
                <w:rFonts w:ascii="Times New Roman;sans-serif" w:hAnsi="Times New Roman;sans-serif"/>
                <w:b/>
                <w:color w:val="000000"/>
                <w:sz w:val="16"/>
              </w:rPr>
              <w:t>Sheet</w:t>
            </w:r>
            <w:r>
              <w:rPr>
                <w:rFonts w:ascii="Times New Roman;sans-serif" w:hAnsi="Times New Roman;sans-serif"/>
                <w:b/>
                <w:color w:val="000000"/>
                <w:sz w:val="10"/>
              </w:rPr>
              <w:t>(1)</w:t>
            </w:r>
          </w:p>
        </w:tc>
      </w:tr>
      <w:tr>
        <w:trPr/>
        <w:tc>
          <w:tcPr>
            <w:tcW w:w="55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246,586 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711,930 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304,488 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2,093,825 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Differences between the amounts in this column and the amounts in the consolidated balance sheet are due to this schedule excluding investments in related parties.</w:t>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Balance Sheets (Parent Company)</w:t>
      </w:r>
    </w:p>
    <w:tbl>
      <w:tblPr>
        <w:tblW w:w="6549" w:type="dxa"/>
        <w:jc w:val="left"/>
        <w:tblInd w:w="0" w:type="dxa"/>
        <w:tblCellMar>
          <w:top w:w="28" w:type="dxa"/>
          <w:left w:w="28" w:type="dxa"/>
          <w:bottom w:w="28" w:type="dxa"/>
          <w:right w:w="28" w:type="dxa"/>
        </w:tblCellMar>
      </w:tblPr>
      <w:tblGrid>
        <w:gridCol w:w="1296"/>
        <w:gridCol w:w="1140"/>
        <w:gridCol w:w="1149"/>
        <w:gridCol w:w="211"/>
        <w:gridCol w:w="976"/>
        <w:gridCol w:w="109"/>
        <w:gridCol w:w="109"/>
        <w:gridCol w:w="109"/>
        <w:gridCol w:w="109"/>
        <w:gridCol w:w="211"/>
        <w:gridCol w:w="976"/>
        <w:gridCol w:w="154"/>
      </w:tblGrid>
      <w:tr>
        <w:trPr/>
        <w:tc>
          <w:tcPr>
            <w:tcW w:w="129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85"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85"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subsidiaries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to subsidiary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subsidiaries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shares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 earnings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top w:val="single" w:sz="8" w:space="0" w:color="FFFFFF"/>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Statements of (Loss) Income and Comprehensive (Loss) Income (Parent Company)</w:t>
      </w:r>
    </w:p>
    <w:tbl>
      <w:tblPr>
        <w:tblW w:w="9222" w:type="dxa"/>
        <w:jc w:val="left"/>
        <w:tblInd w:w="0" w:type="dxa"/>
        <w:tblCellMar>
          <w:top w:w="28" w:type="dxa"/>
          <w:left w:w="28" w:type="dxa"/>
          <w:bottom w:w="28" w:type="dxa"/>
          <w:right w:w="28" w:type="dxa"/>
        </w:tblCellMar>
      </w:tblPr>
      <w:tblGrid>
        <w:gridCol w:w="1891"/>
        <w:gridCol w:w="1658"/>
        <w:gridCol w:w="1671"/>
        <w:gridCol w:w="211"/>
        <w:gridCol w:w="901"/>
        <w:gridCol w:w="109"/>
        <w:gridCol w:w="109"/>
        <w:gridCol w:w="109"/>
        <w:gridCol w:w="109"/>
        <w:gridCol w:w="211"/>
        <w:gridCol w:w="721"/>
        <w:gridCol w:w="109"/>
        <w:gridCol w:w="109"/>
        <w:gridCol w:w="109"/>
        <w:gridCol w:w="109"/>
        <w:gridCol w:w="211"/>
        <w:gridCol w:w="721"/>
        <w:gridCol w:w="154"/>
      </w:tblGrid>
      <w:tr>
        <w:trPr/>
        <w:tc>
          <w:tcPr>
            <w:tcW w:w="1891"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20"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220"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equity in net income of subsidiaries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(loss) income of subsidiaries</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2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other comprehensive (losses) earnings of subsidiaries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income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(224,720)</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Statements of Cash Flows (Parent Company)</w:t>
      </w:r>
    </w:p>
    <w:tbl>
      <w:tblPr>
        <w:tblW w:w="10205" w:type="dxa"/>
        <w:jc w:val="left"/>
        <w:tblInd w:w="0" w:type="dxa"/>
        <w:tblCellMar>
          <w:top w:w="28" w:type="dxa"/>
          <w:left w:w="28" w:type="dxa"/>
          <w:bottom w:w="28" w:type="dxa"/>
          <w:right w:w="28" w:type="dxa"/>
        </w:tblCellMar>
      </w:tblPr>
      <w:tblGrid>
        <w:gridCol w:w="2334"/>
        <w:gridCol w:w="1986"/>
        <w:gridCol w:w="2000"/>
        <w:gridCol w:w="211"/>
        <w:gridCol w:w="886"/>
        <w:gridCol w:w="109"/>
        <w:gridCol w:w="109"/>
        <w:gridCol w:w="109"/>
        <w:gridCol w:w="109"/>
        <w:gridCol w:w="211"/>
        <w:gridCol w:w="616"/>
        <w:gridCol w:w="109"/>
        <w:gridCol w:w="109"/>
        <w:gridCol w:w="109"/>
        <w:gridCol w:w="109"/>
        <w:gridCol w:w="211"/>
        <w:gridCol w:w="721"/>
        <w:gridCol w:w="157"/>
      </w:tblGrid>
      <w:tr>
        <w:trPr/>
        <w:tc>
          <w:tcPr>
            <w:tcW w:w="2334"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20"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20"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85"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(used in) operating activities:</w:t>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depreciation and amortization</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subsidiaries</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top w:val="single" w:sz="8" w:space="0" w:color="CCEEFF"/>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issuance</w:t>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repayments</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note issuance</w:t>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note repayments</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subsidiary</w:t>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issue costs paid</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shares - public offering</w:t>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shares under equity incentive plans</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repurchases</w:t>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spacing w:lineRule="auto" w:line="288" w:before="0" w:after="120"/>
        <w:ind w:left="0" w:right="0" w:hanging="360"/>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(the “Company”) is an exempted holding company registered in Bermuda, organized for the purpose of acquiring and managing insurance and reinsurance entities.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spacing w:lineRule="auto" w:line="288" w:before="0" w:after="12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spacing w:lineRule="auto" w:line="288" w:before="0" w:after="120"/>
        <w:ind w:left="0" w:right="0" w:firstLine="405"/>
        <w:rPr/>
      </w:pPr>
      <w:r>
        <w:rPr>
          <w:rFonts w:ascii="Times New Roman;sans-serif" w:hAnsi="Times New Roman;sans-serif"/>
          <w:b w:val="false"/>
          <w:color w:val="000000"/>
          <w:sz w:val="20"/>
        </w:rPr>
        <w:t>There were no new accounting standards adopted in 2021 that materially impacted the Company's financial statements</w:t>
      </w:r>
      <w:r>
        <w:rPr>
          <w:rFonts w:ascii="Times New Roman;sans-serif" w:hAnsi="Times New Roman;sans-serif"/>
          <w:b w:val="false"/>
          <w:color w:val="231F20"/>
          <w:sz w:val="20"/>
        </w:rPr>
        <w:t>.</w:t>
      </w:r>
    </w:p>
    <w:p>
      <w:pPr>
        <w:pStyle w:val="TextBody"/>
        <w:spacing w:before="0" w:after="120"/>
        <w:ind w:left="0" w:right="0" w:firstLine="360"/>
        <w:rPr/>
      </w:pPr>
      <w:r>
        <w:rPr/>
      </w:r>
    </w:p>
    <w:p>
      <w:pPr>
        <w:pStyle w:val="TextBody"/>
        <w:spacing w:before="0" w:after="120"/>
        <w:ind w:left="0" w:right="0" w:firstLine="360"/>
        <w:rPr/>
      </w:pPr>
      <w:r>
        <w:rPr/>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Supplementary Insurance Information</w:t>
      </w:r>
    </w:p>
    <w:p>
      <w:pPr>
        <w:pStyle w:val="TextBody"/>
        <w:spacing w:lineRule="auto" w:line="288" w:before="0" w:after="12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2886" w:type="dxa"/>
        <w:jc w:val="left"/>
        <w:tblInd w:w="0" w:type="dxa"/>
        <w:tblCellMar>
          <w:top w:w="28" w:type="dxa"/>
          <w:left w:w="28" w:type="dxa"/>
          <w:bottom w:w="28" w:type="dxa"/>
          <w:right w:w="28" w:type="dxa"/>
        </w:tblCellMar>
      </w:tblPr>
      <w:tblGrid>
        <w:gridCol w:w="426"/>
        <w:gridCol w:w="282"/>
        <w:gridCol w:w="283"/>
        <w:gridCol w:w="196"/>
        <w:gridCol w:w="64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42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Deferred</w:t>
              <w:br/>
              <w:t>Policy</w:t>
              <w:br/>
              <w:t>Acquisition</w:t>
              <w:br/>
              <w:t>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Reserve</w:t>
              <w:br/>
              <w:t>for Losses</w:t>
              <w:br/>
              <w:t>and Loss</w:t>
              <w:br/>
              <w:t>Adjustment</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Unearned</w:t>
              <w:br/>
              <w:t>Premiums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Earned</w:t>
              <w:br/>
              <w:t>Premiums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Investment</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br/>
              <w:t>and Loss</w:t>
              <w:br/>
              <w:t>Adjustment</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Amortization</w:t>
              <w:br/>
              <w:t>of Policy</w:t>
              <w:br/>
              <w:t>Acquisition</w:t>
              <w:br/>
              <w:t>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br/>
              <w:t>Operating</w:t>
              <w:b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Written</w:t>
              <w:br/>
              <w:t>Premiums</w:t>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and Surplus Lines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1,623,635 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501,250 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Casualty Reinsurance</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68,526 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2,748,473 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727,552 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695,594 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56,865 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792,352 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69,663 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164,692 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744,380 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2020</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and Surplus Lines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1,276,054 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345,976 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415,168 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Casualty Reinsurance</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137,544 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2,192,080 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630,371 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606,806 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478,545 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75,578 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165,498 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647,774 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2019</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and Surplus Lines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1,245,581 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625,528 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685,814 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Casualty Reinsurance</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109,109 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151,699 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2,045,506 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524,377 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823,746 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75,652 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672,102 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83,893 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170,908 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896,150 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IV</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Reinsurance</w:t>
      </w:r>
    </w:p>
    <w:tbl>
      <w:tblPr>
        <w:tblW w:w="10205" w:type="dxa"/>
        <w:jc w:val="left"/>
        <w:tblInd w:w="0" w:type="dxa"/>
        <w:tblCellMar>
          <w:top w:w="28" w:type="dxa"/>
          <w:left w:w="28" w:type="dxa"/>
          <w:bottom w:w="28" w:type="dxa"/>
          <w:right w:w="28" w:type="dxa"/>
        </w:tblCellMar>
      </w:tblPr>
      <w:tblGrid>
        <w:gridCol w:w="1103"/>
        <w:gridCol w:w="935"/>
        <w:gridCol w:w="93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08"/>
        <w:gridCol w:w="308"/>
        <w:gridCol w:w="570"/>
      </w:tblGrid>
      <w:tr>
        <w:trPr/>
        <w:tc>
          <w:tcPr>
            <w:tcW w:w="110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r>
      <w:tr>
        <w:trPr/>
        <w:tc>
          <w:tcPr>
            <w:tcW w:w="2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Ceded</w:t>
              <w:br/>
              <w:t>to Other</w:t>
              <w:br/>
              <w:t>Companies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Assumed</w:t>
              <w:br/>
              <w:t>from Other</w:t>
              <w:br/>
              <w:t>Companies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Amount</w:t>
              <w:br/>
              <w:t>Assumed</w:t>
              <w:br/>
              <w:t>to Net</w:t>
            </w:r>
          </w:p>
        </w:tc>
      </w:tr>
      <w:tr>
        <w:trPr/>
        <w:tc>
          <w:tcPr>
            <w:tcW w:w="2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8"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Written Premiums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Written Premiums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 Written Premiums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Written Premiums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570" w:type="dxa"/>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Written Premiums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Written Premiums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 Written Premiums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Written Premiums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CCEEFF"/>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570" w:type="dxa"/>
            <w:tcBorders>
              <w:top w:val="single" w:sz="8" w:space="0" w:color="CCEEFF"/>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2019</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Written Premiums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Written Premiums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 Written Premiums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Written Premiums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570" w:type="dxa"/>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V</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tbl>
      <w:tblPr>
        <w:tblW w:w="10205" w:type="dxa"/>
        <w:jc w:val="left"/>
        <w:tblInd w:w="0" w:type="dxa"/>
        <w:tblCellMar>
          <w:top w:w="28" w:type="dxa"/>
          <w:left w:w="28" w:type="dxa"/>
          <w:bottom w:w="28" w:type="dxa"/>
          <w:right w:w="28" w:type="dxa"/>
        </w:tblCellMar>
      </w:tblPr>
      <w:tblGrid>
        <w:gridCol w:w="1851"/>
        <w:gridCol w:w="1600"/>
        <w:gridCol w:w="1606"/>
        <w:gridCol w:w="211"/>
        <w:gridCol w:w="721"/>
        <w:gridCol w:w="109"/>
        <w:gridCol w:w="109"/>
        <w:gridCol w:w="109"/>
        <w:gridCol w:w="109"/>
        <w:gridCol w:w="211"/>
        <w:gridCol w:w="721"/>
        <w:gridCol w:w="109"/>
        <w:gridCol w:w="109"/>
        <w:gridCol w:w="109"/>
        <w:gridCol w:w="109"/>
        <w:gridCol w:w="211"/>
        <w:gridCol w:w="677"/>
        <w:gridCol w:w="109"/>
        <w:gridCol w:w="109"/>
        <w:gridCol w:w="109"/>
        <w:gridCol w:w="109"/>
        <w:gridCol w:w="211"/>
        <w:gridCol w:w="721"/>
        <w:gridCol w:w="156"/>
      </w:tblGrid>
      <w:tr>
        <w:trPr/>
        <w:tc>
          <w:tcPr>
            <w:tcW w:w="1851"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0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Beginning</w:t>
              <w:br/>
              <w:t>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Additions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Charged to</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Deductions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Written Off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Disposals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w:t>
              <w:br/>
              <w:t>of Period</w:t>
            </w:r>
          </w:p>
        </w:tc>
      </w:tr>
      <w:tr>
        <w:trPr/>
        <w:tc>
          <w:tcPr>
            <w:tcW w:w="50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Premiums Receivable and Agents' Balances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Reinsurance Balances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Bank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Premiums Receivable and Agents' Balances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Reinsurance Balances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Bank Loans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2019</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Premiums Receivable and Agents' Balances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Bank Loans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405"/>
        <w:rPr/>
      </w:pPr>
      <w:r>
        <w:rPr>
          <w:rFonts w:ascii="Times New Roman;sans-serif" w:hAnsi="Times New Roman;sans-serif"/>
          <w:b w:val="false"/>
          <w:color w:val="000000"/>
          <w:sz w:val="20"/>
        </w:rPr>
        <w:t>In connection with the adoption of ASU 2016-13, the Company elected the fair value option in accounting for bank loan participations effective January 1, 2020. Under the fair value option, bank loan participations are measured at fair value, and changes in unrealized gains and losses in bank loan participations are reported in our income statement as net realized and unrealized gains (losses) on investments. Also u</w:t>
      </w:r>
      <w:r>
        <w:rPr>
          <w:rFonts w:ascii="Times New Roman;sans-serif" w:hAnsi="Times New Roman;sans-serif"/>
          <w:b w:val="false"/>
          <w:color w:val="231F20"/>
          <w:sz w:val="20"/>
        </w:rPr>
        <w:t xml:space="preserve">pon adoption of ASU </w:t>
      </w:r>
      <w:r>
        <w:rPr>
          <w:rFonts w:ascii="Times New Roman;sans-serif" w:hAnsi="Times New Roman;sans-serif"/>
          <w:b w:val="false"/>
          <w:color w:val="000000"/>
          <w:sz w:val="20"/>
        </w:rPr>
        <w:t>2016-13</w:t>
      </w:r>
      <w:r>
        <w:rPr>
          <w:rFonts w:ascii="Times New Roman;sans-serif" w:hAnsi="Times New Roman;sans-serif"/>
          <w:b w:val="false"/>
          <w:color w:val="231F20"/>
          <w:sz w:val="20"/>
        </w:rPr>
        <w:t xml:space="preserve">, the Company established an allowance for credit losses on reinsurance balances.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v:rect>
            </w:pict>
          </mc:Fallback>
        </mc:AlternateContent>
      </w:r>
    </w:p>
    <w:p>
      <w:pPr>
        <w:pStyle w:val="TextBody"/>
        <w:spacing w:lineRule="auto" w:line="288" w:before="0" w:after="0"/>
        <w:rPr/>
      </w:pPr>
      <w:hyperlink w:anchor="iccfdafa41a104136acbc204fcaa30e50_7">
        <w:r>
          <w:rPr>
            <w:rStyle w:val="InternetLink"/>
            <w:rFonts w:ascii="Times New Roman;sans-serif" w:hAnsi="Times New Roman;sans-serif"/>
            <w:b w:val="false"/>
            <w:color w:val="0000FF"/>
            <w:sz w:val="14"/>
            <w:u w:val="single"/>
          </w:rPr>
          <w:t>TABLE OF CONTENTS</w:t>
        </w:r>
      </w:hyperlink>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VI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Supplementary Information Concerning Property Casualty Insurance Operations</w:t>
      </w:r>
    </w:p>
    <w:tbl>
      <w:tblPr>
        <w:tblW w:w="8919" w:type="dxa"/>
        <w:jc w:val="left"/>
        <w:tblInd w:w="0" w:type="dxa"/>
        <w:tblCellMar>
          <w:top w:w="28" w:type="dxa"/>
          <w:left w:w="28" w:type="dxa"/>
          <w:bottom w:w="28" w:type="dxa"/>
          <w:right w:w="28" w:type="dxa"/>
        </w:tblCellMar>
      </w:tblPr>
      <w:tblGrid>
        <w:gridCol w:w="1797"/>
        <w:gridCol w:w="1582"/>
        <w:gridCol w:w="1586"/>
        <w:gridCol w:w="220"/>
        <w:gridCol w:w="756"/>
        <w:gridCol w:w="109"/>
        <w:gridCol w:w="109"/>
        <w:gridCol w:w="109"/>
        <w:gridCol w:w="109"/>
        <w:gridCol w:w="220"/>
        <w:gridCol w:w="756"/>
        <w:gridCol w:w="109"/>
        <w:gridCol w:w="109"/>
        <w:gridCol w:w="109"/>
        <w:gridCol w:w="109"/>
        <w:gridCol w:w="220"/>
        <w:gridCol w:w="756"/>
        <w:gridCol w:w="154"/>
      </w:tblGrid>
      <w:tr>
        <w:trPr/>
        <w:tc>
          <w:tcPr>
            <w:tcW w:w="1797"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incurred:</w:t>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603,094 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losses and loss adjustment expenses incurred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losses and loss adjustment expenses, net of reinsurance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v:rect>
            </w:pict>
          </mc:Fallback>
        </mc:AlternateContent>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spacing w:before="0" w:after="0"/>
        <w:rPr/>
      </w:pPr>
      <w:r>
        <w:rPr/>
      </w:r>
    </w:p>
    <w:p>
      <w:pPr>
        <w:pStyle w:val="TextBody"/>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FIRST AMENDMENT TO SECOND AMENDED AND RESTATED CREDIT AGREEMENT</w:t>
      </w:r>
    </w:p>
    <w:p>
      <w:pPr>
        <w:pStyle w:val="TextBody"/>
        <w:spacing w:before="0" w:after="0"/>
        <w:rPr/>
      </w:pPr>
      <w:r>
        <w:rPr/>
      </w:r>
    </w:p>
    <w:p>
      <w:pPr>
        <w:pStyle w:val="TextBody"/>
        <w:spacing w:lineRule="auto" w:line="556" w:before="0" w:after="0"/>
        <w:ind w:left="0" w:right="0" w:firstLine="720"/>
        <w:jc w:val="both"/>
        <w:rPr/>
      </w:pPr>
      <w:r>
        <w:rPr>
          <w:rFonts w:ascii="Times New Roman;sans-serif" w:hAnsi="Times New Roman;sans-serif"/>
          <w:b w:val="false"/>
          <w:color w:val="000000"/>
          <w:sz w:val="24"/>
        </w:rPr>
        <w:t>THIS FIRST AMENDMENT TO SECOND AMENDED AND RESTATED CREDIT AGREEMENT (this “First Amendment”) is made and entered into as of the 18</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February, 2022, by and among:</w:t>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JAMES RIVER GROUP HOLDINGS, LTD., a Bermuda company (“Parent”), and JRG REINSURANCE COMPANY LTD., a regulated insurance company domiciled in Bermuda (“JRG Reinsurance” and, together with Parent, each a “Borrower” and, collectively, the “Borrowers”);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FINANCIAL INSTITUTIONS listed as lenders on the signature pages hereto and their successors and assigns (each a “Lender” and, collectively, the “Lenders”); and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KEYBANK NATIONAL ASSOCIATION, a national banking association, in its capacity as “Administrative Agent” under the Credit Agreement (defined below).</w:t>
      </w:r>
    </w:p>
    <w:p>
      <w:pPr>
        <w:pStyle w:val="TextBody"/>
        <w:spacing w:before="0" w:after="0"/>
        <w:rPr/>
      </w:pPr>
      <w:r>
        <w:rPr/>
      </w:r>
    </w:p>
    <w:p>
      <w:pPr>
        <w:pStyle w:val="TextBody"/>
        <w:spacing w:lineRule="auto" w:line="480" w:before="0" w:after="0"/>
        <w:jc w:val="center"/>
        <w:rPr/>
      </w:pPr>
      <w:r>
        <w:rPr>
          <w:rFonts w:ascii="Times New Roman;sans-serif" w:hAnsi="Times New Roman;sans-serif"/>
          <w:b w:val="false"/>
          <w:color w:val="000000"/>
          <w:sz w:val="24"/>
          <w:u w:val="single"/>
        </w:rPr>
        <w:t>Recitals</w:t>
      </w:r>
      <w:r>
        <w:rPr>
          <w:rFonts w:ascii="Times New Roman;sans-serif" w:hAnsi="Times New Roman;sans-serif"/>
          <w:b w:val="false"/>
          <w:color w:val="000000"/>
          <w:sz w:val="24"/>
        </w:rPr>
        <w:t>:</w:t>
      </w:r>
    </w:p>
    <w:p>
      <w:pPr>
        <w:pStyle w:val="TextBody"/>
        <w:spacing w:lineRule="auto" w:line="556" w:before="0" w:after="0"/>
        <w:ind w:left="0" w:right="0" w:firstLine="720"/>
        <w:jc w:val="both"/>
        <w:rPr/>
      </w:pPr>
      <w:r>
        <w:rPr>
          <w:rFonts w:ascii="Times New Roman;sans-serif" w:hAnsi="Times New Roman;sans-serif"/>
          <w:b w:val="false"/>
          <w:color w:val="000000"/>
          <w:sz w:val="24"/>
        </w:rPr>
        <w:t xml:space="preserve">A.    The Borrowers, the Lenders and the Administrative Agent and certain other parties are the parties to that certain Second Amended and Restated Credit Agreement dated as of November 8, 2019 (as amended from time to time, the “Credit Agreement”), pursuant to which, </w:t>
      </w:r>
      <w:r>
        <w:rPr>
          <w:rFonts w:ascii="Times New Roman;sans-serif" w:hAnsi="Times New Roman;sans-serif"/>
          <w:b w:val="false"/>
          <w:color w:val="000000"/>
          <w:sz w:val="24"/>
          <w:u w:val="single"/>
        </w:rPr>
        <w:t>inter</w:t>
      </w:r>
      <w:r>
        <w:rPr>
          <w:color w:val="000000"/>
        </w:rPr>
        <w:t xml:space="preserve"> </w:t>
      </w:r>
      <w:r>
        <w:rPr>
          <w:rFonts w:ascii="Times New Roman;sans-serif" w:hAnsi="Times New Roman;sans-serif"/>
          <w:b w:val="false"/>
          <w:color w:val="000000"/>
          <w:sz w:val="24"/>
          <w:u w:val="single"/>
        </w:rPr>
        <w:t>alia</w:t>
      </w:r>
      <w:r>
        <w:rPr>
          <w:rFonts w:ascii="Times New Roman;sans-serif" w:hAnsi="Times New Roman;sans-serif"/>
          <w:b w:val="false"/>
          <w:color w:val="000000"/>
          <w:sz w:val="24"/>
        </w:rPr>
        <w:t>, the Lenders agreed, subject to the terms and conditions thereof, to advance Loans (as this and other capitalized terms used herein and not otherwise defined herein are defined in the Credit Agreement) to the Borrowers; and the Letter of Credit Issuer agreed, subject to the terms and conditions thereof, to issue Letters of Credit.</w:t>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Parent intends to issue preferred equity in an amount not to exceed $150,000,000.</w:t>
      </w:r>
    </w:p>
    <w:p>
      <w:pPr>
        <w:pStyle w:val="TextBody"/>
        <w:spacing w:lineRule="auto" w:line="556"/>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Borrowers have requested the Lenders to agree to certain amendments to the Credit Agreement to accommodate the issuance of the preferred equity; and upon and subject to the terms and conditions of this First Amendment, the Lenders have agreed with such request.</w:t>
      </w:r>
      <w:r>
        <w:br w:type="page"/>
      </w: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56" w:before="600" w:after="283"/>
        <w:jc w:val="center"/>
        <w:rPr/>
      </w:pPr>
      <w:r>
        <w:rPr>
          <w:rFonts w:ascii="Times New Roman;sans-serif" w:hAnsi="Times New Roman;sans-serif"/>
          <w:b w:val="false"/>
          <w:color w:val="000000"/>
          <w:sz w:val="24"/>
          <w:u w:val="single"/>
        </w:rPr>
        <w:t>Agreements</w:t>
      </w:r>
      <w:r>
        <w:rPr>
          <w:rFonts w:ascii="Times New Roman;sans-serif" w:hAnsi="Times New Roman;sans-serif"/>
          <w:b w:val="false"/>
          <w:color w:val="000000"/>
          <w:sz w:val="24"/>
        </w:rPr>
        <w:t>:</w:t>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Recitals and the mutual agreements hereinafter set forth, the Borrowers, the Lenders and the Administrative Agent, intending to be legally bound, hereby agree as follows:</w:t>
      </w:r>
    </w:p>
    <w:p>
      <w:pPr>
        <w:pStyle w:val="TextBody"/>
        <w:spacing w:lineRule="auto" w:line="556" w:before="0" w:after="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Amendments to the Credit Agreement</w:t>
      </w:r>
      <w:r>
        <w:rPr>
          <w:rFonts w:ascii="Times New Roman;sans-serif" w:hAnsi="Times New Roman;sans-serif"/>
          <w:b w:val="false"/>
          <w:color w:val="000000"/>
          <w:sz w:val="24"/>
        </w:rPr>
        <w:t>. Subject to the terms and conditions of this First Amendment, including, without limitation, Paragraph 2, below, the Credit Agreement is hereby amended as follows:</w:t>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definition of the term “Current Redeemable Equity” in Section 1.01 of the Credit Agreement is hereby amended and restated in its entirety to provide as follows:</w:t>
      </w:r>
    </w:p>
    <w:p>
      <w:pPr>
        <w:pStyle w:val="TextBody"/>
        <w:spacing w:lineRule="auto" w:line="288" w:before="0" w:after="0"/>
        <w:jc w:val="both"/>
        <w:rPr/>
      </w:pPr>
      <w:r>
        <w:rPr>
          <w:color w:val="000000"/>
        </w:rPr>
        <w:t>“</w:t>
      </w:r>
      <w:r>
        <w:rPr>
          <w:rFonts w:ascii="Times New Roman;sans-serif" w:hAnsi="Times New Roman;sans-serif"/>
          <w:b/>
          <w:color w:val="000000"/>
          <w:sz w:val="24"/>
        </w:rPr>
        <w:t>Current Redeemable Equity”</w:t>
      </w:r>
      <w:r>
        <w:rPr>
          <w:color w:val="000000"/>
        </w:rPr>
        <w:t xml:space="preserve"> </w:t>
      </w:r>
      <w:r>
        <w:rPr>
          <w:rFonts w:ascii="Times New Roman;sans-serif" w:hAnsi="Times New Roman;sans-serif"/>
          <w:b w:val="false"/>
          <w:color w:val="000000"/>
          <w:sz w:val="24"/>
        </w:rPr>
        <w:t>means any preferred stock or other preferred Equity Interests, which in either case, by its terms or upon the happening of any event or condition, is subject to mandatory redemption (except as a result of a change of control or asset sale so long as any rights to payment of the holders thereof upon the occurrence of a change of control or asset sale event shall be subject to the prior repayment in full of the Loans and all other obligations that are accrued and payable under this Agreement or any other Loan Document and the termination of the Commitments) at any time prior to the first anniversary of the Maturity Date (as it exists on any date of determination).</w:t>
      </w:r>
    </w:p>
    <w:p>
      <w:pPr>
        <w:pStyle w:val="TextBody"/>
        <w:spacing w:before="0" w:after="0"/>
        <w:jc w:val="both"/>
        <w:rPr/>
      </w:pPr>
      <w:r>
        <w:rPr/>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Section 1.01 of the Credit Agreement is hereby amended by adding the following definition in the correct alphabetical order:</w:t>
      </w:r>
    </w:p>
    <w:p>
      <w:pPr>
        <w:pStyle w:val="TextBody"/>
        <w:spacing w:lineRule="auto" w:line="288" w:before="0" w:after="0"/>
        <w:jc w:val="both"/>
        <w:rPr/>
      </w:pPr>
      <w:r>
        <w:rPr>
          <w:color w:val="000000"/>
        </w:rPr>
        <w:t>“</w:t>
      </w:r>
      <w:r>
        <w:rPr>
          <w:rFonts w:ascii="Times New Roman;sans-serif" w:hAnsi="Times New Roman;sans-serif"/>
          <w:b/>
          <w:color w:val="000000"/>
          <w:sz w:val="24"/>
        </w:rPr>
        <w:t>2022 Preferred Equity</w:t>
      </w:r>
      <w:r>
        <w:rPr>
          <w:color w:val="000000"/>
        </w:rPr>
        <w:t xml:space="preserve">” </w:t>
      </w:r>
      <w:r>
        <w:rPr>
          <w:rFonts w:ascii="Times New Roman;sans-serif" w:hAnsi="Times New Roman;sans-serif"/>
          <w:b w:val="false"/>
          <w:color w:val="000000"/>
          <w:sz w:val="24"/>
        </w:rPr>
        <w:t xml:space="preserve">means the preferred equity issued by Parent in February 2022 for an aggregate issuance price of up to $150,000,000. </w:t>
      </w:r>
    </w:p>
    <w:p>
      <w:pPr>
        <w:pStyle w:val="TextBody"/>
        <w:spacing w:before="0" w:after="0"/>
        <w:rPr/>
      </w:pPr>
      <w:r>
        <w:rPr/>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Section 6.01(a) of the Credit Agreement is hereby amended by (i) deleting the word “and” at the end of subsection (vii) thereof; (ii) amending and restating subsection (viii) thereof in its entirety to provide as follows:</w:t>
      </w:r>
    </w:p>
    <w:p>
      <w:pPr>
        <w:pStyle w:val="TextBody"/>
        <w:spacing w:lineRule="auto" w:line="288" w:before="0" w:after="0"/>
        <w:jc w:val="both"/>
        <w:rPr/>
      </w:pPr>
      <w:r>
        <w:rPr>
          <w:rFonts w:ascii="Times New Roman;sans-serif" w:hAnsi="Times New Roman;sans-serif"/>
          <w:b w:val="false"/>
          <w:color w:val="000000"/>
          <w:sz w:val="24"/>
        </w:rPr>
        <w:t xml:space="preserve">(viii)    additional Debt (excluding the 2022 Preferred Equity) not to exceed $200,000,000 in aggregate principal amount at any time outstanding as to the Parent and its Subsidiaries on a Consolidated basis;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Subsidiary Debt Amount shall not at any time exceed an amount equal to $10,000,000,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Guarantor Guaranteed Amount at such time; and</w:t>
      </w:r>
    </w:p>
    <w:p>
      <w:pPr>
        <w:pStyle w:val="TextBody"/>
        <w:spacing w:before="0" w:after="0"/>
        <w:ind w:left="0" w:right="0" w:firstLine="144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(iii) adding a new subsection (ix) thereof which shall provide as follows:</w:t>
      </w:r>
    </w:p>
    <w:p>
      <w:pPr>
        <w:pStyle w:val="TextBody"/>
        <w:spacing w:before="0" w:after="0"/>
        <w:jc w:val="both"/>
        <w:rPr/>
      </w:pPr>
      <w:r>
        <w:rPr/>
      </w:r>
    </w:p>
    <w:p>
      <w:pPr>
        <w:pStyle w:val="TextBody"/>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(ix) the 2022 Preferred Equity.</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56" w:before="0" w:after="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Amendment Effective Date; Conditions Precedent</w:t>
      </w:r>
      <w:r>
        <w:rPr>
          <w:rFonts w:ascii="Times New Roman;sans-serif" w:hAnsi="Times New Roman;sans-serif"/>
          <w:b w:val="false"/>
          <w:color w:val="000000"/>
          <w:sz w:val="24"/>
        </w:rPr>
        <w:t>. The amendments set forth in Paragraph 1, above, shall not be effective unless and until the date on which all of the following conditions precedent have been satisfied (such date of effectiveness being the “First Amendment Effective Date”):</w:t>
      </w:r>
    </w:p>
    <w:p>
      <w:pPr>
        <w:pStyle w:val="TextBody"/>
        <w:spacing w:lineRule="auto" w:line="556" w:before="0" w:after="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Borrowers’ Certifications</w:t>
      </w:r>
      <w:r>
        <w:rPr>
          <w:rFonts w:ascii="Times New Roman;sans-serif" w:hAnsi="Times New Roman;sans-serif"/>
          <w:b w:val="false"/>
          <w:color w:val="000000"/>
          <w:sz w:val="24"/>
        </w:rPr>
        <w:t>. On the First Amendment Effective Date, after giving effect to the amendment set forth in Paragraph 1, above, the Borrowers hereby certify that (i) no Default exists, (ii) the representations and warranties of the Borrowers under Article 3 of the Credit Agreement are true and correct in all material respects as of the First Amendment Effective Date (unless and to the extent that any such representation and warranty is stated to relate solely to an earlier date, in which case such representation and warranty shall have been true and correct in all material respects as of such earlier date), (iii) the execution, delivery and performance of this First Amendment has been authorized by all necessary corporate or company action, and (iv) the Regulatory Condition Satisfaction remains effective.</w:t>
      </w:r>
    </w:p>
    <w:p>
      <w:pPr>
        <w:pStyle w:val="TextBody"/>
        <w:spacing w:lineRule="auto" w:line="556" w:before="0" w:after="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First Amendment</w:t>
      </w:r>
      <w:r>
        <w:rPr>
          <w:rFonts w:ascii="Times New Roman;sans-serif" w:hAnsi="Times New Roman;sans-serif"/>
          <w:b w:val="false"/>
          <w:color w:val="000000"/>
          <w:sz w:val="24"/>
        </w:rPr>
        <w:t>. The Administrative Agent or the Special Counsel (defined below) shall have received from each Borrower and Lenders constituting the Required Lenders a counterpart of this First Amendment signed on behalf of such party.</w:t>
      </w:r>
    </w:p>
    <w:p>
      <w:pPr>
        <w:pStyle w:val="TextBody"/>
        <w:spacing w:lineRule="auto" w:line="556" w:before="0" w:after="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Guarantor Confirmations</w:t>
      </w:r>
      <w:r>
        <w:rPr>
          <w:rFonts w:ascii="Times New Roman;sans-serif" w:hAnsi="Times New Roman;sans-serif"/>
          <w:b w:val="false"/>
          <w:color w:val="000000"/>
          <w:sz w:val="24"/>
        </w:rPr>
        <w:t>. Each of James River and James River UK shall have executed and delivered to the Administrative Agent a confirmation of its Payment Guaranty in form and substance reasonably satisfactory to the Administrative Agent.</w:t>
      </w:r>
    </w:p>
    <w:p>
      <w:pPr>
        <w:pStyle w:val="TextBody"/>
        <w:spacing w:lineRule="auto" w:line="556" w:before="0" w:after="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Agent Expenses</w:t>
      </w:r>
      <w:r>
        <w:rPr>
          <w:rFonts w:ascii="Times New Roman;sans-serif" w:hAnsi="Times New Roman;sans-serif"/>
          <w:b w:val="false"/>
          <w:color w:val="000000"/>
          <w:sz w:val="24"/>
        </w:rPr>
        <w:t>. The Borrowers shall have paid or caused to be paid to the Administrative Agent all fees and other amounts due and payable on or prior to the First Amendment Effective Date, including, to the extent invoiced, reimbursement or payment of all reasonable out-of-pocket expenses (including fees, charges and disbursements of the Special Counsel) required to be reimbursed or paid by the Borrowers hereunder, under any other Loan Document or under said fee letter agreement.</w:t>
      </w:r>
    </w:p>
    <w:p>
      <w:pPr>
        <w:pStyle w:val="TextBody"/>
        <w:spacing w:lineRule="auto" w:line="556"/>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Legal Matters</w:t>
      </w:r>
      <w:r>
        <w:rPr>
          <w:rFonts w:ascii="Times New Roman;sans-serif" w:hAnsi="Times New Roman;sans-serif"/>
          <w:b w:val="false"/>
          <w:color w:val="000000"/>
          <w:sz w:val="24"/>
        </w:rPr>
        <w:t>. All legal matters incident to this First Amendment and the consummation of the transactions contemplated hereby shall be reasonably satisfactory to Squire Patton Boggs (US) LLP, Cleveland, Ohio, special counsel to the Administrative Agent (the “Special Counsel”).</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56" w:before="0" w:after="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No Other Modifications</w:t>
      </w:r>
      <w:r>
        <w:rPr>
          <w:rFonts w:ascii="Times New Roman;sans-serif" w:hAnsi="Times New Roman;sans-serif"/>
          <w:b w:val="false"/>
          <w:color w:val="000000"/>
          <w:sz w:val="24"/>
        </w:rPr>
        <w:t>. Except as expressly provided in this First Amendment, all of the terms and conditions of the Credit Agreement and the other Loan Documents remain unchanged and in full force and effect.</w:t>
      </w:r>
    </w:p>
    <w:p>
      <w:pPr>
        <w:pStyle w:val="TextBody"/>
        <w:spacing w:lineRule="auto" w:line="556" w:before="0" w:after="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Confirmation of Obligations</w:t>
      </w:r>
      <w:r>
        <w:rPr>
          <w:rFonts w:ascii="Times New Roman;sans-serif" w:hAnsi="Times New Roman;sans-serif"/>
          <w:b w:val="false"/>
          <w:color w:val="000000"/>
          <w:sz w:val="24"/>
        </w:rPr>
        <w:t>. Each Borrower hereby affirms as of the date hereof all of its respective Debt and other obligations to each of the Lender Parties under and pursuant to the Credit Agreement and each of the other Loan Documents and that such Debt and other obligations are owed to each of the Lender Parties according to their respective terms. Each Borrower hereby affirms as of the date hereof that there are no claims or defenses to the enforcement by the Lender Parties of the Debt and other obligations of such Borrower to each of them under and pursuant to the Credit Agreement or any of the other Loan Documents.</w:t>
      </w:r>
    </w:p>
    <w:p>
      <w:pPr>
        <w:pStyle w:val="TextBody"/>
        <w:spacing w:lineRule="auto" w:line="556" w:before="0" w:after="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Administrative Agent’s Expense</w:t>
      </w:r>
      <w:r>
        <w:rPr>
          <w:rFonts w:ascii="Times New Roman;sans-serif" w:hAnsi="Times New Roman;sans-serif"/>
          <w:b w:val="false"/>
          <w:color w:val="000000"/>
          <w:sz w:val="24"/>
        </w:rPr>
        <w:t>. The Borrowers agree to reimburse the Administrative Agent promptly for its reasonable invoiced out-of-pocket costs and expenses incurred in connection with this First Amendment and the transactions contemplated hereby, including, without limitation, the reasonable fees and expenses of the Special Counsel.</w:t>
      </w:r>
    </w:p>
    <w:p>
      <w:pPr>
        <w:pStyle w:val="TextBody"/>
        <w:spacing w:lineRule="auto" w:line="556" w:before="0" w:after="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Governing Law; Binding Effect</w:t>
      </w:r>
      <w:r>
        <w:rPr>
          <w:rFonts w:ascii="Times New Roman;sans-serif" w:hAnsi="Times New Roman;sans-serif"/>
          <w:b w:val="false"/>
          <w:color w:val="000000"/>
          <w:sz w:val="24"/>
        </w:rPr>
        <w:t>. THIS FIRST AMENDMENT SHALL BE GOVERNED BY AND CONSTRUED IN ACCORDANCE WITH THE LAWS OF THE STATE OF NEW YORK AND SHALL BE BINDING UPON AND INURE TO THE BENEFIT OF THE BORROWERS, THE LENDERS AND THE ADMINISTRATIVE AGENT AND THEIR RESPECTIVE SUCCESSORS AND ASSIGNS.</w:t>
      </w:r>
    </w:p>
    <w:p>
      <w:pPr>
        <w:pStyle w:val="TextBody"/>
        <w:spacing w:lineRule="auto" w:line="556"/>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First Amendment may be executed in any number of counterparts, each of which when so executed shall be deemed to be an original, but all such counterparts shall constitute one and the same instrument, and all signatures need not appear on any one counterpart. Any party hereto may execute and deliver a counterpart of this First Amendment by delivering by facsimile or email transmission a signature page of this First Amendment signed by such party, and any such facsimile or email signature shall be treated in all respects as having the same effect as an original signature. Any </w:t>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party delivering by facsimile or email transmission a counterpart executed by it shall promptly thereafter also deliver a manually signed counterpart of this First Amendment.</w:t>
      </w:r>
    </w:p>
    <w:p>
      <w:pPr>
        <w:pStyle w:val="TextBody"/>
        <w:spacing w:lineRule="auto" w:line="556" w:before="0" w:after="0"/>
        <w:ind w:left="0" w:right="0" w:firstLine="720"/>
        <w:jc w:val="both"/>
        <w:rPr/>
      </w:pPr>
      <w:r>
        <w:rPr>
          <w:rFonts w:ascii="Times New Roman;sans-serif" w:hAnsi="Times New Roman;sans-serif"/>
          <w:b w:val="false"/>
          <w:color w:val="000000"/>
          <w:sz w:val="24"/>
        </w:rPr>
        <w:t xml:space="preserve">8.    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Upon the effectiveness of this First Amendment, this First Amendment shall be a Loan Document.</w:t>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invalidity, illegality, or unenforceability of any provision in or Obligation under this First Amendment in any jurisdiction shall not affect or impair the validity, legality, or enforceability of the remaining provisions or obligations under this First Amendment or of such provision or obligation in any other jurisdiction.</w:t>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This First Amendment and all other agreements and documents executed in connection herewith have been prepared through the joint efforts of all of the parties. Neither the provisions of this First Amendment or any such other agreements and documents nor any alleged ambiguity shall be interpreted or resolved against any party on the ground that such party’s counsel drafted this First Amendment or such other agreements and documents, or based on any other rule of strict construction. Each of the parties hereto represents and declares that such party has carefully read this First Amendment and all other agreements and documents executed in connection herewith and therewith, and that such party knows the contents thereof and signs the same freely and voluntarily. The parties hereby acknowledge that they have been represented by legal counsel of their own choosing in negotiations for and preparation of this First Amendment and all other agreements and documents executed in connection therewith and that each of them has read the same and had their contents fully explained by such counsel and is fully aware of their contents and legal effect.</w:t>
      </w:r>
    </w:p>
    <w:p>
      <w:pPr>
        <w:pStyle w:val="TextBody"/>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obligations of the Borrowers hereunder are joint and several, all as more fully set forth in Article 10 of the Credit Agreement.</w:t>
      </w:r>
    </w:p>
    <w:p>
      <w:pPr>
        <w:pStyle w:val="TextBody"/>
        <w:spacing w:lineRule="auto" w:line="556"/>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xml:space="preserve">. EACH OF THE PARTIES TO THIS FIRST AMENDMENT HEREBY IRREVOCABLY WAIVES ALL RIGHT TO A TRIAL BY JURY IN ANY ACTION, </w:t>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PROCEEDING, OR COUNTERCLAIM (WHETHER SOUNDING IN CONTRACT, TORT OR OTHERWISE) ARISING OUT OF OR RELATING TO THIS FIRST AMENDMENT, THE OTHER LOAN DOCUMENTS OR THE TRANSACTIONS CONTEMPLATED HEREBY OR THEREBY. EACH PARTY HERETO HEREBY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FIRST AMENDMENT BY, AMONG OTHER THINGS, THE MUTUAL WAIVERS AND CERTIFICATIONS IN THIS SECTION.</w:t>
      </w:r>
    </w:p>
    <w:p>
      <w:pPr>
        <w:pStyle w:val="TextBody"/>
        <w:spacing w:before="0" w:after="0"/>
        <w:ind w:left="0" w:right="0" w:firstLine="720"/>
        <w:jc w:val="both"/>
        <w:rPr/>
      </w:pPr>
      <w:r>
        <w:rPr/>
      </w:r>
    </w:p>
    <w:p>
      <w:pPr>
        <w:pStyle w:val="TextBody"/>
        <w:spacing w:lineRule="auto" w:line="4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remainder of this page is intentionally left blank.]</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56"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the Borrowers, the Lenders and the Administrative Agent have hereunto set their hands as of the date first above written.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BORROWERS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JAMES RIVER GROUP HOLDINGS, LTD.</w:t>
      </w:r>
    </w:p>
    <w:p>
      <w:pPr>
        <w:pStyle w:val="TextBody"/>
        <w:spacing w:before="0" w:after="0"/>
        <w:rPr/>
      </w:pPr>
      <w:r>
        <w:rPr/>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Sarah Doran </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Name: Sarah Doran</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JRG REINSURANCE COMPANY LTD.</w:t>
      </w:r>
    </w:p>
    <w:p>
      <w:pPr>
        <w:pStyle w:val="TextBody"/>
        <w:spacing w:before="0" w:after="0"/>
        <w:rPr/>
      </w:pPr>
      <w:r>
        <w:rPr/>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Allan Defante </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Name: Allan Defante</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ADMINISTRATIVE AGENT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KEYBANK NATIONAL ASSOCIATION, as Administrative Agent as Lender</w:t>
      </w:r>
    </w:p>
    <w:p>
      <w:pPr>
        <w:pStyle w:val="TextBody"/>
        <w:spacing w:before="0" w:after="0"/>
        <w:rPr/>
      </w:pPr>
      <w:r>
        <w:rPr/>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Thomas A. Crandell </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Name: Thomas A. Crandell</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p>
      <w:pPr>
        <w:pStyle w:val="TextBody"/>
        <w:spacing w:before="0" w:after="0"/>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LENDERS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KEYBANK NATIONAL ASSOCIATION,</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as Lender</w:t>
      </w:r>
    </w:p>
    <w:p>
      <w:pPr>
        <w:pStyle w:val="TextBody"/>
        <w:spacing w:before="0" w:after="0"/>
        <w:rPr/>
      </w:pPr>
      <w:r>
        <w:rPr/>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Thomas A. Crandell </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Name: Thomas A. Crandell</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[Lender Signatures Continued]</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TRUIST BANK,</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as Lender</w:t>
      </w:r>
    </w:p>
    <w:p>
      <w:pPr>
        <w:pStyle w:val="TextBody"/>
        <w:spacing w:before="0" w:after="0"/>
        <w:rPr/>
      </w:pPr>
      <w:r>
        <w:rPr/>
      </w:r>
    </w:p>
    <w:p>
      <w:pPr>
        <w:pStyle w:val="TextBody"/>
        <w:spacing w:before="0" w:after="0"/>
        <w:rPr/>
      </w:pPr>
      <w:r>
        <w:rPr/>
      </w:r>
    </w:p>
    <w:p>
      <w:pPr>
        <w:pStyle w:val="TextBody"/>
        <w:spacing w:lineRule="auto" w:line="268" w:before="0" w:after="0"/>
        <w:ind w:left="0" w:right="0" w:firstLine="43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Andrew Johnson </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Name: Andrew Johnson</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[Lender Signatures Continued]</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BANK OF MONTREAL,</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as Lender</w:t>
      </w:r>
    </w:p>
    <w:p>
      <w:pPr>
        <w:pStyle w:val="TextBody"/>
        <w:spacing w:before="0" w:after="0"/>
        <w:rPr/>
      </w:pPr>
      <w:r>
        <w:rPr/>
      </w:r>
    </w:p>
    <w:p>
      <w:pPr>
        <w:pStyle w:val="TextBody"/>
        <w:spacing w:before="0" w:after="0"/>
        <w:rPr/>
      </w:pPr>
      <w:r>
        <w:rPr/>
      </w:r>
    </w:p>
    <w:p>
      <w:pPr>
        <w:pStyle w:val="TextBody"/>
        <w:spacing w:lineRule="auto" w:line="268" w:before="0" w:after="0"/>
        <w:ind w:left="0" w:right="0" w:firstLine="43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Benjamin Mlot </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Name: Benjamin Mlot</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[Lender Signatures Continued]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FIRST HORIZON BANK, </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as Lender</w:t>
      </w:r>
    </w:p>
    <w:p>
      <w:pPr>
        <w:pStyle w:val="TextBody"/>
        <w:spacing w:before="0" w:after="0"/>
        <w:rPr/>
      </w:pPr>
      <w:r>
        <w:rPr/>
      </w:r>
    </w:p>
    <w:p>
      <w:pPr>
        <w:pStyle w:val="TextBody"/>
        <w:spacing w:before="0" w:after="0"/>
        <w:rPr/>
      </w:pPr>
      <w:r>
        <w:rPr/>
      </w:r>
    </w:p>
    <w:p>
      <w:pPr>
        <w:pStyle w:val="TextBody"/>
        <w:spacing w:lineRule="auto" w:line="268" w:before="0" w:after="0"/>
        <w:ind w:left="0" w:right="0" w:firstLine="43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Robert C. Mason </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Name: Robert C. Mason</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[Lender Signatures Continued]</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FIRST NATIONAL BANK OF PENNSYLVANIA,</w: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Lender</w:t>
      </w:r>
    </w:p>
    <w:p>
      <w:pPr>
        <w:pStyle w:val="TextBody"/>
        <w:spacing w:before="0" w:after="0"/>
        <w:rPr/>
      </w:pPr>
      <w:r>
        <w:rPr/>
      </w:r>
    </w:p>
    <w:p>
      <w:pPr>
        <w:pStyle w:val="TextBody"/>
        <w:spacing w:before="0" w:after="0"/>
        <w:rPr/>
      </w:pPr>
      <w:r>
        <w:rPr/>
      </w:r>
    </w:p>
    <w:p>
      <w:pPr>
        <w:pStyle w:val="TextBody"/>
        <w:spacing w:lineRule="auto" w:line="268" w:before="0" w:after="0"/>
        <w:ind w:left="0" w:right="0" w:firstLine="43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Robert Weaver </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Name: Robert Weaver</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10.7</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SECOND AMENDMENT TO CREDIT AGREEMENT</w:t>
      </w:r>
    </w:p>
    <w:p>
      <w:pPr>
        <w:pStyle w:val="TextBody"/>
        <w:spacing w:before="0" w:after="0"/>
        <w:rPr/>
      </w:pPr>
      <w:r>
        <w:rPr/>
      </w:r>
    </w:p>
    <w:p>
      <w:pPr>
        <w:pStyle w:val="TextBody"/>
        <w:spacing w:before="0" w:after="0"/>
        <w:rPr/>
      </w:pPr>
      <w:r>
        <w:rPr/>
      </w:r>
    </w:p>
    <w:p>
      <w:pPr>
        <w:pStyle w:val="TextBody"/>
        <w:spacing w:lineRule="auto" w:line="288" w:before="0" w:after="240"/>
        <w:ind w:left="0" w:right="0" w:firstLine="720"/>
        <w:jc w:val="both"/>
        <w:rPr/>
      </w:pPr>
      <w:r>
        <w:rPr>
          <w:rFonts w:ascii="Times New Roman;sans-serif" w:hAnsi="Times New Roman;sans-serif"/>
          <w:b w:val="false"/>
          <w:color w:val="000000"/>
          <w:sz w:val="24"/>
        </w:rPr>
        <w:t>THIS SECOND AMENDMENT TO CREDIT AGREEMENT (this “Second Amendment”) is made and entered into as of the 18</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February 2022, by and among JAMES RIVER GROUP HOLDINGS, LTD., a Bermuda company, and JRG REINSURANCE COMPANY LTD., a regulated insurance company domiciled in Bermuda (each a “Borrower” and, collectively, the “Borrowers”), and BMO HARRIS BANK N.A., as Lender (“Lender”).</w:t>
      </w:r>
    </w:p>
    <w:p>
      <w:pPr>
        <w:pStyle w:val="TextBody"/>
        <w:spacing w:lineRule="auto" w:line="288" w:before="0" w:after="240"/>
        <w:jc w:val="center"/>
        <w:rPr/>
      </w:pPr>
      <w:r>
        <w:rPr>
          <w:rFonts w:ascii="Times New Roman;sans-serif" w:hAnsi="Times New Roman;sans-serif"/>
          <w:b w:val="false"/>
          <w:color w:val="000000"/>
          <w:sz w:val="24"/>
          <w:u w:val="single"/>
        </w:rPr>
        <w:t>Recitals</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A.    The Borrowers and the Lender are the parties to that certain Credit Agreement dated as of August 2, 2017 (as amended by the First Amendment dated as of November 8, 2019 and as otherwise previously amended, supplemented or otherwise modified, the “Credit Agreement”), pursuant to which, </w:t>
      </w:r>
      <w:r>
        <w:rPr>
          <w:rFonts w:ascii="Times New Roman;sans-serif" w:hAnsi="Times New Roman;sans-serif"/>
          <w:b w:val="false"/>
          <w:color w:val="000000"/>
          <w:sz w:val="24"/>
          <w:u w:val="single"/>
        </w:rPr>
        <w:t>inter</w:t>
      </w:r>
      <w:r>
        <w:rPr>
          <w:color w:val="000000"/>
        </w:rPr>
        <w:t xml:space="preserve"> </w:t>
      </w:r>
      <w:r>
        <w:rPr>
          <w:rFonts w:ascii="Times New Roman;sans-serif" w:hAnsi="Times New Roman;sans-serif"/>
          <w:b w:val="false"/>
          <w:color w:val="000000"/>
          <w:sz w:val="24"/>
          <w:u w:val="single"/>
        </w:rPr>
        <w:t>alia</w:t>
      </w:r>
      <w:r>
        <w:rPr>
          <w:rFonts w:ascii="Times New Roman;sans-serif" w:hAnsi="Times New Roman;sans-serif"/>
          <w:b w:val="false"/>
          <w:color w:val="000000"/>
          <w:sz w:val="24"/>
        </w:rPr>
        <w:t>, the Lender agreed, subject to the terms and conditions thereof, to advance Loans to the Borrowers and to issue Letters of Credit.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Parent intends to issue preferred equity in an amount not to exceed $150,000,000.</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Borrowers have requested the Lenders to agree to certain amendments to the Credit Agreement to accommodate the issuance of the preferred equity; and upon and subject to the terms and conditions of this Second Amendment, the Lender has agreed with such request.</w:t>
      </w:r>
    </w:p>
    <w:p>
      <w:pPr>
        <w:pStyle w:val="TextBody"/>
        <w:spacing w:before="0" w:after="120"/>
        <w:rPr/>
      </w:pPr>
      <w:r>
        <w:rPr/>
      </w:r>
    </w:p>
    <w:p>
      <w:pPr>
        <w:pStyle w:val="TextBody"/>
        <w:spacing w:lineRule="auto" w:line="288" w:before="0" w:after="120"/>
        <w:jc w:val="center"/>
        <w:rPr/>
      </w:pPr>
      <w:r>
        <w:rPr>
          <w:rFonts w:ascii="Times New Roman;sans-serif" w:hAnsi="Times New Roman;sans-serif"/>
          <w:b w:val="false"/>
          <w:color w:val="000000"/>
          <w:sz w:val="24"/>
          <w:u w:val="single"/>
        </w:rPr>
        <w:t>Agreements</w:t>
      </w:r>
      <w:r>
        <w:rPr>
          <w:rFonts w:ascii="Times New Roman;sans-serif" w:hAnsi="Times New Roman;sans-serif"/>
          <w:b w:val="false"/>
          <w:color w:val="000000"/>
          <w:sz w:val="24"/>
        </w:rPr>
        <w:t>:</w:t>
      </w:r>
    </w:p>
    <w:p>
      <w:pPr>
        <w:pStyle w:val="TextBody"/>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Recitals and the mutual agreements hereinafter set forth, the Borrowers and the Lender intending to be legally bound, hereby agree as follows:</w:t>
      </w:r>
    </w:p>
    <w:p>
      <w:pPr>
        <w:pStyle w:val="TextBody"/>
        <w:spacing w:lineRule="auto" w:line="288" w:before="0" w:after="240"/>
        <w:ind w:left="0" w:right="0" w:firstLine="72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 Interpretation</w:t>
      </w:r>
      <w:r>
        <w:rPr>
          <w:rFonts w:ascii="Times New Roman;sans-serif" w:hAnsi="Times New Roman;sans-serif"/>
          <w:b w:val="false"/>
          <w:color w:val="000000"/>
          <w:sz w:val="24"/>
        </w:rPr>
        <w: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Terms Defined in Credit Agreement. All capitalized terms used in this Second Amendment (including in the recitals hereof) and not otherwise defined herein shall have the meanings assigned to them in the Credit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Interpretation. The rules of interpretation set forth in Section 1.03 of the Credit Agreement shall be applicable to this Second Amendment and are incorporated herein by this reference.</w:t>
      </w:r>
    </w:p>
    <w:p>
      <w:pPr>
        <w:pStyle w:val="TextBody"/>
        <w:spacing w:lineRule="auto" w:line="288"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Amendments to the Credit Agreement</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(a)    Upon satisfaction of the conditions set forth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hereof, the Credit Agreement is hereby amended as follows: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definition of the term “Current Redeemable Equity” in Section 1.01 of the Credit Agreement is hereby amended and restated in its entirety to provide as follows:</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Current Redeemable Equity”</w:t>
      </w:r>
      <w:r>
        <w:rPr>
          <w:color w:val="000000"/>
        </w:rPr>
        <w:t xml:space="preserve"> </w:t>
      </w:r>
      <w:r>
        <w:rPr>
          <w:rFonts w:ascii="Times New Roman;sans-serif" w:hAnsi="Times New Roman;sans-serif"/>
          <w:b w:val="false"/>
          <w:color w:val="000000"/>
          <w:sz w:val="24"/>
        </w:rPr>
        <w:t xml:space="preserve">means any preferred stock or other preferred Equity Interests, which in either case, by its terms or upon the happening of any event or condition, is subject to mandatory redemption (except as a result of a change of control or asset sale so long as any rights to payment of the holders thereof upon the occurrence of a </w:t>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change of control or asset sale event shall be subject to the prior repayment in full of the Loans and all other obligations that are accrued and payable under this Agreement or any other Loan Document and the termination of the Commitments) at any time prior to November 8, 2025 (as it exists on any date of determination)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Section 1.01 of the Credit Agreement is hereby amended by adding the following definition in the correct alphabetical order:</w:t>
      </w:r>
    </w:p>
    <w:p>
      <w:pPr>
        <w:pStyle w:val="TextBody"/>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4"/>
        </w:rPr>
        <w:t xml:space="preserve">2022 Preferred Equity” means the preferred equity issued by Parent in February 2022 for an aggregate issuance price of up to $150,000,000.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Section 6.01(a) of the Credit Agreement is hereby amended by (x) deleting the word “and” at the end of subsection (viii) thereof; (y) amending and restating subsection (ix) thereof in its entirety to provide as follows: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(ix)    additional Debt (excluding the 2022 Preferred Equity) not to exceed $100,000,000 in aggregate principal amount at any time outstanding as to the Parent and its Subsidiaries on a Consolidated basis;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Subsidiary Debt Amount shall not at any time exceed an amount equal to $10,000,000,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Guarantor Guaranteed Amount at such time; and</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(z) adding a new subsection (x) thereof which shall provide as follows:</w:t>
      </w:r>
    </w:p>
    <w:p>
      <w:pPr>
        <w:pStyle w:val="TextBody"/>
        <w:spacing w:lineRule="auto" w:line="288" w:before="0" w:after="24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(x)     the 2022 Preferred Equity.</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(b)    Upon satisfaction of the conditions set forth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hereof, each reference in the Credit Agreement to “this Agreement” and the words “hereof,” “herein,” “hereunder,” or words of like import, shall mean and be a reference to the Credit Agreement as further amended by this Second Amendment.</w:t>
      </w:r>
    </w:p>
    <w:p>
      <w:pPr>
        <w:pStyle w:val="TextBody"/>
        <w:spacing w:lineRule="auto" w:line="288"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Amendment Effective Date; Conditions Precedent</w:t>
      </w:r>
      <w:r>
        <w:rPr>
          <w:rFonts w:ascii="Times New Roman;sans-serif" w:hAnsi="Times New Roman;sans-serif"/>
          <w:b w:val="false"/>
          <w:color w:val="000000"/>
          <w:sz w:val="24"/>
        </w:rPr>
        <w:t>. The amendments set forth in Section 2, above, shall not be effective unless and until the date on which all of the following conditions precedent have been satisfied (such date of effectiveness being the “Second Amendment Effective Date”):</w:t>
      </w:r>
    </w:p>
    <w:p>
      <w:pPr>
        <w:pStyle w:val="TextBody"/>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Borrowers’ Certifications</w:t>
      </w:r>
      <w:r>
        <w:rPr>
          <w:rFonts w:ascii="Times New Roman;sans-serif" w:hAnsi="Times New Roman;sans-serif"/>
          <w:b w:val="false"/>
          <w:color w:val="000000"/>
          <w:sz w:val="24"/>
        </w:rPr>
        <w:t>. On the Second Amendment Effective Date, after giving effect to the amendments set forth in Paragraph 2, above, the Borrowers hereby certify that (i) no Default exists, (ii) the representations and warranties of the Borrowers under Article 3 of the Credit Agreement are true and correct in all material respects as of the Second Amendment Effective Date (unless and to the extent that any such representation and warranty is stated to relate solely to an earlier date, in which case such representation and warranty shall have been true and correct in all material respects as of such earlier date), (iii) the execution, delivery and performance of this Second Amendment has been authorized by all necessary corporate or company action, and (iv) the Regulatory Condition Satisfaction remains effective.</w:t>
      </w:r>
    </w:p>
    <w:p>
      <w:pPr>
        <w:pStyle w:val="TextBody"/>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Second Amendment</w:t>
      </w:r>
      <w:r>
        <w:rPr>
          <w:rFonts w:ascii="Times New Roman;sans-serif" w:hAnsi="Times New Roman;sans-serif"/>
          <w:b w:val="false"/>
          <w:color w:val="000000"/>
          <w:sz w:val="24"/>
        </w:rPr>
        <w:t>. The Lender shall have received from each Borrower a counterpart of this Second Amendment signed on behalf of such party.</w:t>
      </w:r>
    </w:p>
    <w:p>
      <w:pPr>
        <w:pStyle w:val="TextBody"/>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Guarantor Confirmations</w:t>
      </w:r>
      <w:r>
        <w:rPr>
          <w:rFonts w:ascii="Times New Roman;sans-serif" w:hAnsi="Times New Roman;sans-serif"/>
          <w:b w:val="false"/>
          <w:color w:val="000000"/>
          <w:sz w:val="24"/>
        </w:rPr>
        <w:t>. James River shall have executed and delivered to the Lender a confirmation of its Payment Guaranty in form and substance reasonably satisfactory to the Lender.</w:t>
      </w:r>
    </w:p>
    <w:p>
      <w:pPr>
        <w:pStyle w:val="TextBody"/>
        <w:spacing w:lineRule="auto" w:line="288"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Fees and Expenses</w:t>
      </w:r>
      <w:r>
        <w:rPr>
          <w:rFonts w:ascii="Times New Roman;sans-serif" w:hAnsi="Times New Roman;sans-serif"/>
          <w:b w:val="false"/>
          <w:color w:val="000000"/>
          <w:sz w:val="24"/>
        </w:rPr>
        <w:t xml:space="preserve">. The Borrowers shall have paid or caused to be paid to the Lender all fees and other amounts due and payable on or prior to the Second Amendment Effective Date, including, </w:t>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invoiced, reimbursement or payment of all reasonable out-of-pocket expenses (including reasonable and documented fees, charges and disbursements of counsel to the Lender) required to be reimbursed or paid by the Borrowers hereunder or under any other Loan Document.</w:t>
      </w:r>
    </w:p>
    <w:p>
      <w:pPr>
        <w:pStyle w:val="TextBody"/>
        <w:spacing w:lineRule="auto" w:line="288"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No Other Modifications</w:t>
      </w:r>
      <w:r>
        <w:rPr>
          <w:rFonts w:ascii="Times New Roman;sans-serif" w:hAnsi="Times New Roman;sans-serif"/>
          <w:b w:val="false"/>
          <w:color w:val="000000"/>
          <w:sz w:val="24"/>
        </w:rPr>
        <w:t>. Except as expressly provided in this Second Amendment, all of the terms and conditions of the Credit Agreement and the other Loan Documents remain unchanged and in full force and effect.</w:t>
      </w:r>
    </w:p>
    <w:p>
      <w:pPr>
        <w:pStyle w:val="TextBody"/>
        <w:spacing w:lineRule="auto" w:line="288"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Confirmation of Obligations</w:t>
      </w:r>
      <w:r>
        <w:rPr>
          <w:rFonts w:ascii="Times New Roman;sans-serif" w:hAnsi="Times New Roman;sans-serif"/>
          <w:b w:val="false"/>
          <w:color w:val="000000"/>
          <w:sz w:val="24"/>
        </w:rPr>
        <w:t>. Each Borrower hereby affirms as of the date hereof all of its respective Debt and other obligations to the Lender under and pursuant to the Credit Agreement and each of the other Loan Documents and that such Debt and other obligations are owed to the Lender according to their respective terms. Each Borrower hereby affirms as of the date hereof that there are no claims or defenses to the enforcement by the Lender of the Debt and other obligations of such Borrower to it under and pursuant to the Credit Agreement or any of the other Loan Documents.</w:t>
      </w:r>
    </w:p>
    <w:p>
      <w:pPr>
        <w:pStyle w:val="TextBody"/>
        <w:spacing w:lineRule="auto" w:line="288"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Governing Law; Binding Effect</w:t>
      </w:r>
      <w:r>
        <w:rPr>
          <w:rFonts w:ascii="Times New Roman;sans-serif" w:hAnsi="Times New Roman;sans-serif"/>
          <w:b w:val="false"/>
          <w:color w:val="000000"/>
          <w:sz w:val="24"/>
        </w:rPr>
        <w:t>. THIS SECOND AMENDMENT SHALL BE GOVERNED BY AND CONSTRUED IN ACCORDANCE WITH THE LAWS OF THE STATE OF NEW YORK.</w:t>
      </w:r>
    </w:p>
    <w:p>
      <w:pPr>
        <w:pStyle w:val="TextBody"/>
        <w:spacing w:lineRule="auto" w:line="288"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Second Amendment may be executed in any number of counterparts, each of which when so executed shall be deemed to be an original, but all such counterparts shall constitute one and the same instrument, and all signatures need not appear on any one counterpart. Any party hereto may execute and deliver a counterpart of this Second Amendment by delivering by facsimile or email transmission a signature page of this Second Amendment signed by such party, and any such facsimile or email signature shall be treated in all respects as having the same effect as an original signature. Any party delivering by facsimile or email transmission a counterpart executed by it shall promptly thereafter also deliver a manually signed counterpart of this Second Amendment.</w:t>
      </w:r>
    </w:p>
    <w:p>
      <w:pPr>
        <w:pStyle w:val="TextBody"/>
        <w:spacing w:lineRule="auto" w:line="288"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Upon the effectiveness of this Second Amendment, this Second Amendment shall be a Loan Document.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invalidity, illegality, or unenforceability of any provision in or obligation under this Second Amendment in any jurisdiction shall not affect or impair the validity, legality, or enforceability of the remaining provisions or obligations under this Second Amendment or of such provision or obligation in any other jurisdiction.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This Second Amendment and all other agreements and documents executed in connection herewith have been prepared through the joint efforts of all of the parties. Neither the provisions of this Second Amendment or any such other agreements and documents nor any alleged ambiguity shall be interpreted or resolved against any party on the ground that such party’s counsel drafted this Second Amendment or such other agreements and documents, or based on any other rule of strict construction. Each of the parties hereto represents and declares that such party has carefully read this Second Amendment and all other agreements and documents executed in connection herewith and therewith, and that such party knows the contents thereof and signs the same freely and voluntarily. The parties hereby acknowledge that they have been represented by legal counsel of their own choosing in negotiations for and preparation of this Second Amendment and all other agreements and documents executed in connection therewith and that each of them has read the same and had their contents fully explained by such counsel and is fully aware of their contents and legal effect.</w:t>
      </w:r>
      <w:r>
        <w:br w:type="page"/>
      </w: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obligations of the Borrowers hereunder are joint and several, all as more fully set forth in Article 10 of the Credit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Section headings herein are for convenience of reference only, are not part of this Second Amendment and shall not affect the construction of, or be taken into consideration in interpreting, this Second Amendment.</w:t>
      </w:r>
    </w:p>
    <w:p>
      <w:pPr>
        <w:pStyle w:val="TextBody"/>
        <w:spacing w:lineRule="auto" w:line="288" w:before="0" w:after="24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EACH PARTY HERETO WAIVES, TO THE FULLEST EXTENT PERMITTED BY APPLICABLE LAW, ANY RIGHT IT MAY HAVE TO A TRIAL BY JURY IN ANY LEGAL PROCEEDING DIRECTLY OR INDIRECTLY ARISING OUT OF OR RELATING TO THIS SECOND AMENDMENT AND ANY LOAN DOCUMENT OR ANY TRANSACTION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spacing w:before="0" w:after="120"/>
        <w:rPr/>
      </w:pPr>
      <w:r>
        <w:rPr/>
      </w:r>
    </w:p>
    <w:p>
      <w:pPr>
        <w:pStyle w:val="TextBody"/>
        <w:spacing w:lineRule="auto" w:line="288" w:before="0" w:after="120"/>
        <w:ind w:left="0" w:right="0" w:firstLine="90"/>
        <w:jc w:val="center"/>
        <w:rPr>
          <w:rFonts w:ascii="Times New Roman;sans-serif" w:hAnsi="Times New Roman;sans-serif"/>
          <w:b w:val="false"/>
          <w:color w:val="000000"/>
          <w:sz w:val="24"/>
        </w:rPr>
      </w:pPr>
      <w:r>
        <w:rPr>
          <w:rFonts w:ascii="Times New Roman;sans-serif" w:hAnsi="Times New Roman;sans-serif"/>
          <w:b w:val="false"/>
          <w:color w:val="000000"/>
          <w:sz w:val="24"/>
        </w:rPr>
        <w:t>[No additional provisions are on this page; the page next following is the signature page.]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the Borrowers and the Lender have hereunto set their hands as of the date first above written.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BORROWERS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JAMES RIVER GROUP HOLDINGS, LTD.</w:t>
      </w:r>
    </w:p>
    <w:p>
      <w:pPr>
        <w:pStyle w:val="TextBody"/>
        <w:spacing w:before="0" w:after="0"/>
        <w:rPr/>
      </w:pPr>
      <w:r>
        <w:rPr/>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Sarah Doran </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Name: Sarah Doran</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JRG REINSURANCE COMPANY LTD.</w:t>
      </w:r>
    </w:p>
    <w:p>
      <w:pPr>
        <w:pStyle w:val="TextBody"/>
        <w:spacing w:before="0" w:after="0"/>
        <w:rPr/>
      </w:pPr>
      <w:r>
        <w:rPr/>
      </w:r>
    </w:p>
    <w:p>
      <w:pPr>
        <w:pStyle w:val="TextBody"/>
        <w:spacing w:before="0" w:after="0"/>
        <w:rPr/>
      </w:pPr>
      <w:r>
        <w:rPr/>
      </w:r>
    </w:p>
    <w:p>
      <w:pPr>
        <w:pStyle w:val="TextBody"/>
        <w:spacing w:lineRule="auto" w:line="268" w:before="0" w:after="0"/>
        <w:ind w:left="0" w:right="0" w:firstLine="432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Allan Defante </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Name: Allan Defante</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LENDER</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BMO HARRIS BANK N.A.</w:t>
      </w:r>
    </w:p>
    <w:p>
      <w:pPr>
        <w:pStyle w:val="TextBody"/>
        <w:spacing w:before="0" w:after="0"/>
        <w:rPr/>
      </w:pPr>
      <w:r>
        <w:rPr/>
      </w:r>
    </w:p>
    <w:p>
      <w:pPr>
        <w:pStyle w:val="TextBody"/>
        <w:spacing w:before="0" w:after="0"/>
        <w:rPr/>
      </w:pPr>
      <w:r>
        <w:rPr/>
      </w:r>
    </w:p>
    <w:p>
      <w:pPr>
        <w:pStyle w:val="TextBody"/>
        <w:spacing w:lineRule="auto" w:line="268" w:before="0" w:after="0"/>
        <w:ind w:left="0" w:right="0" w:firstLine="43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Benjamin Mlot </w:t>
      </w:r>
    </w:p>
    <w:p>
      <w:pPr>
        <w:pStyle w:val="TextBody"/>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Name: Benjamin Mlot</w:t>
      </w:r>
    </w:p>
    <w:p>
      <w:pPr>
        <w:pStyle w:val="TextBody"/>
        <w:spacing w:lineRule="auto" w:line="268"/>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JAMES RIVER GROUP HOLDINGS, LTD. </w:t>
      </w:r>
    </w:p>
    <w:p>
      <w:pPr>
        <w:pStyle w:val="TextBody"/>
        <w:spacing w:lineRule="auto" w:line="288" w:before="0" w:after="0"/>
        <w:rPr>
          <w:color w:val="000000"/>
        </w:rPr>
      </w:pPr>
      <w:r>
        <w:rPr>
          <w:color w:val="000000"/>
        </w:rPr>
        <w:t> </w:t>
      </w:r>
    </w:p>
    <w:tbl>
      <w:tblPr>
        <w:tblW w:w="8275" w:type="dxa"/>
        <w:jc w:val="center"/>
        <w:tblInd w:w="0" w:type="dxa"/>
        <w:tblCellMar>
          <w:top w:w="28" w:type="dxa"/>
          <w:left w:w="28" w:type="dxa"/>
          <w:bottom w:w="28" w:type="dxa"/>
          <w:right w:w="28" w:type="dxa"/>
        </w:tblCellMar>
      </w:tblPr>
      <w:tblGrid>
        <w:gridCol w:w="1493"/>
        <w:gridCol w:w="1314"/>
        <w:gridCol w:w="1317"/>
        <w:gridCol w:w="109"/>
        <w:gridCol w:w="109"/>
        <w:gridCol w:w="109"/>
        <w:gridCol w:w="1118"/>
        <w:gridCol w:w="1118"/>
        <w:gridCol w:w="1588"/>
      </w:tblGrid>
      <w:tr>
        <w:trPr/>
        <w:tc>
          <w:tcPr>
            <w:tcW w:w="1493"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Formation</w:t>
            </w:r>
          </w:p>
        </w:tc>
      </w:tr>
      <w:tr>
        <w:trPr/>
        <w:tc>
          <w:tcPr>
            <w:tcW w:w="4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Carolina Re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Falls Lake Fire and Casualty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Falls Lake Insurance Management Company,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Falls Lake National Insurance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Franklin Holdings II (Bermuda) Capital Trust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Casualty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UK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Insurance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Management Company,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Richmond Real Estate,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JRG Reinsurance Company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TPA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Stonewood Insurance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bl>
    <w:p>
      <w:pPr>
        <w:pStyle w:val="TextBody"/>
        <w:spacing w:lineRule="auto" w:line="288"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tbl>
      <w:tblPr>
        <w:tblW w:w="10205" w:type="dxa"/>
        <w:jc w:val="left"/>
        <w:tblInd w:w="0" w:type="dxa"/>
        <w:tblCellMar>
          <w:top w:w="28" w:type="dxa"/>
          <w:left w:w="28" w:type="dxa"/>
          <w:bottom w:w="28" w:type="dxa"/>
          <w:right w:w="28" w:type="dxa"/>
        </w:tblCellMar>
      </w:tblPr>
      <w:tblGrid>
        <w:gridCol w:w="163"/>
        <w:gridCol w:w="144"/>
        <w:gridCol w:w="109"/>
        <w:gridCol w:w="109"/>
        <w:gridCol w:w="109"/>
        <w:gridCol w:w="109"/>
        <w:gridCol w:w="2868"/>
        <w:gridCol w:w="2724"/>
        <w:gridCol w:w="3870"/>
      </w:tblGrid>
      <w:tr>
        <w:trPr/>
        <w:tc>
          <w:tcPr>
            <w:tcW w:w="16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870" w:type="dxa"/>
            <w:tcBorders/>
            <w:shd w:fill="auto" w:val="clear"/>
            <w:vAlign w:val="center"/>
          </w:tcPr>
          <w:p>
            <w:pPr>
              <w:pStyle w:val="TableContents"/>
              <w:spacing w:before="0" w:after="283"/>
              <w:rPr>
                <w:sz w:val="4"/>
                <w:szCs w:val="4"/>
              </w:rPr>
            </w:pPr>
            <w:r>
              <w:rPr>
                <w:sz w:val="4"/>
                <w:szCs w:val="4"/>
              </w:rPr>
            </w:r>
          </w:p>
        </w:tc>
      </w:tr>
      <w:tr>
        <w:trPr/>
        <w:tc>
          <w:tcPr>
            <w:tcW w:w="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Registration Statement (Form S-3 No. 333-255789) of James River Group Holdings, Ltd., and</w:t>
            </w:r>
          </w:p>
        </w:tc>
      </w:tr>
      <w:tr>
        <w:trPr/>
        <w:tc>
          <w:tcPr>
            <w:tcW w:w="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(Form S-8 Nos. 333-200995, 333-217743, and 333-231200) pertaining to the Amended and Restated Equity Incentive Plan, 2014 Long-Term Incentive Plan, as amended, and 2014 Non-Employee Director Incentive Plan, as amended, of James River Group Holdings, Ltd.;</w:t>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of our reports dated March 1, 2022, with respect to the consolidated financial statements and schedules of James River Group Holdings, Ltd. and the effectiveness of internal control over financial reporting of James River Group Holdings, Ltd. included in this Annual Report (Form 10-K) of James River Group Holdings, Ltd. for the year ended December 31, 2021.</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March 1,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 Frank N. D'Orazio, certify that: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James River Group Holdings, Ltd.;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March 1, 2022</w:t>
      </w:r>
    </w:p>
    <w:p>
      <w:pPr>
        <w:pStyle w:val="TextBody"/>
        <w:spacing w:lineRule="auto" w:line="288" w:before="0" w:after="0"/>
        <w:rPr>
          <w:color w:val="000000"/>
        </w:rPr>
      </w:pPr>
      <w:r>
        <w:rPr>
          <w:color w:val="000000"/>
        </w:rPr>
        <w:t> </w:t>
      </w:r>
    </w:p>
    <w:tbl>
      <w:tblPr>
        <w:tblW w:w="2816" w:type="dxa"/>
        <w:jc w:val="center"/>
        <w:tblInd w:w="0" w:type="dxa"/>
        <w:tblCellMar>
          <w:top w:w="28" w:type="dxa"/>
          <w:left w:w="28" w:type="dxa"/>
          <w:bottom w:w="28" w:type="dxa"/>
          <w:right w:w="28" w:type="dxa"/>
        </w:tblCellMar>
      </w:tblPr>
      <w:tblGrid>
        <w:gridCol w:w="884"/>
        <w:gridCol w:w="779"/>
        <w:gridCol w:w="781"/>
        <w:gridCol w:w="109"/>
        <w:gridCol w:w="109"/>
        <w:gridCol w:w="154"/>
      </w:tblGrid>
      <w:tr>
        <w:trPr/>
        <w:tc>
          <w:tcPr>
            <w:tcW w:w="884"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 Sarah C. Doran, certify that: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James River Group Holdings, Ltd.;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March 1, 2022</w:t>
      </w:r>
    </w:p>
    <w:tbl>
      <w:tblPr>
        <w:tblW w:w="2757" w:type="dxa"/>
        <w:jc w:val="center"/>
        <w:tblInd w:w="0" w:type="dxa"/>
        <w:tblCellMar>
          <w:top w:w="28" w:type="dxa"/>
          <w:left w:w="28" w:type="dxa"/>
          <w:bottom w:w="28" w:type="dxa"/>
          <w:right w:w="28" w:type="dxa"/>
        </w:tblCellMar>
      </w:tblPr>
      <w:tblGrid>
        <w:gridCol w:w="863"/>
        <w:gridCol w:w="759"/>
        <w:gridCol w:w="763"/>
        <w:gridCol w:w="109"/>
        <w:gridCol w:w="109"/>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rPr>
          <w:color w:val="000000"/>
        </w:rPr>
      </w:pPr>
      <w:r>
        <w:rPr>
          <w:color w:val="000000"/>
        </w:rPr>
        <w:t> </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James River Group Holdings, Ltd. (the “Company”) on Form 10-K for the period ended December 31, 2021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spacing w:lineRule="auto" w:line="288" w:before="120" w:after="120"/>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spacing w:lineRule="auto" w:line="288" w:before="12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2816" w:type="dxa"/>
        <w:jc w:val="center"/>
        <w:tblInd w:w="0" w:type="dxa"/>
        <w:tblCellMar>
          <w:top w:w="28" w:type="dxa"/>
          <w:left w:w="28" w:type="dxa"/>
          <w:bottom w:w="28" w:type="dxa"/>
          <w:right w:w="28" w:type="dxa"/>
        </w:tblCellMar>
      </w:tblPr>
      <w:tblGrid>
        <w:gridCol w:w="124"/>
        <w:gridCol w:w="109"/>
        <w:gridCol w:w="109"/>
        <w:gridCol w:w="722"/>
        <w:gridCol w:w="722"/>
        <w:gridCol w:w="10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620459/000157104914005924/t1401933_ex3-1.htm" TargetMode="External"/><Relationship Id="rId6" Type="http://schemas.openxmlformats.org/officeDocument/2006/relationships/hyperlink" Target="http://www.sec.gov/Archives/edgar/data/1620459/000157104914005924/t1401933_ex3-2.htm" TargetMode="External"/><Relationship Id="rId7" Type="http://schemas.openxmlformats.org/officeDocument/2006/relationships/hyperlink" Target="http://www.sec.gov/Archives/edgar/data/1620459/000157104914005924/t1401933_ex3-3.htm" TargetMode="External"/><Relationship Id="rId8" Type="http://schemas.openxmlformats.org/officeDocument/2006/relationships/hyperlink" Target="http://www.sec.gov/Archives/edgar/data/1620459/000157104914005924/t1401933_ex3-4.htm" TargetMode="External"/><Relationship Id="rId9" Type="http://schemas.openxmlformats.org/officeDocument/2006/relationships/hyperlink" Target="http://www.sec.gov/Archives/edgar/data/1620459/000157104914005924/t1401933_ex3-5.htm" TargetMode="External"/><Relationship Id="rId10" Type="http://schemas.openxmlformats.org/officeDocument/2006/relationships/hyperlink" Target="http://www.sec.gov/Archives/edgar/data/1620459/000157104915001874/t1500493_ex3-6.htm" TargetMode="External"/><Relationship Id="rId11" Type="http://schemas.openxmlformats.org/officeDocument/2006/relationships/hyperlink" Target="http://www.sec.gov/Archives/edgar/data/1620459/000157104914007101/t1402404_ex4-1.htm" TargetMode="External"/><Relationship Id="rId12" Type="http://schemas.openxmlformats.org/officeDocument/2006/relationships/hyperlink" Target="https://www.sec.gov/Archives/edgar/data/1620459/000162045920000061/jrvrex41812312019.htm" TargetMode="External"/><Relationship Id="rId13" Type="http://schemas.openxmlformats.org/officeDocument/2006/relationships/hyperlink" Target="http://www.sec.gov/Archives/edgar/data/1620459/000110465919061877/tm1922373d1_ex10-1.htm" TargetMode="External"/><Relationship Id="rId14" Type="http://schemas.openxmlformats.org/officeDocument/2006/relationships/hyperlink" Target="http://www.sec.gov/Archives/edgar/data/1620459/000157104914005924/t1401933_ex10-2.htm" TargetMode="External"/><Relationship Id="rId15" Type="http://schemas.openxmlformats.org/officeDocument/2006/relationships/hyperlink" Target="http://www.sec.gov/Archives/edgar/data/1620459/000157104916012907/t1600530_ex10-5.htm" TargetMode="External"/><Relationship Id="rId16" Type="http://schemas.openxmlformats.org/officeDocument/2006/relationships/hyperlink" Target="http://www.sec.gov/Archives/edgar/data/1620459/000157104917007192/t1702273_ex10-1.htm" TargetMode="External"/><Relationship Id="rId17" Type="http://schemas.openxmlformats.org/officeDocument/2006/relationships/hyperlink" Target="http://www.sec.gov/Archives/edgar/data/1620459/000110465919061877/tm1922373d1_ex10-2.htm" TargetMode="External"/><Relationship Id="rId18" Type="http://schemas.openxmlformats.org/officeDocument/2006/relationships/hyperlink" Target="http://www.sec.gov/Archives/edgar/data/1620459/000157104917007192/t1702273_ex10-2.htm" TargetMode="External"/><Relationship Id="rId19" Type="http://schemas.openxmlformats.org/officeDocument/2006/relationships/hyperlink" Target="http://www.sec.gov/Archives/edgar/data/1620459/000157104914006789/t1402136_ex10-7.htm" TargetMode="External"/><Relationship Id="rId20" Type="http://schemas.openxmlformats.org/officeDocument/2006/relationships/hyperlink" Target="http://www.sec.gov/Archives/edgar/data/1620459/000157104914005924/t1401933_ex10-8.htm" TargetMode="External"/><Relationship Id="rId21" Type="http://schemas.openxmlformats.org/officeDocument/2006/relationships/hyperlink" Target="http://www.sec.gov/Archives/edgar/data/1620459/000157104914005924/t1401933_ex10-9.htm" TargetMode="External"/><Relationship Id="rId22" Type="http://schemas.openxmlformats.org/officeDocument/2006/relationships/hyperlink" Target="http://www.sec.gov/Archives/edgar/data/1620459/000157104914006789/t1402136_ex10-10.htm" TargetMode="External"/><Relationship Id="rId23" Type="http://schemas.openxmlformats.org/officeDocument/2006/relationships/hyperlink" Target="http://www.sec.gov/Archives/edgar/data/1620459/000157104914006789/t1402136_ex10-11.htm" TargetMode="External"/><Relationship Id="rId24" Type="http://schemas.openxmlformats.org/officeDocument/2006/relationships/hyperlink" Target="http://www.sec.gov/Archives/edgar/data/1620459/000157104917004403/t1701376_ex10-1.htm" TargetMode="External"/><Relationship Id="rId25" Type="http://schemas.openxmlformats.org/officeDocument/2006/relationships/hyperlink" Target="http://www.sec.gov/Archives/edgar/data/1620459/000157104914006789/t1402136_ex10-12.htm" TargetMode="External"/><Relationship Id="rId26" Type="http://schemas.openxmlformats.org/officeDocument/2006/relationships/hyperlink" Target="http://www.sec.gov/Archives/edgar/data/1620459/000157104914006789/t1402136_ex10-13.htm" TargetMode="External"/><Relationship Id="rId27" Type="http://schemas.openxmlformats.org/officeDocument/2006/relationships/hyperlink" Target="http://www.sec.gov/Archives/edgar/data/1620459/000157104914007101/t1402404_ex10-14.htm" TargetMode="External"/><Relationship Id="rId28" Type="http://schemas.openxmlformats.org/officeDocument/2006/relationships/hyperlink" Target="http://www.sec.gov/Archives/edgar/data/1620459/000157104914006789/t1402136_ex10-15.htm" TargetMode="External"/><Relationship Id="rId29" Type="http://schemas.openxmlformats.org/officeDocument/2006/relationships/hyperlink" Target="http://www.sec.gov/Archives/edgar/data/1620459/000162045919000057/ex101-planamendment.htm" TargetMode="External"/><Relationship Id="rId30" Type="http://schemas.openxmlformats.org/officeDocument/2006/relationships/hyperlink" Target="http://www.sec.gov/Archives/edgar/data/1620459/000157104914006789/t1402136_ex10-16.htm" TargetMode="External"/><Relationship Id="rId31" Type="http://schemas.openxmlformats.org/officeDocument/2006/relationships/hyperlink" Target="http://www.sec.gov/Archives/edgar/data/1620459/000157104914007101/t1402404_ex10-17.htm" TargetMode="External"/><Relationship Id="rId32" Type="http://schemas.openxmlformats.org/officeDocument/2006/relationships/hyperlink" Target="http://www.sec.gov/Archives/edgar/data/1620459/000157104914006789/t1402136_ex10-18.htm" TargetMode="External"/><Relationship Id="rId33" Type="http://schemas.openxmlformats.org/officeDocument/2006/relationships/hyperlink" Target="https://www.sec.gov/Archives/edgar/data/1620459/000162045920000095/exhibit101-employmentagree.htm" TargetMode="External"/><Relationship Id="rId34" Type="http://schemas.openxmlformats.org/officeDocument/2006/relationships/hyperlink" Target="https://www.sec.gov/Archives/edgar/data/1620459/000162045920000095/exhibit102-separationa.htm" TargetMode="External"/><Relationship Id="rId35" Type="http://schemas.openxmlformats.org/officeDocument/2006/relationships/hyperlink" Target="https://www.sec.gov/Archives/edgar/data/0001620459/000162045921000074/jrvrex101myronseparationag.htm" TargetMode="External"/><Relationship Id="rId36" Type="http://schemas.openxmlformats.org/officeDocument/2006/relationships/hyperlink" Target="http://www.sec.gov/Archives/edgar/data/1620459/000157104916020824/t1603123_ex10-1.htm" TargetMode="External"/><Relationship Id="rId37" Type="http://schemas.openxmlformats.org/officeDocument/2006/relationships/hyperlink" Target="http://www.sec.gov/Archives/edgar/data/1620459/000162828018013981/jrvrex10109302018.htm" TargetMode="External"/><Relationship Id="rId38" Type="http://schemas.openxmlformats.org/officeDocument/2006/relationships/hyperlink" Target="http://www.sec.gov/Archives/edgar/data/1620459/000162828018002654/jrvrex102212312017.htm" TargetMode="External"/><Relationship Id="rId39" Type="http://schemas.openxmlformats.org/officeDocument/2006/relationships/hyperlink" Target="http://www.sec.gov/Archives/edgar/data/1620459/000157104914006789/t1402136_ex10-22.htm" TargetMode="External"/><Relationship Id="rId40" Type="http://schemas.openxmlformats.org/officeDocument/2006/relationships/hyperlink" Target="http://www.sec.gov/Archives/edgar/data/1620459/000162045919000052/jrvrex103012312018.htm" TargetMode="External"/><Relationship Id="rId41" Type="http://schemas.openxmlformats.org/officeDocument/2006/relationships/hyperlink" Target="http://www.sec.gov/Archives/edgar/data/1620459/000162045919000052/jrvrex103112312018.htm" TargetMode="External"/><Relationship Id="rId42" Type="http://schemas.openxmlformats.org/officeDocument/2006/relationships/hyperlink" Target="https://www.sec.gov/Archives/edgar/data/0001620459/000110465921120933/tm2128750d1_ex10-1.htm" TargetMode="External"/><Relationship Id="rId43" Type="http://schemas.openxmlformats.org/officeDocument/2006/relationships/hyperlink" Target="https://www.sec.gov/Archives/edgar/data/0001620459/000110465921120933/tm2128750d1_ex10-2.htm" TargetMode="External"/><Relationship Id="rId44" Type="http://schemas.openxmlformats.org/officeDocument/2006/relationships/hyperlink" Target="https://www.sec.gov/Archives/edgar/data/0001620459/000110465922028107/tm227669d1_ex10-1.htm" TargetMode="External"/><Relationship Id="rId45" Type="http://schemas.openxmlformats.org/officeDocument/2006/relationships/hyperlink" Target="https://www.sec.gov/Archives/edgar/data/0001620459/000110465922028107/tm227669d1_ex10-1.htm" TargetMode="External"/><Relationship Id="rId46" Type="http://schemas.openxmlformats.org/officeDocument/2006/relationships/hyperlink" Target="https://www.sec.gov/Archives/edgar/data/0001620459/000110465922028107/tm227669d1_ex10-1.htm" TargetMode="External"/><Relationship Id="rId47" Type="http://schemas.openxmlformats.org/officeDocument/2006/relationships/hyperlink" Target="https://www.sec.gov/Archives/edgar/data/0001620459/000110465922028107/tm227669d1_ex10-1.htm" TargetMode="External"/><Relationship Id="rId48" Type="http://schemas.openxmlformats.org/officeDocument/2006/relationships/hyperlink" Target="https://www.sec.gov/Archives/edgar/data/0001620459/000110465922028107/tm227669d1_ex10-1.htm" TargetMode="External"/><Relationship Id="rId49" Type="http://schemas.openxmlformats.org/officeDocument/2006/relationships/hyperlink" Target="https://www.sec.gov/Archives/edgar/data/0001620459/000110465922028107/tm227669d1_ex10-1.htm" TargetMode="External"/><Relationship Id="rId50" Type="http://schemas.openxmlformats.org/officeDocument/2006/relationships/hyperlink" Target="https://www.sec.gov/Archives/edgar/data/0001620459/000110465922028107/tm227669d1_ex10-1.htm" TargetMode="External"/><Relationship Id="rId51" Type="http://schemas.openxmlformats.org/officeDocument/2006/relationships/hyperlink" Target="https://www.sec.gov/Archives/edgar/data/0001620459/000110465922028107/tm227669d1_ex10-1.htm" TargetMode="External"/><Relationship Id="rId52" Type="http://schemas.openxmlformats.org/officeDocument/2006/relationships/hyperlink" Target="https://www.sec.gov/Archives/edgar/data/0001620459/000110465922028107/tm227669d1_ex10-1.htm" TargetMode="External"/><Relationship Id="rId53" Type="http://schemas.openxmlformats.org/officeDocument/2006/relationships/hyperlink" Target="https://www.sec.gov/Archives/edgar/data/0001620459/000110465922028107/tm227669d1_ex10-2.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36</Pages>
  <Words>113776</Words>
  <CharactersWithSpaces>734816</CharactersWithSpaces>
  <Paragraphs>9778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