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800"/>
        <w:spacing w:after="0"/>
        <w:rPr>
          <w:sz w:val="20"/>
          <w:szCs w:val="20"/>
          <w:color w:val="auto"/>
        </w:rPr>
      </w:pPr>
      <w:r>
        <w:rPr>
          <w:rFonts w:ascii="Arial" w:cs="Arial" w:eastAsia="Arial" w:hAnsi="Arial"/>
          <w:sz w:val="23"/>
          <w:szCs w:val="23"/>
          <w:b w:val="1"/>
          <w:bCs w:val="1"/>
          <w:color w:val="auto"/>
        </w:rPr>
        <w:t>UNITED STATES</w:t>
      </w:r>
    </w:p>
    <w:p>
      <w:pPr>
        <w:spacing w:after="0" w:line="73" w:lineRule="exact"/>
        <w:rPr>
          <w:sz w:val="24"/>
          <w:szCs w:val="24"/>
          <w:color w:val="auto"/>
        </w:rPr>
      </w:pPr>
    </w:p>
    <w:p>
      <w:pPr>
        <w:ind w:left="3200"/>
        <w:spacing w:after="0"/>
        <w:rPr>
          <w:sz w:val="20"/>
          <w:szCs w:val="20"/>
          <w:color w:val="auto"/>
        </w:rPr>
      </w:pPr>
      <w:r>
        <w:rPr>
          <w:rFonts w:ascii="Arial" w:cs="Arial" w:eastAsia="Arial" w:hAnsi="Arial"/>
          <w:sz w:val="23"/>
          <w:szCs w:val="23"/>
          <w:b w:val="1"/>
          <w:bCs w:val="1"/>
          <w:color w:val="auto"/>
        </w:rPr>
        <w:t>SECURITIES AND EXCHANGE COMMISSION</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Washington, DC 20549</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10-K</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ANNUAL AND TRANSITIONAL REPORTS PURSUANT 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SECTIONS 13 OR 15(d) OF THE SECURITIES EXCHANGE ACT OF 1934</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244"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001-36777</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JAMES RIVER GROUP HOLDINGS, LTD.</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175"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Bermuda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98-0585280</w:t>
      </w:r>
    </w:p>
    <w:p>
      <w:pPr>
        <w:spacing w:after="0" w:line="95" w:lineRule="exact"/>
        <w:rPr>
          <w:sz w:val="24"/>
          <w:szCs w:val="24"/>
          <w:color w:val="auto"/>
        </w:rPr>
      </w:pPr>
    </w:p>
    <w:p>
      <w:pPr>
        <w:sectPr>
          <w:pgSz w:w="11900" w:h="16838" w:orient="portrait"/>
          <w:cols w:equalWidth="0" w:num="2">
            <w:col w:w="7460" w:space="720"/>
            <w:col w:w="3220"/>
          </w:cols>
          <w:pgMar w:left="240" w:top="233" w:right="259" w:bottom="1440" w:gutter="0" w:footer="0" w:header="0"/>
          <w:type w:val="continuous"/>
        </w:sectPr>
      </w:pPr>
    </w:p>
    <w:p>
      <w:pPr>
        <w:ind w:left="2260"/>
        <w:spacing w:after="0"/>
        <w:rPr>
          <w:sz w:val="20"/>
          <w:szCs w:val="20"/>
          <w:color w:val="auto"/>
        </w:rPr>
      </w:pPr>
      <w:r>
        <w:rPr>
          <w:rFonts w:ascii="Arial" w:cs="Arial" w:eastAsia="Arial" w:hAnsi="Arial"/>
          <w:sz w:val="11"/>
          <w:szCs w:val="1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44" w:lineRule="exact"/>
        <w:rPr>
          <w:sz w:val="24"/>
          <w:szCs w:val="24"/>
          <w:color w:val="auto"/>
        </w:rPr>
      </w:pPr>
    </w:p>
    <w:p>
      <w:pPr>
        <w:sectPr>
          <w:pgSz w:w="11900" w:h="16838" w:orient="portrait"/>
          <w:cols w:equalWidth="0" w:num="2">
            <w:col w:w="6980" w:space="720"/>
            <w:col w:w="3700"/>
          </w:cols>
          <w:pgMar w:left="240" w:top="233" w:right="25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Wellesley House, 2nd Floor, 90 Pitts Bay Road, Pembroke HM08, Bermuda</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(441) 278-4580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156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400" w:type="dxa"/>
            <w:vAlign w:val="bottom"/>
            <w:gridSpan w:val="2"/>
          </w:tcPr>
          <w:p>
            <w:pPr>
              <w:jc w:val="center"/>
              <w:ind w:right="1240"/>
              <w:spacing w:after="0"/>
              <w:rPr>
                <w:sz w:val="20"/>
                <w:szCs w:val="20"/>
                <w:color w:val="auto"/>
              </w:rPr>
            </w:pPr>
            <w:r>
              <w:rPr>
                <w:rFonts w:ascii="Arial" w:cs="Arial" w:eastAsia="Arial" w:hAnsi="Arial"/>
                <w:sz w:val="16"/>
                <w:szCs w:val="16"/>
                <w:color w:val="auto"/>
                <w:w w:val="90"/>
              </w:rPr>
              <w:t>Title of each class</w:t>
            </w: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w w:val="93"/>
              </w:rPr>
              <w:t>Trading Symbol(s)</w:t>
            </w:r>
          </w:p>
        </w:tc>
        <w:tc>
          <w:tcPr>
            <w:tcW w:w="3220" w:type="dxa"/>
            <w:vAlign w:val="bottom"/>
            <w:gridSpan w:val="2"/>
          </w:tcPr>
          <w:p>
            <w:pPr>
              <w:ind w:left="280"/>
              <w:spacing w:after="0"/>
              <w:rPr>
                <w:sz w:val="20"/>
                <w:szCs w:val="20"/>
                <w:color w:val="auto"/>
              </w:rPr>
            </w:pPr>
            <w:r>
              <w:rPr>
                <w:rFonts w:ascii="Arial" w:cs="Arial" w:eastAsia="Arial" w:hAnsi="Arial"/>
                <w:sz w:val="16"/>
                <w:szCs w:val="16"/>
                <w:color w:val="auto"/>
                <w:w w:val="89"/>
              </w:rPr>
              <w:t>Names of each exchange on which registered</w:t>
            </w:r>
          </w:p>
        </w:tc>
      </w:tr>
      <w:tr>
        <w:trPr>
          <w:trHeight w:val="20"/>
        </w:trPr>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85"/>
        </w:trPr>
        <w:tc>
          <w:tcPr>
            <w:tcW w:w="3300" w:type="dxa"/>
            <w:vAlign w:val="bottom"/>
            <w:gridSpan w:val="3"/>
          </w:tcPr>
          <w:p>
            <w:pPr>
              <w:jc w:val="center"/>
              <w:ind w:right="340"/>
              <w:spacing w:after="0"/>
              <w:rPr>
                <w:sz w:val="20"/>
                <w:szCs w:val="20"/>
                <w:color w:val="auto"/>
              </w:rPr>
            </w:pPr>
            <w:r>
              <w:rPr>
                <w:rFonts w:ascii="Arial" w:cs="Arial" w:eastAsia="Arial" w:hAnsi="Arial"/>
                <w:sz w:val="16"/>
                <w:szCs w:val="16"/>
                <w:color w:val="auto"/>
                <w:w w:val="89"/>
              </w:rPr>
              <w:t>Common Shares, par value $0.0002 per share</w:t>
            </w:r>
          </w:p>
        </w:tc>
        <w:tc>
          <w:tcPr>
            <w:tcW w:w="34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JRVR</w:t>
            </w:r>
          </w:p>
        </w:tc>
        <w:tc>
          <w:tcPr>
            <w:tcW w:w="28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Arial" w:cs="Arial" w:eastAsia="Arial" w:hAnsi="Arial"/>
                <w:sz w:val="16"/>
                <w:szCs w:val="16"/>
                <w:color w:val="auto"/>
              </w:rPr>
              <w:t>NASDAQ   Global Select Market</w:t>
            </w:r>
          </w:p>
        </w:tc>
      </w:tr>
    </w:tbl>
    <w:p>
      <w:pPr>
        <w:spacing w:after="0" w:line="20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1" w:lineRule="exact"/>
        <w:rPr>
          <w:sz w:val="24"/>
          <w:szCs w:val="24"/>
          <w:color w:val="auto"/>
        </w:rPr>
      </w:pPr>
    </w:p>
    <w:p>
      <w:pPr>
        <w:ind w:right="348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x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73"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73"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p>
      <w:pPr>
        <w:ind w:left="120"/>
        <w:spacing w:after="0" w:line="322" w:lineRule="exact"/>
        <w:tabs>
          <w:tab w:leader="none" w:pos="2100" w:val="left"/>
          <w:tab w:leader="none" w:pos="2480" w:val="left"/>
          <w:tab w:leader="none" w:pos="3720" w:val="left"/>
          <w:tab w:leader="none" w:pos="4200" w:val="left"/>
          <w:tab w:leader="none" w:pos="5740" w:val="left"/>
          <w:tab w:leader="none" w:pos="8340" w:val="left"/>
          <w:tab w:leader="none" w:pos="9160" w:val="left"/>
        </w:tabs>
        <w:rPr>
          <w:sz w:val="20"/>
          <w:szCs w:val="20"/>
          <w:color w:val="auto"/>
        </w:rPr>
      </w:pPr>
      <w:r>
        <w:rPr>
          <w:rFonts w:ascii="Arial" w:cs="Arial" w:eastAsia="Arial" w:hAnsi="Arial"/>
          <w:sz w:val="28"/>
          <w:szCs w:val="28"/>
          <w:b w:val="1"/>
          <w:bCs w:val="1"/>
          <w:color w:val="auto"/>
          <w:vertAlign w:val="superscript"/>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4"/>
          <w:szCs w:val="14"/>
          <w:b w:val="1"/>
          <w:bCs w:val="1"/>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b w:val="1"/>
          <w:bCs w:val="1"/>
          <w:color w:val="auto"/>
        </w:rPr>
        <w:t xml:space="preserve">Emerging Growth Company </w:t>
      </w:r>
      <w:r>
        <w:rPr>
          <w:rFonts w:ascii="MS PGothic" w:cs="MS PGothic" w:eastAsia="MS PGothic" w:hAnsi="MS PGothic"/>
          <w:sz w:val="14"/>
          <w:szCs w:val="14"/>
          <w:color w:val="auto"/>
        </w:rPr>
        <w:t>☐</w:t>
      </w:r>
    </w:p>
    <w:p>
      <w:pPr>
        <w:spacing w:after="0" w:line="49" w:lineRule="exact"/>
        <w:rPr>
          <w:sz w:val="24"/>
          <w:szCs w:val="24"/>
          <w:color w:val="auto"/>
        </w:rPr>
      </w:pPr>
    </w:p>
    <w:p>
      <w:pPr>
        <w:ind w:right="1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36"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The aggregate market value of the Registrant’s common shares held by non-affiliates of the Registrant as of June 30, 2019, computed by reference to the closing sales price on the NASDAQ Global Select Market on that date, was approximately $1,383,652,430.</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the Registrant’s common shares outstanding was 30,520,337 as of February 25, 2020.</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5" w:lineRule="exact"/>
        <w:rPr>
          <w:sz w:val="24"/>
          <w:szCs w:val="24"/>
          <w:color w:val="auto"/>
        </w:rPr>
      </w:pPr>
    </w:p>
    <w:p>
      <w:pPr>
        <w:ind w:right="120"/>
        <w:spacing w:after="0" w:line="353" w:lineRule="auto"/>
        <w:rPr>
          <w:sz w:val="20"/>
          <w:szCs w:val="20"/>
          <w:color w:val="auto"/>
        </w:rPr>
      </w:pPr>
      <w:r>
        <w:rPr>
          <w:rFonts w:ascii="Arial" w:cs="Arial" w:eastAsia="Arial" w:hAnsi="Arial"/>
          <w:sz w:val="14"/>
          <w:szCs w:val="14"/>
          <w:color w:val="auto"/>
        </w:rPr>
        <w:t>Portions of the James River Group Holdings, Ltd. Proxy Statement to be filed with the Securities and Exchange Commission within 120 days after the year covered by this Form 10-K with respect to the 2020 Annual General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202"/>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1B.</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2.</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PROPERTIES</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PART II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MARKET FOR REGISTRANT’S COMMON EQUITY, RELATED STOCKHOLDER MATTERS AND ISSUER</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PURCHASES OF EQUITY SECURITIES</w:t>
              </w:r>
            </w:hyperlink>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5"/>
            <w:shd w:val="clear" w:color="auto" w:fill="CCEEFF"/>
          </w:tcPr>
          <w:p>
            <w:pPr>
              <w:jc w:val="right"/>
              <w:ind w:right="2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Item 6.</w:t>
              </w:r>
            </w:hyperlink>
          </w:p>
        </w:tc>
        <w:tc>
          <w:tcPr>
            <w:tcW w:w="3080" w:type="dxa"/>
            <w:vAlign w:val="bottom"/>
            <w:gridSpan w:val="13"/>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SELECTED FINANCIAL DATA</w:t>
              </w:r>
            </w:hyperlink>
          </w:p>
        </w:tc>
        <w:tc>
          <w:tcPr>
            <w:tcW w:w="5660" w:type="dxa"/>
            <w:vAlign w:val="bottom"/>
            <w:gridSpan w:val="11"/>
          </w:tcPr>
          <w:p>
            <w:pPr>
              <w:spacing w:after="0"/>
              <w:rPr>
                <w:sz w:val="17"/>
                <w:szCs w:val="17"/>
                <w:color w:val="auto"/>
              </w:rPr>
            </w:pPr>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7.</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w:t>
              </w:r>
            </w:hyperlink>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OPERATIONS</w:t>
              </w:r>
            </w:hyperlink>
          </w:p>
        </w:tc>
        <w:tc>
          <w:tcPr>
            <w:tcW w:w="6660" w:type="dxa"/>
            <w:vAlign w:val="bottom"/>
            <w:tcBorders>
              <w:top w:val="single" w:sz="8" w:color="0000EE"/>
            </w:tcBorders>
            <w:gridSpan w:val="17"/>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spacing w:after="0"/>
              <w:rPr>
                <w:sz w:val="17"/>
                <w:szCs w:val="17"/>
                <w:color w:val="auto"/>
              </w:rPr>
            </w:pPr>
          </w:p>
        </w:tc>
        <w:tc>
          <w:tcPr>
            <w:tcW w:w="800" w:type="dxa"/>
            <w:vAlign w:val="bottom"/>
            <w:tcBorders>
              <w:top w:val="single" w:sz="8" w:color="CCEEFF"/>
            </w:tcBorders>
            <w:gridSpan w:val="5"/>
            <w:shd w:val="clear" w:color="auto" w:fill="CCEEFF"/>
          </w:tcPr>
          <w:p>
            <w:pPr>
              <w:jc w:val="right"/>
              <w:ind w:right="2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7A.</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8.</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FINANCIAL STATEMENTS AND SUPPLEMENTARY DATA</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9.</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DISCLOSURE</w:t>
              </w:r>
            </w:hyperlink>
          </w:p>
        </w:tc>
        <w:tc>
          <w:tcPr>
            <w:tcW w:w="800" w:type="dxa"/>
            <w:vAlign w:val="bottom"/>
            <w:gridSpan w:val="3"/>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9A.</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98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Item 9B.</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PART III</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11.</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STOCKHOLDER MATTERS</w:t>
              </w:r>
            </w:hyperlink>
          </w:p>
        </w:tc>
        <w:tc>
          <w:tcPr>
            <w:tcW w:w="740" w:type="dxa"/>
            <w:vAlign w:val="bottom"/>
            <w:gridSpan w:val="2"/>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13.</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ACCOUNTANT FEES AND SERVICES</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PART IV</w:t>
              </w:r>
            </w:hyperlink>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8740" w:type="dxa"/>
            <w:vAlign w:val="bottom"/>
            <w:gridSpan w:val="24"/>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800" w:type="dxa"/>
            <w:vAlign w:val="bottom"/>
            <w:gridSpan w:val="5"/>
          </w:tcPr>
          <w:p>
            <w:pPr>
              <w:jc w:val="right"/>
              <w:ind w:right="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16.</w:t>
              </w:r>
            </w:hyperlink>
          </w:p>
        </w:tc>
        <w:tc>
          <w:tcPr>
            <w:tcW w:w="8740" w:type="dxa"/>
            <w:vAlign w:val="bottom"/>
            <w:gridSpan w:val="24"/>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8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0000EE"/>
            </w:tcBorders>
            <w:shd w:val="clear" w:color="auto" w:fill="CCEEFF"/>
          </w:tcPr>
          <w:p>
            <w:pPr>
              <w:spacing w:after="0"/>
              <w:rPr>
                <w:sz w:val="22"/>
                <w:szCs w:val="22"/>
                <w:color w:val="auto"/>
              </w:rPr>
            </w:pPr>
          </w:p>
        </w:tc>
        <w:tc>
          <w:tcPr>
            <w:tcW w:w="20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140" w:type="dxa"/>
            <w:vAlign w:val="bottom"/>
            <w:tcBorders>
              <w:top w:val="single" w:sz="8" w:color="0000EE"/>
            </w:tcBorders>
            <w:shd w:val="clear" w:color="auto" w:fill="CCEEFF"/>
          </w:tcPr>
          <w:p>
            <w:pPr>
              <w:spacing w:after="0"/>
              <w:rPr>
                <w:sz w:val="22"/>
                <w:szCs w:val="22"/>
                <w:color w:val="auto"/>
              </w:rPr>
            </w:pPr>
          </w:p>
        </w:tc>
        <w:tc>
          <w:tcPr>
            <w:tcW w:w="6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i w:val="1"/>
          <w:iCs w:val="1"/>
          <w:color w:val="auto"/>
        </w:rPr>
        <w:t>Unless the context indicates or suggests otherwise, references in this Annual Report on Form 10-K to “the Company,” “we,” “us” and “our” refer to James River Group Holdings, Ltd. and its consolidated subsidiaries.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In some cases, forward-looking statements may be identified by the use of words such as “anticipates,” “estimates,” “expects,” “intends,” “plans”, “seeks”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5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89" w:lineRule="exact"/>
        <w:rPr>
          <w:sz w:val="20"/>
          <w:szCs w:val="20"/>
          <w:color w:val="auto"/>
        </w:rPr>
      </w:pPr>
    </w:p>
    <w:p>
      <w:pPr>
        <w:ind w:left="660" w:right="420" w:hanging="328"/>
        <w:spacing w:after="0" w:line="34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financial strength rating resulting in a reduction of new or renewal business;</w:t>
      </w:r>
    </w:p>
    <w:p>
      <w:pPr>
        <w:spacing w:after="0" w:line="157" w:lineRule="exact"/>
        <w:rPr>
          <w:rFonts w:ascii="Arial" w:cs="Arial" w:eastAsia="Arial" w:hAnsi="Arial"/>
          <w:sz w:val="18"/>
          <w:szCs w:val="18"/>
          <w:color w:val="auto"/>
        </w:rPr>
      </w:pPr>
    </w:p>
    <w:p>
      <w:pPr>
        <w:ind w:left="660" w:right="400" w:hanging="328"/>
        <w:spacing w:after="0" w:line="34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2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an insured group of companies with whom we have an indemnification arrangement failing to perform their reimbursement obligations;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57" w:lineRule="exact"/>
        <w:rPr>
          <w:rFonts w:ascii="Arial" w:cs="Arial" w:eastAsia="Arial" w:hAnsi="Arial"/>
          <w:sz w:val="18"/>
          <w:szCs w:val="18"/>
          <w:color w:val="auto"/>
        </w:rPr>
      </w:pPr>
    </w:p>
    <w:p>
      <w:pPr>
        <w:ind w:left="660" w:right="460" w:hanging="328"/>
        <w:spacing w:after="0" w:line="34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48" w:lineRule="exact"/>
        <w:rPr>
          <w:rFonts w:ascii="Arial" w:cs="Arial" w:eastAsia="Arial" w:hAnsi="Arial"/>
          <w:sz w:val="18"/>
          <w:szCs w:val="18"/>
          <w:color w:val="auto"/>
        </w:rPr>
      </w:pPr>
    </w:p>
    <w:p>
      <w:pPr>
        <w:ind w:left="660" w:right="380" w:hanging="328"/>
        <w:spacing w:after="0" w:line="4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failure of any of the loss limitations or exclusions we utilize to shield us from unanticipated financial losses or legal exposures, or other liabilities;</w:t>
      </w:r>
    </w:p>
    <w:p>
      <w:pPr>
        <w:spacing w:after="0" w:line="180" w:lineRule="exact"/>
        <w:rPr>
          <w:rFonts w:ascii="Arial" w:cs="Arial" w:eastAsia="Arial" w:hAnsi="Arial"/>
          <w:sz w:val="16"/>
          <w:szCs w:val="16"/>
          <w:color w:val="auto"/>
        </w:rPr>
      </w:pPr>
    </w:p>
    <w:p>
      <w:pPr>
        <w:ind w:left="660" w:right="160" w:hanging="328"/>
        <w:spacing w:after="0" w:line="34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which substantially exceed our expectations and/or exceed the amount of reinsurance we have purchased to protect us from such events;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57" w:lineRule="exact"/>
        <w:rPr>
          <w:rFonts w:ascii="Arial" w:cs="Arial" w:eastAsia="Arial" w:hAnsi="Arial"/>
          <w:sz w:val="18"/>
          <w:szCs w:val="18"/>
          <w:color w:val="auto"/>
        </w:rPr>
      </w:pPr>
    </w:p>
    <w:p>
      <w:pPr>
        <w:ind w:left="660" w:right="160" w:hanging="328"/>
        <w:spacing w:after="0" w:line="34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under “Risk Factors” and elsewhere in this Annual Report.</w:t>
      </w:r>
    </w:p>
    <w:p>
      <w:pPr>
        <w:spacing w:after="0" w:line="131"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Accordingly, you should read this Annual Report completely and with the understanding that our actual future results may be materially different from what we expect.</w:t>
      </w:r>
    </w:p>
    <w:p>
      <w:pPr>
        <w:spacing w:after="0" w:line="62" w:lineRule="exact"/>
        <w:rPr>
          <w:sz w:val="20"/>
          <w:szCs w:val="20"/>
          <w:color w:val="auto"/>
        </w:rPr>
      </w:pPr>
    </w:p>
    <w:p>
      <w:pPr>
        <w:ind w:firstLine="351"/>
        <w:spacing w:after="0" w:line="297" w:lineRule="auto"/>
        <w:rPr>
          <w:sz w:val="20"/>
          <w:szCs w:val="20"/>
          <w:color w:val="auto"/>
        </w:rPr>
      </w:pPr>
      <w:r>
        <w:rPr>
          <w:rFonts w:ascii="Arial" w:cs="Arial" w:eastAsia="Arial" w:hAnsi="Arial"/>
          <w:sz w:val="16"/>
          <w:szCs w:val="16"/>
          <w:color w:val="auto"/>
        </w:rPr>
        <w:t>Forward-looking statements speak only as of the date of this Annual Report. Except as expressly required under federal securities laws and the rules and regulations of the Securities and Exchange Commission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6" w:right="27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ectPr>
          <w:pgSz w:w="11900" w:h="16838" w:orient="portrait"/>
          <w:cols w:equalWidth="0" w:num="1">
            <w:col w:w="11400"/>
          </w:cols>
          <w:pgMar w:left="240" w:top="126" w:right="25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142" w:lineRule="exact"/>
        <w:rPr>
          <w:sz w:val="20"/>
          <w:szCs w:val="20"/>
          <w:color w:val="auto"/>
        </w:rPr>
      </w:pPr>
    </w:p>
    <w:p>
      <w:pPr>
        <w:sectPr>
          <w:pgSz w:w="11900" w:h="16838" w:orient="portrait"/>
          <w:cols w:equalWidth="0" w:num="2">
            <w:col w:w="540" w:space="440"/>
            <w:col w:w="10420"/>
          </w:cols>
          <w:pgMar w:left="240" w:top="126"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James River Group Holdings, Ltd. is a Bermuda-based holding company. We own and operate a group of specialty insurance and reinsurance companies. For the year ended December 31, 2019, approximately 73.2% of our group-wide gross written premiums originated from the U.S. excess and surplus (“E&amp;S”) lines market. Substantially all of our business is casualty insurance and reinsurance, and for the year ended December 31, 2019, we derived 97.9% of our group-wide gross written premiums from casualty insurance and reinsurance. Our objective is to generate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 Our group includes three operating segments: Excess and Surplus Lines, Specialty Admitted Insurance and Casualty Reinsurance.</w:t>
      </w:r>
    </w:p>
    <w:p>
      <w:pPr>
        <w:spacing w:after="0" w:line="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We write very little property or catastrophe insurance and no property catastrophe reinsurance. For the year ended December 31, 2019, property insurance and reinsurance represented 2.1% of our gross written premiums. When we do write property insurance, we buy reinsurance to significantly mitigate our risk. We have structured our reinsurance arrangements so that our modeled net pre-tax loss from a 1/1000 year probable maximum loss ("PML") event is approximately $10.0 million on a group-wide basis.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report our business in four segments: Excess and Surplus Lines, Specialty Admitted Insurance, Casualty Reinsurance and Corporate and Other.</w:t>
      </w:r>
    </w:p>
    <w:p>
      <w:pPr>
        <w:spacing w:after="0" w:line="14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62.7% of our gross written premiums and 76.6% of our net written premiums for the year ended December 31, 2019.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2019, the average account in this segment (excluding commercial auto policies) generated annual gross written premiums of approximately $23,000. The Excess and Surplus Lines segment distributes primarily through wholesale insurance brokers. Members of our management team have participated in this market for over three decades and have long-standing relationships with the wholesale brokers who place E&amp;S lines accounts. On October 8, 2019, the Company delivered a notice </w:t>
      </w:r>
      <w:r>
        <w:rPr>
          <w:rFonts w:ascii="Arial" w:cs="Arial" w:eastAsia="Arial" w:hAnsi="Arial"/>
          <w:sz w:val="16"/>
          <w:szCs w:val="16"/>
          <w:color w:val="212529"/>
        </w:rPr>
        <w:t>of early cancellation, effective December 31, 2019, of all insurance policies issued to its largest customer,</w:t>
      </w:r>
      <w:r>
        <w:rPr>
          <w:rFonts w:ascii="Arial" w:cs="Arial" w:eastAsia="Arial" w:hAnsi="Arial"/>
          <w:sz w:val="16"/>
          <w:szCs w:val="16"/>
          <w:color w:val="auto"/>
        </w:rPr>
        <w:t xml:space="preserve"> </w:t>
      </w:r>
      <w:r>
        <w:rPr>
          <w:rFonts w:ascii="Arial" w:cs="Arial" w:eastAsia="Arial" w:hAnsi="Arial"/>
          <w:sz w:val="16"/>
          <w:szCs w:val="16"/>
          <w:color w:val="212529"/>
        </w:rPr>
        <w:t xml:space="preserve">Rasier LLC and its affiliates (collectively, “Rasier”). All insurance policies related to this customer are included in the Company’s commercial auto line of business within its Excess and Surplus Lines segment, and a majority of the insurance policies were due to expire on February 29, 2020. This customer was responsible for 25.4% of our gross written premiums and 32.0% of our net written premiums for the year ended </w:t>
      </w:r>
      <w:r>
        <w:rPr>
          <w:rFonts w:ascii="Arial" w:cs="Arial" w:eastAsia="Arial" w:hAnsi="Arial"/>
          <w:sz w:val="16"/>
          <w:szCs w:val="16"/>
          <w:color w:val="000000"/>
        </w:rPr>
        <w:t>December 31, 2019</w:t>
      </w:r>
      <w:r>
        <w:rPr>
          <w:rFonts w:ascii="Arial" w:cs="Arial" w:eastAsia="Arial" w:hAnsi="Arial"/>
          <w:sz w:val="16"/>
          <w:szCs w:val="16"/>
          <w:color w:val="212529"/>
        </w:rPr>
        <w:t>.</w:t>
      </w:r>
    </w:p>
    <w:p>
      <w:pPr>
        <w:spacing w:after="0" w:line="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Specialty Admitted Insurance segment produced 26.4% of our gross written premiums and 6.5% of our net written premiums for the year ended December 31, 2019. The Specialty Admitted Insurance segment has two areas of focus. We write a select book of workers’ compensation coverage for building trades, healthcare employees and light manufacturing, among other light to medium hazard risks in select U.S. states. We also write fronting business which has become a significant element of our revenues and profits in this segment. Starting in 2017, we have de-emphasized the program business, as we believe fronting offers better risk adjusted return potential. In our fronting business, we retain a small percentage of the risk, generally 10% or less, and seek to earn fee income. When we front, we use our legal authority, financial strength rating, underwriting experience and claims infrastructure to write insurance to service clients (usually MGAs and reinsurers) who assume the vast majority of the risk on each fronted policy. Generally, we retain no more than 10% of the risk related to fronted policies. Because we retain little premium or risk in our fronted business, we can allocate less capital per dollar of revenue to fronted policies than to policies where we retain more risk, which we believe enhances our returns on equity. In our program business, our historic net retention was more than 10%. The Specialty Admitted Insurance segment accepts applications for insurance from a variety of sources, including independent retail agents, program administrators and managing general agents (“MGAs”).</w:t>
      </w:r>
    </w:p>
    <w:p>
      <w:pPr>
        <w:spacing w:after="0" w:line="75"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The Casualty Reinsurance segment distributes through reinsurance brokers and produced 10.9% of our gross written premiums and 16.9% of our net written premiums for the year ended December 31, 2019. 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6" w:right="259" w:bottom="1440" w:gutter="0" w:footer="0" w:header="0"/>
          <w:type w:val="continuous"/>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working layer excess of loss treaties, such as paid reinstatements, which allow the ceding company to capture a greater percentage of the profits should the business prove more profitable than expected, or alternatively, provide us with additional premiums should the business incur higher than expected losses. We believe these structures best align our interests with the interests of our cedents. On a premium volume basis, treaties with loss mitigation features including sliding scale ceding commissions represented 72.3% of the gross premiums written by our Casualty Reinsurance segment during 2019.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 small amount of assumed business with ancillary property exposure. 79.0% of premiums written by our Casualty Reinsurance segment during 2019 were general liability accounts.</w:t>
      </w:r>
    </w:p>
    <w:p>
      <w:pPr>
        <w:spacing w:after="0" w:line="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The Casualty Reinsurance segment writes business through two entities, JRG Reinsurance Company Ltd. ("JRG Re") and Carolina Re Ltd ("Carolina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This business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2019, 46.6% of our invested assets were held at JRG Re, which benefits from a favorable operating environment, including an absence of corporate income or investment taxes.</w:t>
      </w:r>
    </w:p>
    <w:p>
      <w:pPr>
        <w:spacing w:after="0" w:line="59" w:lineRule="exact"/>
        <w:rPr>
          <w:sz w:val="20"/>
          <w:szCs w:val="20"/>
          <w:color w:val="auto"/>
        </w:rPr>
      </w:pPr>
    </w:p>
    <w:p>
      <w:pPr>
        <w:ind w:right="120" w:firstLine="351"/>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and interest expense associated with our debt.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2019, our operating subsidiaries wrote $1,470.7 million of gross written premiums, allocated by segment and underlying market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Gross Written</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Premiums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 Written Premiums by Segment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thousands)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Excess and Surplus Lines segment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922,320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Specialty Admitted Insurance segment</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387,642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Casualty Reinsurance segment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160,773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1,470,735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8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Gross Written Premiums by Market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Non-admitted markets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1,077,219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Admitted markets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393,516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81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1,470,735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40" w:firstLine="351"/>
        <w:spacing w:after="0" w:line="264" w:lineRule="auto"/>
        <w:rPr>
          <w:sz w:val="20"/>
          <w:szCs w:val="20"/>
          <w:color w:val="auto"/>
        </w:rPr>
      </w:pPr>
      <w:r>
        <w:rPr>
          <w:rFonts w:ascii="Arial" w:cs="Arial" w:eastAsia="Arial" w:hAnsi="Arial"/>
          <w:sz w:val="18"/>
          <w:szCs w:val="18"/>
          <w:color w:val="auto"/>
        </w:rPr>
        <w:t>The A.M. Best Company (“A.M. Best”) financial strength rating for our group’s regulated insurance subsidiaries is “A” (Excellent). This rating reflects A.M. Best’s evaluation of our insurance subsidiaries’ financial strength, operating performance and ability to meet obligations to policyholders and is not an evaluation directed towards the protection of investors.</w:t>
      </w:r>
    </w:p>
    <w:p>
      <w:pPr>
        <w:spacing w:after="0" w:line="73"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willingness of brokers and agents to submit applications for insurance and reinsurance to our regulated subsidiaries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160" w:firstLine="351"/>
        <w:spacing w:after="0" w:line="279" w:lineRule="auto"/>
        <w:rPr>
          <w:sz w:val="20"/>
          <w:szCs w:val="20"/>
          <w:color w:val="auto"/>
        </w:rPr>
      </w:pPr>
      <w:r>
        <w:rPr>
          <w:rFonts w:ascii="Arial" w:cs="Arial" w:eastAsia="Arial" w:hAnsi="Arial"/>
          <w:sz w:val="17"/>
          <w:szCs w:val="17"/>
          <w:color w:val="auto"/>
        </w:rPr>
        <w:t>In 2002, a group of experienced insurance executives with a history of starting and operating profitable specialty insurance operations created James River Group, Inc. (“James River Group”). James River Group was listed on the NASDAQ Stock Market (symbol: JRVR) in 2005 and consistently produced attractive underwriting results. James River Group had two insurance company subsidiaries, James River Insurance and Stonewood Insurance Company (“Stonewood Insurance”). Both of these subsidiaries as well as James River Group remain subsidiaries of ours.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2007, James River Group’s management team decided to enhance James River Group’s long-term profitability by combining the earnings power of James River Group with the efficiency of an affiliated Bermuda domiciled reinsurer. A group of investors acquired James River Group, at which point it ceased trading as a public company. Simultaneously, the investors and management founded and capitalized JRG Re, and we began the process of building our present company.</w:t>
      </w:r>
    </w:p>
    <w:p>
      <w:pPr>
        <w:spacing w:after="0" w:line="79"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In December 2014, we completed an initial public offering of our common shares (the “IPO”). Institutional investors sold all of the common shares in the IPO. Neither the Company nor any of its management or other shareholders sold shares in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the following competitive strengths:</w:t>
      </w:r>
    </w:p>
    <w:p>
      <w:pPr>
        <w:spacing w:after="0" w:line="11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Proven and Strong Management Team Whose Financial Interests are Aligned with Shareholders. </w:t>
      </w:r>
      <w:r>
        <w:rPr>
          <w:rFonts w:ascii="Arial" w:cs="Arial" w:eastAsia="Arial" w:hAnsi="Arial"/>
          <w:sz w:val="16"/>
          <w:szCs w:val="16"/>
          <w:color w:val="auto"/>
        </w:rPr>
        <w:t>The Company's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Chairman of the Company’s Board of Directors (the “Board”), J. Adam Abram, has a history of forming and managing profitable specialty insurance companies. He was a founder of the Company and our predecessor company. Our President and Chief Operating Officer, Robert P. Myron, who has served in various capacities with our group since 2010, has a history of working in a senior management capacity in the insurance and reinsurance industries in both the United States and Bermuda. Mr. Myron has significant experience working in operations, finance and underwriting of several different insurance and reinsurance companies over the course of his career. Our Chief Financial Officer, Sarah C. Doran, joined our group in January 2017. She has significant experience with capital markets and corporate development related to the insurance and financial services industry. Ms. Doran has a history of working in a senior capacity in finance and advisory both within the insurance and reinsurance industry and for various investment banks.</w:t>
      </w:r>
    </w:p>
    <w:p>
      <w:pPr>
        <w:spacing w:after="0" w:line="58"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The President and Chief Executive Officer of our Excess and Surplus Lines segment, Richard Schmitzer, who has been with our group since July 2009, has a history of working in a senior management capacity in the E&amp;S lines industry. Mr. Schmitzer has significant experience working in underwriting and operations of several different insurance companies over the course of his career.</w:t>
      </w:r>
    </w:p>
    <w:p>
      <w:pPr>
        <w:spacing w:after="0" w:line="7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President and Chief Executive Officer of our Specialty Admitted Insurance segment, Terry McCafferty, has extensive experience as an insurance underwriter, operator and executive, and has deep experience and industry knowledge to continue to build out our business initiatives in the fronting and specialty admitted risk business.</w:t>
      </w:r>
    </w:p>
    <w:p>
      <w:pPr>
        <w:spacing w:after="0" w:line="7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President and Chief Executive Officer of our Casualty Reinsurance segment, Daniel Heinlein, has significant experience as a broker and underwriter of specialty reinsurance risks, particularly in the small account market where we concentrate.</w:t>
      </w:r>
    </w:p>
    <w:p>
      <w:pPr>
        <w:spacing w:after="0" w:line="62"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All members of our executive management and senior management own our common shares and have equity grants that we believe help align their interests with those of our long-term shareholders.</w:t>
      </w:r>
    </w:p>
    <w:p>
      <w:pPr>
        <w:spacing w:after="0" w:line="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Broad Underwriting Expertise. </w:t>
      </w:r>
      <w:r>
        <w:rPr>
          <w:rFonts w:ascii="Arial" w:cs="Arial" w:eastAsia="Arial" w:hAnsi="Arial"/>
          <w:sz w:val="18"/>
          <w:szCs w:val="18"/>
          <w:color w:val="auto"/>
        </w:rPr>
        <w:t>We strive to be innovative in tailoring our products to provide solutions for our distribution partners and insureds,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9" w:lineRule="exact"/>
        <w:rPr>
          <w:sz w:val="20"/>
          <w:szCs w:val="20"/>
          <w:color w:val="auto"/>
        </w:rPr>
      </w:pPr>
    </w:p>
    <w:p>
      <w:pPr>
        <w:jc w:val="both"/>
        <w:ind w:right="140" w:firstLine="351"/>
        <w:spacing w:after="0" w:line="286" w:lineRule="auto"/>
        <w:rPr>
          <w:sz w:val="20"/>
          <w:szCs w:val="20"/>
          <w:color w:val="auto"/>
        </w:rPr>
      </w:pPr>
      <w:r>
        <w:rPr>
          <w:rFonts w:ascii="Arial" w:cs="Arial" w:eastAsia="Arial" w:hAnsi="Arial"/>
          <w:sz w:val="17"/>
          <w:szCs w:val="17"/>
          <w:i w:val="1"/>
          <w:iCs w:val="1"/>
          <w:color w:val="auto"/>
        </w:rPr>
        <w:t xml:space="preserve">Emphasis on Lowering Volatility. </w:t>
      </w:r>
      <w:r>
        <w:rPr>
          <w:rFonts w:ascii="Arial" w:cs="Arial" w:eastAsia="Arial" w:hAnsi="Arial"/>
          <w:sz w:val="17"/>
          <w:szCs w:val="17"/>
          <w:color w:val="auto"/>
        </w:rPr>
        <w:t>We earn our profits by taking underwriting and investment risk. We underwrite many classes of insurance and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many types of assets. We actively seek to avoid underwriting business or making investments that expose us to an unacceptably high risk of large losses. We believe we have minimal exposure to material property risks and did not have material losses from property risks during 2019.</w:t>
      </w:r>
    </w:p>
    <w:p>
      <w:pPr>
        <w:spacing w:after="0" w:line="57" w:lineRule="exact"/>
        <w:rPr>
          <w:sz w:val="20"/>
          <w:szCs w:val="20"/>
          <w:color w:val="auto"/>
        </w:rPr>
      </w:pPr>
    </w:p>
    <w:p>
      <w:pPr>
        <w:ind w:right="40" w:firstLine="351"/>
        <w:spacing w:after="0" w:line="273" w:lineRule="auto"/>
        <w:rPr>
          <w:sz w:val="20"/>
          <w:szCs w:val="20"/>
          <w:color w:val="auto"/>
        </w:rPr>
      </w:pPr>
      <w:r>
        <w:rPr>
          <w:rFonts w:ascii="Arial" w:cs="Arial" w:eastAsia="Arial" w:hAnsi="Arial"/>
          <w:sz w:val="17"/>
          <w:szCs w:val="17"/>
          <w:color w:val="auto"/>
        </w:rPr>
        <w:t>We seek to limit our catastrophic underwriting exposure in all areas, but in particular to property risks and catastrophic events. Our U.S. primary companies purchase reinsurance from unaffiliated reinsurers to reduce our net exposure to any one risk or occurrence. In addition, our policy forms and pricing are subject to regular formal analysis in an effort to ensure we are insuring the types of risks we intend and that we are being appropriately compensated for taking on those risks. When we write reinsurance, we seek to avoid catastrophic risks and contractually limit the amount of exposure we have on any one risk or occurrence. We prefer to structure our assumed reinsurance treaties as proportional or quota share reinsurance, which is generally less volatile than excess of loss or catastrophe reinsurance. We believe this structure aligns our interests with those of the ceding company.</w:t>
      </w:r>
    </w:p>
    <w:p>
      <w:pPr>
        <w:spacing w:after="0" w:line="70" w:lineRule="exact"/>
        <w:rPr>
          <w:sz w:val="20"/>
          <w:szCs w:val="20"/>
          <w:color w:val="auto"/>
        </w:rPr>
      </w:pPr>
    </w:p>
    <w:p>
      <w:pPr>
        <w:ind w:right="240" w:firstLine="351"/>
        <w:spacing w:after="0" w:line="257" w:lineRule="auto"/>
        <w:rPr>
          <w:sz w:val="20"/>
          <w:szCs w:val="20"/>
          <w:color w:val="auto"/>
        </w:rPr>
      </w:pPr>
      <w:r>
        <w:rPr>
          <w:rFonts w:ascii="Arial" w:cs="Arial" w:eastAsia="Arial" w:hAnsi="Arial"/>
          <w:sz w:val="18"/>
          <w:szCs w:val="18"/>
          <w:i w:val="1"/>
          <w:iCs w:val="1"/>
          <w:color w:val="auto"/>
        </w:rPr>
        <w:t xml:space="preserve">Meaningful Risk Adjusted Investment Returns. </w:t>
      </w:r>
      <w:r>
        <w:rPr>
          <w:rFonts w:ascii="Arial" w:cs="Arial" w:eastAsia="Arial" w:hAnsi="Arial"/>
          <w:sz w:val="18"/>
          <w:szCs w:val="18"/>
          <w:color w:val="auto"/>
        </w:rPr>
        <w:t>We seek to generate meaningful contributions to company profitability from our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We attempt to follow a diversified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fixed maturity securities make up the majority of our investment portfolio, and we are comfortable allocating a portion of our assets to non-traditional investments. Our non-traditional investments have generally not included a meaningful allocation to listed common equities. We consider non-traditional investments to include investments that are (1) unrated bond or fixed income securities, (2) non-listed equities or (3) investments that generally have less liquidity than rated bond or fixed income securities or listed equities. Non-traditional investments represented 16.2% of our total invested assets at December 31, 2019, consisting of syndicated bank loans (13.1%) and other invested assets (3.1%) that include interests in limited liability companies that invest in renewable energy opportunities, limited partnerships that invest in debt or equity securities, notes receivable for renewable energy projects, and a private debt security.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2019 was “A”. At December 31, 2019, the average duration of our investment portfolio was 3.3 years.</w:t>
      </w:r>
    </w:p>
    <w:p>
      <w:pPr>
        <w:spacing w:after="0" w:line="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Talented Underwriters and Operating Leadership. </w:t>
      </w:r>
      <w:r>
        <w:rPr>
          <w:rFonts w:ascii="Arial" w:cs="Arial" w:eastAsia="Arial" w:hAnsi="Arial"/>
          <w:sz w:val="18"/>
          <w:szCs w:val="18"/>
          <w:color w:val="auto"/>
        </w:rPr>
        <w:t>The managers of our 15 underwriting divisions have an average of over 25 years of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substantial subject matter expertise and deep technical knowledge. They have been successful and profitable underwriters for us in the specialty casualty insurance and reinsurance sectors. Our segment presidents all have extensive backgrounds and histories working in management capacities in specialty casualty insurance and reinsurance.</w:t>
      </w:r>
    </w:p>
    <w:p>
      <w:pPr>
        <w:spacing w:after="0" w:line="79"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i w:val="1"/>
          <w:iCs w:val="1"/>
          <w:color w:val="auto"/>
        </w:rPr>
        <w:t xml:space="preserve">Robust Technology and Data Capture. </w:t>
      </w:r>
      <w:r>
        <w:rPr>
          <w:rFonts w:ascii="Arial" w:cs="Arial" w:eastAsia="Arial" w:hAnsi="Arial"/>
          <w:sz w:val="18"/>
          <w:szCs w:val="18"/>
          <w:color w:val="auto"/>
        </w:rPr>
        <w:t>We seek to ground our underwriting decisions in reliable historical data and technical evaluation of risks.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utilize intuitive systems and differentiated technologies, many of which are proprietary.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 and significant reinsurance treaties.</w:t>
      </w:r>
    </w:p>
    <w:p>
      <w:pPr>
        <w:spacing w:after="0" w:line="80" w:lineRule="exact"/>
        <w:rPr>
          <w:sz w:val="20"/>
          <w:szCs w:val="20"/>
          <w:color w:val="auto"/>
        </w:rPr>
      </w:pPr>
    </w:p>
    <w:p>
      <w:pPr>
        <w:ind w:right="160" w:firstLine="351"/>
        <w:spacing w:after="0" w:line="286" w:lineRule="auto"/>
        <w:rPr>
          <w:sz w:val="20"/>
          <w:szCs w:val="20"/>
          <w:color w:val="auto"/>
        </w:rPr>
      </w:pPr>
      <w:r>
        <w:rPr>
          <w:rFonts w:ascii="Arial" w:cs="Arial" w:eastAsia="Arial" w:hAnsi="Arial"/>
          <w:sz w:val="17"/>
          <w:szCs w:val="17"/>
          <w:i w:val="1"/>
          <w:iCs w:val="1"/>
          <w:color w:val="auto"/>
        </w:rPr>
        <w:t xml:space="preserve">Focus on Small and Medium-Sized Casualty Niche and Specialty Business. </w:t>
      </w:r>
      <w:r>
        <w:rPr>
          <w:rFonts w:ascii="Arial" w:cs="Arial" w:eastAsia="Arial" w:hAnsi="Arial"/>
          <w:sz w:val="17"/>
          <w:szCs w:val="17"/>
          <w:color w:val="auto"/>
        </w:rPr>
        <w:t>We believe that small and medium-sized casualty accounts, in niche areas</w:t>
      </w:r>
      <w:r>
        <w:rPr>
          <w:rFonts w:ascii="Arial" w:cs="Arial" w:eastAsia="Arial" w:hAnsi="Arial"/>
          <w:sz w:val="17"/>
          <w:szCs w:val="17"/>
          <w:i w:val="1"/>
          <w:iCs w:val="1"/>
          <w:color w:val="auto"/>
        </w:rPr>
        <w:t xml:space="preserve"> </w:t>
      </w:r>
      <w:r>
        <w:rPr>
          <w:rFonts w:ascii="Arial" w:cs="Arial" w:eastAsia="Arial" w:hAnsi="Arial"/>
          <w:sz w:val="17"/>
          <w:szCs w:val="17"/>
          <w:color w:val="auto"/>
        </w:rPr>
        <w:t>where we focus, are consistently among the most attractive subsets of the property-casualty insurance and reinsurance market. We think the unique characteristics of the risks within these markets require each account to be individually underwritten in an efficient manner.</w:t>
      </w:r>
    </w:p>
    <w:p>
      <w:pPr>
        <w:spacing w:after="0" w:line="5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still more likely to produce consistent results over time and across markets. While we believe the insurance and reinsurance industry is generally overcapitalized at this time, we are successfully increasing rates in our Excess and Surplus Lines and Specialty Admitted Insurance segments. Pricing on our E&amp;S renewal book has increases for twelve consecutive quarters. The E&amp;S and Specialty Admitted segments combined represented 89.1% of our gross written premiums and 83.1% of our net written premiums for the twelve months ended December 31, 2019. We believe that there are compelling opportunities for measured but profitable growth in many sectors of the insurance markets we target.</w:t>
      </w:r>
    </w:p>
    <w:p>
      <w:pPr>
        <w:spacing w:after="0" w:line="61" w:lineRule="exact"/>
        <w:rPr>
          <w:sz w:val="20"/>
          <w:szCs w:val="20"/>
          <w:color w:val="auto"/>
        </w:rPr>
      </w:pPr>
    </w:p>
    <w:p>
      <w:pPr>
        <w:ind w:right="240" w:firstLine="351"/>
        <w:spacing w:after="0" w:line="302" w:lineRule="auto"/>
        <w:rPr>
          <w:sz w:val="20"/>
          <w:szCs w:val="20"/>
          <w:color w:val="auto"/>
        </w:rPr>
      </w:pPr>
      <w:r>
        <w:rPr>
          <w:rFonts w:ascii="Arial" w:cs="Arial" w:eastAsia="Arial" w:hAnsi="Arial"/>
          <w:sz w:val="16"/>
          <w:szCs w:val="16"/>
          <w:i w:val="1"/>
          <w:iCs w:val="1"/>
          <w:color w:val="auto"/>
        </w:rPr>
        <w:t xml:space="preserve">Active Claims Management. </w:t>
      </w:r>
      <w:r>
        <w:rPr>
          <w:rFonts w:ascii="Arial" w:cs="Arial" w:eastAsia="Arial" w:hAnsi="Arial"/>
          <w:sz w:val="16"/>
          <w:szCs w:val="16"/>
          <w:color w:val="auto"/>
        </w:rPr>
        <w:t>Our U.S.-based primary insurance companies actively manage claims as part of keeping losses and loss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low. We attempt to investigate thoroughly and settle promptly all covered claims, which we generally accomplish through direct contact with the insured and other affected parties. We have historically been able to close approximately 95% of claims from a particular policy year within the five subsequent years, and as of December 31, 2019, our reserves for claims incurred but not reported (“IBNR”) were 60.3% of our total net loss reserves.</w:t>
      </w:r>
    </w:p>
    <w:p>
      <w:pPr>
        <w:spacing w:after="0" w:line="46" w:lineRule="exact"/>
        <w:rPr>
          <w:sz w:val="20"/>
          <w:szCs w:val="20"/>
          <w:color w:val="auto"/>
        </w:rPr>
      </w:pPr>
    </w:p>
    <w:p>
      <w:pPr>
        <w:ind w:right="20" w:firstLine="351"/>
        <w:spacing w:after="0" w:line="279" w:lineRule="auto"/>
        <w:rPr>
          <w:sz w:val="20"/>
          <w:szCs w:val="20"/>
          <w:color w:val="auto"/>
        </w:rPr>
      </w:pPr>
      <w:r>
        <w:rPr>
          <w:rFonts w:ascii="Arial" w:cs="Arial" w:eastAsia="Arial" w:hAnsi="Arial"/>
          <w:sz w:val="17"/>
          <w:szCs w:val="17"/>
          <w:i w:val="1"/>
          <w:iCs w:val="1"/>
          <w:color w:val="auto"/>
        </w:rPr>
        <w:t xml:space="preserve">Efficient Operating Platform. </w:t>
      </w:r>
      <w:r>
        <w:rPr>
          <w:rFonts w:ascii="Arial" w:cs="Arial" w:eastAsia="Arial" w:hAnsi="Arial"/>
          <w:sz w:val="17"/>
          <w:szCs w:val="17"/>
          <w:color w:val="auto"/>
        </w:rPr>
        <w:t>We have what we believe to be a sector leading expense ratio, as we carefully manage personnel and all other costs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our group while growing our business. For the year ended December 31, 2019, our expense ratio was 19.6%. Additionally, our Bermuda domicile and operations provide for capital flexibility and an efficient tax structure. At December 31, 2019, 46.6% of our invested assets were held at JRG Re, which benefits from a favorable operating environment, including an absence of corporate income or investment taxes.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We believe our approach to our business will help us achieve our goal of generating compelling returns on tangible equity while limiting volatility in our financial results. This approach involves the following:</w:t>
      </w:r>
    </w:p>
    <w:p>
      <w:pPr>
        <w:spacing w:after="0" w:line="62" w:lineRule="exact"/>
        <w:rPr>
          <w:sz w:val="20"/>
          <w:szCs w:val="20"/>
          <w:color w:val="auto"/>
        </w:rPr>
      </w:pPr>
    </w:p>
    <w:p>
      <w:pPr>
        <w:ind w:right="120" w:firstLine="351"/>
        <w:spacing w:after="0" w:line="277" w:lineRule="auto"/>
        <w:rPr>
          <w:sz w:val="20"/>
          <w:szCs w:val="20"/>
          <w:color w:val="auto"/>
        </w:rPr>
      </w:pPr>
      <w:r>
        <w:rPr>
          <w:rFonts w:ascii="Arial" w:cs="Arial" w:eastAsia="Arial" w:hAnsi="Arial"/>
          <w:sz w:val="18"/>
          <w:szCs w:val="18"/>
          <w:i w:val="1"/>
          <w:iCs w:val="1"/>
          <w:color w:val="auto"/>
        </w:rPr>
        <w:t xml:space="preserve">Generate Consistent Underwriting Profits. </w:t>
      </w:r>
      <w:r>
        <w:rPr>
          <w:rFonts w:ascii="Arial" w:cs="Arial" w:eastAsia="Arial" w:hAnsi="Arial"/>
          <w:sz w:val="18"/>
          <w:szCs w:val="18"/>
          <w:color w:val="auto"/>
        </w:rPr>
        <w:t>We seek to make underwriting profits each and every year. We attempt to find ways to grow in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to be profitable, but are less concerned about growth than maintaining profitability in our</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underwriting activities (measured without regard to investment income). We are willing to reduce the premiums we write when we cannot achieve the pricing and contract terms we believe are necessary to meet our financial goals.</w:t>
      </w:r>
    </w:p>
    <w:p>
      <w:pPr>
        <w:spacing w:after="0" w:line="62" w:lineRule="exact"/>
        <w:rPr>
          <w:sz w:val="20"/>
          <w:szCs w:val="20"/>
          <w:color w:val="auto"/>
        </w:rPr>
      </w:pPr>
    </w:p>
    <w:p>
      <w:pPr>
        <w:ind w:right="540" w:firstLine="351"/>
        <w:spacing w:after="0" w:line="312" w:lineRule="auto"/>
        <w:rPr>
          <w:sz w:val="20"/>
          <w:szCs w:val="20"/>
          <w:color w:val="auto"/>
        </w:rPr>
      </w:pPr>
      <w:r>
        <w:rPr>
          <w:rFonts w:ascii="Arial" w:cs="Arial" w:eastAsia="Arial" w:hAnsi="Arial"/>
          <w:sz w:val="16"/>
          <w:szCs w:val="16"/>
          <w:i w:val="1"/>
          <w:iCs w:val="1"/>
          <w:color w:val="auto"/>
        </w:rPr>
        <w:t xml:space="preserve">Maintain a Strong Balance Sheet. </w:t>
      </w:r>
      <w:r>
        <w:rPr>
          <w:rFonts w:ascii="Arial" w:cs="Arial" w:eastAsia="Arial" w:hAnsi="Arial"/>
          <w:sz w:val="16"/>
          <w:szCs w:val="16"/>
          <w:color w:val="auto"/>
        </w:rPr>
        <w:t>Balance sheet integrity is key to our long-term success. In order to maintain balance sheet integrity, we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amount of future obligations, especially reserves for losses and loss adjustment expenses, in a consistent and appropriate fashion. From December 31, 2007 through December 31, 2019, we have experienced $37.0 million of cumulative net favorable reserve development.</w:t>
      </w:r>
    </w:p>
    <w:p>
      <w:pPr>
        <w:spacing w:after="0" w:line="3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Earn a Meaningful Contribution from Investments. </w:t>
      </w:r>
      <w:r>
        <w:rPr>
          <w:rFonts w:ascii="Arial" w:cs="Arial" w:eastAsia="Arial" w:hAnsi="Arial"/>
          <w:sz w:val="18"/>
          <w:szCs w:val="18"/>
          <w:color w:val="auto"/>
        </w:rPr>
        <w:t>We seek to earn a meaningful contribution to our overall returns from our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Focus on Specialty Insurance Markets and Fee Income. </w:t>
      </w:r>
      <w:r>
        <w:rPr>
          <w:rFonts w:ascii="Arial" w:cs="Arial" w:eastAsia="Arial" w:hAnsi="Arial"/>
          <w:sz w:val="18"/>
          <w:szCs w:val="18"/>
          <w:color w:val="auto"/>
        </w:rPr>
        <w:t>By focusing on specialty markets in which our underwriters have particular expertise and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fewer competitors than in standard markets, and greater flexibility to price and structure our products in accordance with our underwriting strategy. We believe underwriting profitability can best be achieved through restricting our risk taking on insurance and reinsurance to niches where, because of our expertise, we can distinguish ourselves in the underwriting and pricing process. We also believe that we can achieve attractive returns on capital through the growth of our fronting business, as we carefully manage credit and collateral to generate attractive fee income, while generally utilizing less capital than in our highly underwritten businesses.</w:t>
      </w:r>
    </w:p>
    <w:p>
      <w:pPr>
        <w:spacing w:after="0" w:line="85" w:lineRule="exact"/>
        <w:rPr>
          <w:sz w:val="20"/>
          <w:szCs w:val="20"/>
          <w:color w:val="auto"/>
        </w:rPr>
      </w:pPr>
    </w:p>
    <w:p>
      <w:pPr>
        <w:ind w:right="60" w:firstLine="351"/>
        <w:spacing w:after="0" w:line="297" w:lineRule="auto"/>
        <w:rPr>
          <w:sz w:val="20"/>
          <w:szCs w:val="20"/>
          <w:color w:val="auto"/>
        </w:rPr>
      </w:pPr>
      <w:r>
        <w:rPr>
          <w:rFonts w:ascii="Arial" w:cs="Arial" w:eastAsia="Arial" w:hAnsi="Arial"/>
          <w:sz w:val="16"/>
          <w:szCs w:val="16"/>
          <w:i w:val="1"/>
          <w:iCs w:val="1"/>
          <w:color w:val="auto"/>
        </w:rPr>
        <w:t xml:space="preserve">Use Timely and Accurate Data. </w:t>
      </w:r>
      <w:r>
        <w:rPr>
          <w:rFonts w:ascii="Arial" w:cs="Arial" w:eastAsia="Arial" w:hAnsi="Arial"/>
          <w:sz w:val="16"/>
          <w:szCs w:val="16"/>
          <w:color w:val="auto"/>
        </w:rPr>
        <w:t>We design our internal processing and data collection systems to provide our management team with accurate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5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Respond Rapidly to Market Opportunities and Challenges. </w:t>
      </w:r>
      <w:r>
        <w:rPr>
          <w:rFonts w:ascii="Arial" w:cs="Arial" w:eastAsia="Arial" w:hAnsi="Arial"/>
          <w:sz w:val="18"/>
          <w:szCs w:val="18"/>
          <w:color w:val="auto"/>
        </w:rPr>
        <w:t>For the year ended December 31, 2019, our Excess and Surplus Lines segment gross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increased by 40.5% over the same period in 2018. We plan to grow our business to take advantage of opportunities in markets in which we believe we can use our expertise to generate consistent underwriting profits. We seek to measure rates monthly and react quickly to changes in the rates or terms the market will accept. In this favorable pricing environment, we have taken steps to grow and are increasing gross written premiums across most underwriting divisions in this segment. In 2019, our growth was primarily focused in our Commercial Auto, General Casualty, Excess Casualty, and Manufacturers &amp; Contractors divisions within our Excess and Surplus Lines segment. This very specific evaluation of each risk or class of risks is a hallmark of our underwriting.</w:t>
      </w:r>
    </w:p>
    <w:p>
      <w:pPr>
        <w:spacing w:after="0" w:line="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 Our proactive approach is exemplified by the Company's decision in October 2019 to deliver a notice of early cancellation, effective December 31, 2019, of all insurance policies issued to our largest customer, Rasier. The decision, coming after careful deliberation and a thorough review, was made due to a number of factors including changes in the risk, including most recently the enactment of California Assembly Bill 5 (AB5) and its anticipated impact on the Rasier business, unsatisfactory underwriting profits from the Rasier business, and a desire to refocus on the Company's growing E&amp;S core (non-commercial auto) lines of business where the Company has experienced many years of profitable underwriting results.</w:t>
      </w:r>
    </w:p>
    <w:p>
      <w:pPr>
        <w:spacing w:after="0" w:line="59"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i w:val="1"/>
          <w:iCs w:val="1"/>
          <w:color w:val="auto"/>
        </w:rPr>
        <w:t xml:space="preserve">Manage Capital Actively. </w:t>
      </w:r>
      <w:r>
        <w:rPr>
          <w:rFonts w:ascii="Arial" w:cs="Arial" w:eastAsia="Arial" w:hAnsi="Arial"/>
          <w:sz w:val="17"/>
          <w:szCs w:val="17"/>
          <w:color w:val="auto"/>
        </w:rPr>
        <w:t>We seek to make “both sides” of our balance sheet generate better than average risk-adjusted returns. We invest and manage</w:t>
      </w:r>
      <w:r>
        <w:rPr>
          <w:rFonts w:ascii="Arial" w:cs="Arial" w:eastAsia="Arial" w:hAnsi="Arial"/>
          <w:sz w:val="17"/>
          <w:szCs w:val="17"/>
          <w:i w:val="1"/>
          <w:iCs w:val="1"/>
          <w:color w:val="auto"/>
        </w:rPr>
        <w:t xml:space="preserve"> </w:t>
      </w:r>
      <w:r>
        <w:rPr>
          <w:rFonts w:ascii="Arial" w:cs="Arial" w:eastAsia="Arial" w:hAnsi="Arial"/>
          <w:sz w:val="17"/>
          <w:szCs w:val="17"/>
          <w:color w:val="auto"/>
        </w:rPr>
        <w:t>our capital with a goal of consistently increasing tangible equity for our shareholders and generating 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We may not, however, always be able to raise capital when needed. We declared dividends to our shareholders of $36.8 million ($1.20 per share) during 2019, $36.3 million ($1.20 per share) in 2018 and $50.7 million ($1.70 per share including a $0.50 per share special dividend) in 2017. While we have declared a special dividend in the past, we continue to find what we believe are attractive opportunities to earn a compelling return on our capital in the businesses that we target and therefore did not declare a special dividend in 2018 or 2019. Our ratings from A.M. Best are very important to us, as are our relationships with our regulators, and maintaining them in good order is a principal consideration in our decisions regarding capital management.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chart below displays our corporate structure as of December 31, 2019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83185</wp:posOffset>
            </wp:positionV>
            <wp:extent cx="4253865" cy="2658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386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Surplus Lines Segment</w:t>
      </w:r>
    </w:p>
    <w:p>
      <w:pPr>
        <w:spacing w:after="0" w:line="11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We report our U.S.-based E&amp;S lines of business in our Excess and Surplus Lines segment. We underwrite non-admitted business through our subsidiaries, James River Insurance Company and James River Casualty Company, from offices in Richmond, Virginia; Scottsdale, Arizona; and Atlanta, Georgia. James River Insurance is our largest subsidiary as measured by gross written premiums (62.7% of consolidated gross written premiums for the year ended December 31, 2019 came from our Excess and Surplus Lines segment) and has been engaged in E&amp;S insurance for 17 years. James River Insurance has had a consistent record of underwriting profits since its second year of operation. We added James River Casualty in 2009 to give us the ability to write E&amp;S risks in Ohio.</w:t>
      </w:r>
    </w:p>
    <w:p>
      <w:pPr>
        <w:spacing w:after="0" w:line="8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E&amp;S lines insurance focuses on insureds that generally cannot purchase insurance from standard lines insurers typically due to perceived risk related to their businesses. Our Excess and Surplus Lines segment underwrites property-casualty insurance on an E&amp;S lines basis in all states and the District of Columbia. Our Excess and Surplus Lines segment distributes its policies through a network of authorized independent wholesale brokers throughout the United States. In 2019, our Excess and Surplus Lines segment’s gross written premiums grew by 40.5% over 2018 through growth across most underwriting divisions including our commercial auto division (with a focus on transportation network companies). Gross written premiums for our core Excess and Surplus Lines business, which excludes our commercial auto division, grew by 54.5% over 2018. The Excess and Surplus Lines segment produced an average combined ratio of 89.0% from 2010 through 2019.</w:t>
      </w:r>
    </w:p>
    <w:p>
      <w:pPr>
        <w:spacing w:after="0" w:line="8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Companies that underwrite on an E&amp;S lines basis operate under a different regulatory structure than standard market carriers. E&amp;S lines carriers are generally permitted to craft the terms of the insurance contract to suit the particular risk they are assuming. Also, E&amp;S lines carriers are, for the most part, free of rate and form regulation. In contrast, standard market carriers are 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denied coverage by the standard market and signed declarations stating that the insured is aware that it will not have access to any state guarantee funds should these subsidiaries be unable to satisfy their obligations.</w:t>
      </w:r>
    </w:p>
    <w:p>
      <w:pPr>
        <w:spacing w:after="0" w:line="81" w:lineRule="exact"/>
        <w:rPr>
          <w:sz w:val="20"/>
          <w:szCs w:val="20"/>
          <w:color w:val="auto"/>
        </w:rPr>
      </w:pPr>
    </w:p>
    <w:p>
      <w:pPr>
        <w:ind w:right="340" w:firstLine="351"/>
        <w:spacing w:after="0" w:line="264" w:lineRule="auto"/>
        <w:rPr>
          <w:sz w:val="20"/>
          <w:szCs w:val="20"/>
          <w:color w:val="auto"/>
        </w:rPr>
      </w:pPr>
      <w:r>
        <w:rPr>
          <w:rFonts w:ascii="Arial" w:cs="Arial" w:eastAsia="Arial" w:hAnsi="Arial"/>
          <w:sz w:val="18"/>
          <w:szCs w:val="18"/>
          <w:color w:val="auto"/>
        </w:rPr>
        <w:t>Our Excess and Surplus Lines segment writes policies for a wide range of businesses and does not write personal lines insurance. Applications for insurance are presented to us by authorized wholesale brokers who are typically engaged by retail agents after their clients have been rejected by standard markets.</w:t>
      </w:r>
    </w:p>
    <w:p>
      <w:pPr>
        <w:spacing w:after="0" w:line="73"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In late 2017, the Excess and Surplus Lines segment started a binding contract unit (as part of our Small Business underwriting division) where limited authority for underwriting is delegated to a select, but growing, group of agents on a limited number of General Liability classes through a company designed online portal.</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All claims for business written by the Excess and Surplus Lines segment are managed by its internal claims department although we use independent adjusters for inspection and payment of certain claims.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chart below identifies the Excess and Surplus Lines segment’s divisions and sets forth the amount of gross written premiums by each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176530</wp:posOffset>
            </wp:positionV>
            <wp:extent cx="5582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Gross Written Premiums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E&amp;S Division</w:t>
            </w: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Total</w:t>
            </w:r>
          </w:p>
        </w:tc>
        <w:tc>
          <w:tcPr>
            <w:tcW w:w="34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2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405,565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73,770</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Excess Casualty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118,954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66,452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43,574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Casualty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30,972</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Manufacturers and Contractors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105,096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83,279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78,315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30,623</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Excess Property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31,606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12,498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Allied Health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Life Sciences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Small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Environmental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Sports and Entertainment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Medical Professionals</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57"/>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922,320</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656,538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530,120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370,844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308,717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351"/>
        <w:spacing w:after="0" w:line="271" w:lineRule="auto"/>
        <w:rPr>
          <w:sz w:val="20"/>
          <w:szCs w:val="20"/>
          <w:color w:val="auto"/>
        </w:rPr>
      </w:pPr>
      <w:r>
        <w:rPr>
          <w:rFonts w:ascii="Arial" w:cs="Arial" w:eastAsia="Arial" w:hAnsi="Arial"/>
          <w:sz w:val="17"/>
          <w:szCs w:val="17"/>
          <w:color w:val="auto"/>
        </w:rPr>
        <w:t>Commercial Auto underwrites primarily the hired and non-owned auto liability exposures for a variety of industry segments including package delivery services, food delivery services and livery service organizations, and has developed a particular niche for insuring organizations' operating networks connecting independent contractors with customers (transportation network companies and similar usage-based networks). One insured (Rasier) produced $374.2 million of gross written premiums, representing 40.6% of the Excess and Surplus Lines segment’s gross written premiums and 25.4% of our consolidated gross written premiums for the year ended December 31, 2019. In October 2019, the Company delivered a notice of early cancellation, effective December 31, 2019, of all insurance policies issued to Rasier. Refer to page 8 under the heading “-Our Strategy-Respond Rapidly to Market Opportunities and Challenges” for more information regarding the termination of these policies. The head underwriter in this division has 32 years of experience. Limits assumed are retained by the Company, in some cases subject to self-insured retentions of the insureds.</w:t>
      </w:r>
    </w:p>
    <w:p>
      <w:pPr>
        <w:spacing w:after="0" w:line="7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Excess Casualty underwrites excess liability coverage for a variety of risk classes including manufacturers, contractors, distributors and transportation risks. Typically, we provide between $1.0 million and $10.0 million per occurrence limits above a $1.0 million attachment point. Of this amount, we retain up to $1.0 million of exposure per occurrence and cede the balance to our reinsurers.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 The underwriter who heads this division has 36 years of industry experience.</w:t>
      </w:r>
    </w:p>
    <w:p>
      <w:pPr>
        <w:spacing w:after="0" w:line="85" w:lineRule="exact"/>
        <w:rPr>
          <w:sz w:val="20"/>
          <w:szCs w:val="20"/>
          <w:color w:val="auto"/>
        </w:rPr>
      </w:pPr>
    </w:p>
    <w:p>
      <w:pPr>
        <w:ind w:right="140" w:firstLine="351"/>
        <w:spacing w:after="0" w:line="286" w:lineRule="auto"/>
        <w:rPr>
          <w:sz w:val="20"/>
          <w:szCs w:val="20"/>
          <w:color w:val="auto"/>
        </w:rPr>
      </w:pPr>
      <w:r>
        <w:rPr>
          <w:rFonts w:ascii="Arial" w:cs="Arial" w:eastAsia="Arial" w:hAnsi="Arial"/>
          <w:sz w:val="17"/>
          <w:szCs w:val="17"/>
          <w:color w:val="auto"/>
        </w:rPr>
        <w:t>General Casualty writes primary liability coverage on businesses exposed to premises liability type claims including real estate, mercantile and retail operations, apartments and condominiums, daycare facilities, hotels and motels, restaurants, bars, taverns and schools. The head underwriter in this division has 32 years of experience. Typically, we write $1.0 million per occurrence in limits, and we retain the entire $1.0 million limit.</w:t>
      </w:r>
    </w:p>
    <w:p>
      <w:pPr>
        <w:spacing w:after="0" w:line="57"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Manufacturers and Contractors writes primary general liability coverage for a variety of classes, including manufacturers of consumer, commercial, and industrial products and general and trade contractors. Typically, we issue a $1.0 million per occurrence limit in this division and we retain the entire $1.0 million limit. The individual overseeing this division has 36 years of industry experience.</w:t>
      </w:r>
    </w:p>
    <w:p>
      <w:pPr>
        <w:spacing w:after="0" w:line="73" w:lineRule="exact"/>
        <w:rPr>
          <w:sz w:val="20"/>
          <w:szCs w:val="20"/>
          <w:color w:val="auto"/>
        </w:rPr>
      </w:pPr>
    </w:p>
    <w:p>
      <w:pPr>
        <w:jc w:val="both"/>
        <w:ind w:right="100" w:firstLine="351"/>
        <w:spacing w:after="0" w:line="264" w:lineRule="auto"/>
        <w:rPr>
          <w:sz w:val="20"/>
          <w:szCs w:val="20"/>
          <w:color w:val="auto"/>
        </w:rPr>
      </w:pPr>
      <w:r>
        <w:rPr>
          <w:rFonts w:ascii="Arial" w:cs="Arial" w:eastAsia="Arial" w:hAnsi="Arial"/>
          <w:sz w:val="18"/>
          <w:szCs w:val="18"/>
          <w:color w:val="auto"/>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6" w:right="27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or gas pipeline construction companies, fireworks manufacturing, mining-related risks, utilities, and utility contractors. We provide policy limits up to $11.0 million, with typical limits between $1.0 million and $5.0 million per occurrence, retaining up to $1.0 million in limit net on either a primary or excess basis. The underwriter leading this division has 39 years of experience in the business.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Excess Property writes property risks providing limits in various layers above the primary coverage layer for a variety of classes, including apartments,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condominiums, resorts, shopping centers, offices and general commercial properties. Typical per risk limits offered range from $5.0 million to $30.0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 gross basis, and a maximum of $5.0 million on a net of reinsurance basis. The average net per risk limit is approximately $2.3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retain up to the first $5.0 million in any one event or catastrophe. The underwriter leading our Excess Property division has 34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experience in the industry.</w:t>
      </w:r>
    </w:p>
    <w:p>
      <w:pPr>
        <w:spacing w:after="0" w:line="103"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 We provide policy limits up to $11.0 million, with typical limits between $1.0 million and $5.0 million per occurrence, retaining up to $1.0 million in limit net. The underwriter responsible for this unit has 26 years of experience in the business. Approximately 89% of the premiums written by our Allied Health division from inception through 2019 have been written on a claims made and reported form. We believe this policy form significantly reduces our long-term exposure in this complicated class of business.</w:t>
      </w:r>
    </w:p>
    <w:p>
      <w:pPr>
        <w:spacing w:after="0" w:line="85" w:lineRule="exact"/>
        <w:rPr>
          <w:sz w:val="20"/>
          <w:szCs w:val="20"/>
          <w:color w:val="auto"/>
        </w:rPr>
      </w:pPr>
    </w:p>
    <w:p>
      <w:pPr>
        <w:ind w:right="280" w:firstLine="351"/>
        <w:spacing w:after="0" w:line="297" w:lineRule="auto"/>
        <w:rPr>
          <w:sz w:val="20"/>
          <w:szCs w:val="20"/>
          <w:color w:val="auto"/>
        </w:rPr>
      </w:pPr>
      <w:r>
        <w:rPr>
          <w:rFonts w:ascii="Arial" w:cs="Arial" w:eastAsia="Arial" w:hAnsi="Arial"/>
          <w:sz w:val="16"/>
          <w:szCs w:val="16"/>
          <w:color w:val="auto"/>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 We provide policy limits up to $11.0 million, with typical limits between $1.0 million and $5.0 million per occurrence, retaining up to $1.0 million in limit net. The underwriter at the head of this division has 36 years of experience in the industry.</w:t>
      </w:r>
    </w:p>
    <w:p>
      <w:pPr>
        <w:spacing w:after="0" w:line="50" w:lineRule="exact"/>
        <w:rPr>
          <w:sz w:val="20"/>
          <w:szCs w:val="20"/>
          <w:color w:val="auto"/>
        </w:rPr>
      </w:pPr>
    </w:p>
    <w:p>
      <w:pPr>
        <w:ind w:right="240" w:firstLine="351"/>
        <w:spacing w:after="0" w:line="264" w:lineRule="auto"/>
        <w:rPr>
          <w:sz w:val="20"/>
          <w:szCs w:val="20"/>
          <w:color w:val="auto"/>
        </w:rPr>
      </w:pPr>
      <w:r>
        <w:rPr>
          <w:rFonts w:ascii="Arial" w:cs="Arial" w:eastAsia="Arial" w:hAnsi="Arial"/>
          <w:sz w:val="18"/>
          <w:szCs w:val="18"/>
          <w:color w:val="auto"/>
        </w:rPr>
        <w:t>Small Business concentrates on accounts with annual primary liability insurance premiums of less than $10,000. For these smaller risks, we limit flexibility in coverage options and pricing to facilitate quick turnaround and efficient processing. We generally write $1.0 million per occurrence limits and retain the entire amount. The underwriter leading this division has 26 years of industry experience.</w:t>
      </w:r>
    </w:p>
    <w:p>
      <w:pPr>
        <w:spacing w:after="0" w:line="73" w:lineRule="exact"/>
        <w:rPr>
          <w:sz w:val="20"/>
          <w:szCs w:val="20"/>
          <w:color w:val="auto"/>
        </w:rPr>
      </w:pPr>
    </w:p>
    <w:p>
      <w:pPr>
        <w:ind w:right="200" w:firstLine="351"/>
        <w:spacing w:after="0" w:line="257" w:lineRule="auto"/>
        <w:rPr>
          <w:sz w:val="20"/>
          <w:szCs w:val="20"/>
          <w:color w:val="auto"/>
        </w:rPr>
      </w:pPr>
      <w:r>
        <w:rPr>
          <w:rFonts w:ascii="Arial" w:cs="Arial" w:eastAsia="Arial" w:hAnsi="Arial"/>
          <w:sz w:val="18"/>
          <w:szCs w:val="18"/>
          <w:color w:val="auto"/>
        </w:rPr>
        <w:t>Environmental underwrites contractors’ pollution liability, products pollution liability, site specific pollution liability and consultant’s professional liability coverage on a stand-alone basis and in conjunction with the general liability coverage. The underwriter heading our Environmental division has 39 years of experience in the business. Typically, we write environmental coverage for contractors who are not engaged in environmental remediation work on an occurrence form. We provide policy limits up to $11.0 million, with typical limits between $1.0 million and $5.0 million per occurrence, retaining up to $1.0 million in limit net on a primary or excess basis.</w:t>
      </w:r>
    </w:p>
    <w:p>
      <w:pPr>
        <w:spacing w:after="0" w:line="8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Professional Liability writes professional liability coverage for accountants, architects, engineers, lawyers and certain other professions. We provide policy limits up to $11.0 million, with typical limits between $1.0 million and $5.0 million per occurrence, retaining up to $1.0 million in limit net. The individual who directs our professional liability division has 26 years of industry experience. All of our professional liability coverage is written on a claims made and reported basis.</w:t>
      </w:r>
    </w:p>
    <w:p>
      <w:pPr>
        <w:spacing w:after="0" w:line="7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Sports and Entertainment underwrites primary liability coverage for sports and entertainment related risks, including special events, family entertainment centers, tourist attractions, health clubs and sport teams, leagues and complexes. Typical limits offered are up to $1.0 million per occurrence, and we retain the entire $1.0 million limit. The underwriter at the head of this division has 32 years of experience in the industry.</w:t>
      </w:r>
    </w:p>
    <w:p>
      <w:pPr>
        <w:spacing w:after="0" w:line="73"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Medical Professionals underwrites non-standard physicians’ professional liability for individuals or small groups. Our healthcare business is a mix of both surgical and non-surgical classes. We typically provide between $1.0 million and $3.0 million per occurrence limits and retain up to $1.0 million of exposure per occurrence and cede the balance to our reinsurers. All of the policies written by this division have been issued on a claims-made and reported basis. The underwriter leading this division has 26 years of experience.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The following table identifies the top ten producing states by amount of gross written premium for our Excess and Surplus Lines segment for the year ended December 31, 2019 and the amount of gross written premium produced by such states for the years ended December 31, 2018, 2017, 2016 and 2015. The table also shows the percentage of each states’ gross written premium to total gross written premium in the Excess and Surplus Lines segment for the years ended December 31, 2019,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860" w:type="dxa"/>
            <w:vAlign w:val="bottom"/>
          </w:tcPr>
          <w:p>
            <w:pPr>
              <w:jc w:val="center"/>
              <w:ind w:right="1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88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9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1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Written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Written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9"/>
              </w:rPr>
              <w:t>Written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Written</w:t>
            </w:r>
          </w:p>
        </w:tc>
        <w:tc>
          <w:tcPr>
            <w:tcW w:w="180" w:type="dxa"/>
            <w:vAlign w:val="bottom"/>
          </w:tcPr>
          <w:p>
            <w:pPr>
              <w:spacing w:after="0"/>
              <w:rPr>
                <w:sz w:val="12"/>
                <w:szCs w:val="12"/>
                <w:color w:val="auto"/>
              </w:rPr>
            </w:pPr>
          </w:p>
        </w:tc>
        <w:tc>
          <w:tcPr>
            <w:tcW w:w="9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9"/>
              </w:rPr>
              <w:t>Written</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Premiums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Premiums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Premiums</w:t>
            </w:r>
          </w:p>
        </w:tc>
        <w:tc>
          <w:tcPr>
            <w:tcW w:w="0" w:type="dxa"/>
            <w:vAlign w:val="bottom"/>
          </w:tcPr>
          <w:p>
            <w:pPr>
              <w:spacing w:after="0"/>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368,488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153,340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125,343</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89,680</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54,417</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47,585</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24,314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Texas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51,978</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31,604</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29,567</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24,491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Virginia</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23,563</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15,532</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10,741</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Washington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16,573</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17,329</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13,697</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43"/>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Louisiana</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16,001</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12,654</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8,508</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states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217,748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221,554</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177,680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79,387</w:t>
            </w:r>
          </w:p>
        </w:tc>
        <w:tc>
          <w:tcPr>
            <w:tcW w:w="0" w:type="dxa"/>
            <w:vAlign w:val="bottom"/>
          </w:tcPr>
          <w:p>
            <w:pPr>
              <w:spacing w:after="0"/>
              <w:rPr>
                <w:sz w:val="1"/>
                <w:szCs w:val="1"/>
                <w:color w:val="auto"/>
              </w:rPr>
            </w:pPr>
          </w:p>
        </w:tc>
      </w:tr>
      <w:tr>
        <w:trPr>
          <w:trHeight w:val="257"/>
        </w:trPr>
        <w:tc>
          <w:tcPr>
            <w:tcW w:w="13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922,320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656,538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530,120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370,844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308,717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ind w:right="20" w:firstLine="351"/>
        <w:spacing w:after="0" w:line="273" w:lineRule="auto"/>
        <w:rPr>
          <w:sz w:val="20"/>
          <w:szCs w:val="20"/>
          <w:color w:val="auto"/>
        </w:rPr>
      </w:pPr>
      <w:r>
        <w:rPr>
          <w:rFonts w:ascii="Arial" w:cs="Arial" w:eastAsia="Arial" w:hAnsi="Arial"/>
          <w:sz w:val="17"/>
          <w:szCs w:val="17"/>
          <w:color w:val="auto"/>
        </w:rPr>
        <w:t>The Excess and Surplus Lines segment distributes its products primarily through a select group of licensed E&amp;S lines brokers we believe can consistently produce reasonable volumes of quality business. These brokers procure policies for their clients from us as well as from other insurance companies. At December 31, 2019, the segment had authorized 116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number of General Agents underwriting small-account commercial risks through our online Contract Binding portal.</w:t>
      </w:r>
    </w:p>
    <w:p>
      <w:pPr>
        <w:spacing w:after="0" w:line="70"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competently produce both the quality and quantity of business that we seek. Brokers unable to produce consistently profitable business, or who produce unacceptably low volumes of business, may be terminated. Our Excess and Surplus Lines segment’s underwriters regularly visit with brokers in their offices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Excess and Surplus Lines segment’s three largest brokers produced $686.4 million of gross written premiums for the year ended December 31, 2019, representing approximately 74.4% of the Excess and Surplus Lines segment’s gross written premiums for 2019. The three largest brokers produced $472.6 million (BB&amp;T Insurance Services represented 32.1% of consolidated gross written premiums), $115.2 million, and $98.6 million of gross written premiums for the year ended December 31, 2019, respectively. One insured (Rasier, whose insurance policies were cancelled as of December 31, 2019) produced $374.2 million of gross written premiums (representing 25.4% of our consolidated gross written premiums) and $9.1 million of fee income for the year ended December 31, 2019.</w:t>
      </w:r>
    </w:p>
    <w:p>
      <w:pPr>
        <w:spacing w:after="0" w:line="85"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In 2019 and 2018, our Excess and Surplus Lines segment paid an average commission to producers of 10.7% and 9.6%, respectively, of gross written premiums.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11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Our Excess and Surplus Lines segment’s staff includes over 175 individuals directly employed in underwriting policies as of December 31, 2019. We are very selective about the policies we bind. Our Excess and Surplus Lines segment binds approximately 3% of new submissions and one out of every five new quotes. We realize all excess and surplus lines applications have already been rejected by the standard market. If our underwriters cannot reasonably expect to bind coverage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combination of premiums and coverage that meet our standards, they are encouraged to quickly move on to another prospective opportunity. For the year ended December 31, 2019, we received approximately 273,000 submissions (new and renewal, excluding commercial auto policies), quoted over 56,000 policies and bound over 19,000 policies.</w:t>
      </w:r>
    </w:p>
    <w:p>
      <w:pPr>
        <w:spacing w:after="0" w:line="73"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w:t>
      </w:r>
    </w:p>
    <w:p>
      <w:pPr>
        <w:spacing w:after="0" w:line="73" w:lineRule="exact"/>
        <w:rPr>
          <w:sz w:val="20"/>
          <w:szCs w:val="20"/>
          <w:color w:val="auto"/>
        </w:rPr>
      </w:pPr>
    </w:p>
    <w:p>
      <w:pPr>
        <w:ind w:firstLine="351"/>
        <w:spacing w:after="0" w:line="297" w:lineRule="auto"/>
        <w:rPr>
          <w:sz w:val="20"/>
          <w:szCs w:val="20"/>
          <w:color w:val="auto"/>
        </w:rPr>
      </w:pPr>
      <w:r>
        <w:rPr>
          <w:rFonts w:ascii="Arial" w:cs="Arial" w:eastAsia="Arial" w:hAnsi="Arial"/>
          <w:sz w:val="16"/>
          <w:szCs w:val="16"/>
          <w:color w:val="auto"/>
        </w:rPr>
        <w:t>We attempt to craft policies that offer affordable protection to our insureds by tailoring coverage in ways that make potential losses more predictable and are intended to reduce claims costs. For example, we frequently use a “punitive damages exclusion” and “defense inside the limits” endorsements, intended to prevent excessive defense costs; “assault and battery” exclusions or sub limits that are less than the full policy limits which allows us to quantify and limit our losses more precisely than in policies without the exclusion; and “classification limitation” and “specified location” endorsements that limit coverage to known exposures and locations. We have no material exposure to asbestos, lead paint, silica, mold, or nuclear, biological, or chemical terrorism.</w:t>
      </w:r>
    </w:p>
    <w:p>
      <w:pPr>
        <w:spacing w:after="0" w:line="50"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effective management of claims settlement and any associated litigation avoids delays and associated additional costs.</w:t>
      </w:r>
    </w:p>
    <w:p>
      <w:pPr>
        <w:spacing w:after="0" w:line="117" w:lineRule="exact"/>
        <w:rPr>
          <w:sz w:val="20"/>
          <w:szCs w:val="20"/>
          <w:color w:val="auto"/>
        </w:rPr>
      </w:pPr>
    </w:p>
    <w:p>
      <w:pPr>
        <w:ind w:right="200" w:firstLine="351"/>
        <w:spacing w:after="0" w:line="277" w:lineRule="auto"/>
        <w:rPr>
          <w:sz w:val="20"/>
          <w:szCs w:val="20"/>
          <w:color w:val="auto"/>
        </w:rPr>
      </w:pPr>
      <w:r>
        <w:rPr>
          <w:rFonts w:ascii="Arial" w:cs="Arial" w:eastAsia="Arial" w:hAnsi="Arial"/>
          <w:sz w:val="18"/>
          <w:szCs w:val="18"/>
          <w:color w:val="auto"/>
        </w:rPr>
        <w:t>Our Excess and Surplus Lines segment’s claims department consists of over 300 claims professionals as of December 31, 2019 with significant claims experience in the property-casualty industry.</w:t>
      </w:r>
    </w:p>
    <w:p>
      <w:pPr>
        <w:spacing w:after="0" w:line="62" w:lineRule="exact"/>
        <w:rPr>
          <w:sz w:val="20"/>
          <w:szCs w:val="20"/>
          <w:color w:val="auto"/>
        </w:rPr>
      </w:pPr>
    </w:p>
    <w:p>
      <w:pPr>
        <w:ind w:right="80" w:firstLine="351"/>
        <w:spacing w:after="0" w:line="270" w:lineRule="auto"/>
        <w:rPr>
          <w:sz w:val="20"/>
          <w:szCs w:val="20"/>
          <w:color w:val="auto"/>
        </w:rPr>
      </w:pPr>
      <w:r>
        <w:rPr>
          <w:rFonts w:ascii="Arial" w:cs="Arial" w:eastAsia="Arial" w:hAnsi="Arial"/>
          <w:sz w:val="17"/>
          <w:szCs w:val="17"/>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74" w:lineRule="exact"/>
        <w:rPr>
          <w:sz w:val="20"/>
          <w:szCs w:val="20"/>
          <w:color w:val="auto"/>
        </w:rPr>
      </w:pPr>
    </w:p>
    <w:p>
      <w:pPr>
        <w:jc w:val="both"/>
        <w:ind w:right="360" w:firstLine="351"/>
        <w:spacing w:after="0" w:line="264" w:lineRule="auto"/>
        <w:rPr>
          <w:sz w:val="20"/>
          <w:szCs w:val="20"/>
          <w:color w:val="auto"/>
        </w:rPr>
      </w:pPr>
      <w:r>
        <w:rPr>
          <w:rFonts w:ascii="Arial" w:cs="Arial" w:eastAsia="Arial" w:hAnsi="Arial"/>
          <w:sz w:val="18"/>
          <w:szCs w:val="18"/>
          <w:color w:val="auto"/>
        </w:rPr>
        <w:t>Our claims staff also contributes to our underwriting operations through communication of claims information to our underwriters. The Senior Vice President and Chief Claims Officer heads our forms committee, which reviews and develops all policy forms and exclusions, and is also a member of the underwriting review committee.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Approximately 95% of all claims received are closed within five years in the Excess and Surplus Lines segment.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9240" w:type="dxa"/>
            <w:vAlign w:val="bottom"/>
            <w:gridSpan w:val="2"/>
          </w:tcPr>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2060" w:type="dxa"/>
            <w:vAlign w:val="bottom"/>
          </w:tcPr>
          <w:p>
            <w:pPr>
              <w:spacing w:after="0"/>
              <w:rPr>
                <w:sz w:val="13"/>
                <w:szCs w:val="13"/>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39"/>
        </w:trPr>
        <w:tc>
          <w:tcPr>
            <w:tcW w:w="9240" w:type="dxa"/>
            <w:vAlign w:val="bottom"/>
            <w:gridSpan w:val="2"/>
          </w:tcPr>
          <w:p>
            <w:pPr>
              <w:ind w:left="360"/>
              <w:spacing w:after="0"/>
              <w:rPr>
                <w:sz w:val="20"/>
                <w:szCs w:val="20"/>
                <w:color w:val="auto"/>
              </w:rPr>
            </w:pPr>
            <w:r>
              <w:rPr>
                <w:rFonts w:ascii="Arial" w:cs="Arial" w:eastAsia="Arial" w:hAnsi="Arial"/>
                <w:sz w:val="18"/>
                <w:szCs w:val="18"/>
                <w:color w:val="auto"/>
              </w:rPr>
              <w:t>The calendar year net loss ratios for the Excess and Surplus Lines segment for the last ten years were:</w:t>
            </w:r>
          </w:p>
        </w:tc>
        <w:tc>
          <w:tcPr>
            <w:tcW w:w="2060" w:type="dxa"/>
            <w:vAlign w:val="bottom"/>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2011</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2013</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2015</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2017</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7"/>
        </w:trPr>
        <w:tc>
          <w:tcPr>
            <w:tcW w:w="12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9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2019</w:t>
            </w:r>
          </w:p>
        </w:tc>
        <w:tc>
          <w:tcPr>
            <w:tcW w:w="79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84.4%</w:t>
            </w:r>
          </w:p>
        </w:tc>
      </w:tr>
    </w:tbl>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2019, 2018 and 2017 calendar year loss ratios for the Excess and Surplus Lines segment were impacted by adverse reserve development of $57.4 million, $20.7 million, and $38.7 million, respectively, in the commercial auto line of business. The adverse development was primarily related to the 2016 and 2017 contract years with Rasier.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 Segment</w:t>
      </w:r>
    </w:p>
    <w:p>
      <w:pPr>
        <w:spacing w:after="0" w:line="117"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The Falls Lake Insurance Companies (“Falls Lake”) comprise our other U.S. insurance segment, Specialty Admitted Insurance. Falls Lake consists of Falls Lake National Insurance Company (an Ohio domiciled company, licensed in 48 states and the District of Columbia and registered as a surplus lines company in California), and its subsidiaries Stonewood Insurance Company (a North Carolina domiciled company) and Falls Lake Fire and Casualty Company (a California domiciled company). The Specialty Admitted Insurance segment produced 26.4% of consolidated gross written premiums for the year ended December 31,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plan is to continue to use our broad licensure and significant management expertise to earn substantial fee income as well as underwriting profits.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Specialty Admitted Insurance segment consists of:</w:t>
      </w:r>
    </w:p>
    <w:p>
      <w:pPr>
        <w:spacing w:after="0" w:line="103" w:lineRule="exact"/>
        <w:rPr>
          <w:sz w:val="20"/>
          <w:szCs w:val="20"/>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Individual risk workers’ compensation business, underwritten by our staff and generated by appointed agents in 14 states produced 16.4% of 2019 gross written premiums in this segment, (14.8% in 2018, 13.9% in 2017, 21.7% in 2016, and 39.5% in 2015); and</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Fronting and program business written through selected MGAs, insurance carriers, and other producers which represented 83.6% of 2019 gross written premiums in this segment, (85.2% in 2018, 86.1% in 2017, 78.3% in 2016, and 60.5% in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Workers’ Compensation Business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individual risk workers’ compensation business, produced through a distribution channel comprised of appointed independent retail agents and a limited number of appointed wholesale brokers, remains a regionally focused effort in select Southeastern and Eastern U.S. states. For the year ended December 31, 2019, approximately 39% of our retail produced workers’ compensation direct written premiums were in North Carolina, 17% were in Georgia, 15% were in Virginia, and 9% were in South Carolina. Building trades represented approximately 30% of the direct premiums in force in our retail produced workers’ compensation book in 2019. Other significant industry groups include healthcare employees (15%), goods and services (15%), specialty transportation (15%), manufacturing (12%), and agriculture (7%). We view our retail produced workers’ compensation business as a core competency and seek to make consistent underwriting profits from it. We recognize the cyclical nature of this line and are prepared to contract the business rapidly when rates decline, or the regulatory or economic environment makes it difficult to contain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Fronting &amp; Program Business</w:t>
      </w:r>
    </w:p>
    <w:p>
      <w:pPr>
        <w:spacing w:after="0" w:line="11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our fronting business we issue insurance policies for another insurance company which may not have the licensure, product suite or rating to serve its desired market, or for a program supported by reinsurance or alternative capital provider(s). We generally retain up to 10%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their desired segment of property-casualty, workers' compensation or automobile business. Underwriting, claims and financial performance is subject to regular review by our staff, and we hold appropriate collateral to manage counterparty credit risk. We specifically grant limited authority for underwriting and claims administration and employ a rigorous review process to ensure the authority is appropriately used within the terms of our contract, and that collateral held by us is appropriate as determined by our personnel.</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charge fees as a percentage of gross written premiums for issuing these policies. We establish fronting opportunities through a variety of sources, including direct carrier relationships, MGAs and reinsurance brokers.</w:t>
      </w:r>
    </w:p>
    <w:p>
      <w:pPr>
        <w:spacing w:after="0" w:line="6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Due to our broad licensure and product filings, we are positioned to support this business on a broad basis throughout the United States. Because of the limited capital allocation required to support it, we believe the fronting business represents an efficient use of capital, and we continued to expand this business in 2019. Two fronting agencies produced $146.5 million (Atlas General Insurance Services) and $53.2 million of gross written premiums in 2019, representing 10.0% and 3.6% of consolidated gross written premiums and 37.8% and 13.7% of the Specialty Admitted Insurance segment's gross written premiums, respectively. Our fronting business saw growth related to five new fronting relationships added in 2018 and 2019 that generated $120.1 million of gross written premium in the year ended December 31, 2019 compared to $34.7 million for the year ended December 31, 2018.</w:t>
      </w:r>
    </w:p>
    <w:p>
      <w:pPr>
        <w:spacing w:after="0" w:line="57" w:lineRule="exact"/>
        <w:rPr>
          <w:sz w:val="20"/>
          <w:szCs w:val="20"/>
          <w:color w:val="auto"/>
        </w:rPr>
      </w:pPr>
    </w:p>
    <w:p>
      <w:pPr>
        <w:jc w:val="both"/>
        <w:ind w:right="100" w:firstLine="351"/>
        <w:spacing w:after="0" w:line="264" w:lineRule="auto"/>
        <w:rPr>
          <w:sz w:val="20"/>
          <w:szCs w:val="20"/>
          <w:color w:val="auto"/>
        </w:rPr>
      </w:pPr>
      <w:r>
        <w:rPr>
          <w:rFonts w:ascii="Arial" w:cs="Arial" w:eastAsia="Arial" w:hAnsi="Arial"/>
          <w:sz w:val="18"/>
          <w:szCs w:val="18"/>
          <w:color w:val="auto"/>
        </w:rPr>
        <w:t>Our objective over time is to utilize the combination of fee income and underwriting profits from our Specialty Admitted Insurance segment to leverage our capital and enhance returns on tangible equity. Additionally, we expect that this fee income, which was $15.8 million in 2019, $14.8 million in 2018, and $11.3 million in 2017, will be increasingly material in future periods and provide us with a steady revenue stream.</w:t>
      </w:r>
    </w:p>
    <w:p>
      <w:pPr>
        <w:spacing w:after="0" w:line="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 fronting arrangement, we give selected MGAs authority to act on our behalf to produce, underwrite and administer policies that meet our strict underwriting and pricing guidelines. We enter into these arrangements selectively with agents who have significant experience and market presence in specialty classes of property-casualty and automobile risks. Underwriting, claims and financial performance is subject to regular review by our staff. We only work with MGAs who permit us to actively engage with them through a combination of onsite and offsite resources to facilitate our real-time supervision of their work. We specifically grant limited authority for underwriting and claims administration and employ a rigorous review process to ensure the authority is appropriately used.</w:t>
      </w:r>
    </w:p>
    <w:p>
      <w:pPr>
        <w:spacing w:after="0" w:line="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to third-party administrators for the first $50,000 of a claim, and then provide supervisory control above this amount.</w:t>
      </w:r>
    </w:p>
    <w:p>
      <w:pPr>
        <w:spacing w:after="0" w:line="3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Under the terms of these program agreements, we pay fixed commissions with a profit contingency. Our fronting business is distributed primarily through MGAs and program managers.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Excluding our Atlas program, we have ten active fronting arrangements as of December 31, 2019. During 2019, these arrangements represented 45.2% of the segment’s gross written premium.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 Segment</w:t>
      </w:r>
    </w:p>
    <w:p>
      <w:pPr>
        <w:spacing w:after="0" w:line="11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report our business of writing reinsurance for third party insurance companies in our Casualty Reinsurance segment (representing 10.9% of consolidated gross written premiums for the year ended December 31, 2019). We participate in the reinsurance business through our Bermuda domiciled reinsurance subsidiary, JRG Re, which is a Class 3B reinsurer. JRG Re provides proportional and working layer treaty reinsurance to third parties and, through December 31, 2017, also to our U.S.-based insurance subsidiaries. For purposes of management evaluation, this segment’s underwriting results only include premiums ceded by, and losses incurred with respect to, business assumed from unaffiliated companies and does not include premiums and losses ceded under the internal reinsurance arrangements.</w:t>
      </w:r>
    </w:p>
    <w:p>
      <w:pPr>
        <w:spacing w:after="0" w:line="8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Casualty Reinsurance segment underwrote $160.8 million in gross written premiums for the year ended December 31, 2019, 96.3% of which consisted of E&amp;S risks. Of those third-party premiums written by JRG Re, 79.0% is classified by the company as general liability and 15.2% as non-medical professional liability, with the balance primarily related to excess casualty and commercial auto coverages. We typically structure our reinsurance treaties as quota share arrangements with loss and risk mitigating features that align our interest with that of the ceding companies. On a premium volume basis, treaties with loss mitigation features including sliding scale ceding commissions represented 72.3% of the third-party gross written premiums during 2019 and treaties written as “proportional” arrangements represented 96.9%. We purchase very little retrocessional coverage in this segment. Almost all of the segment’s premiums are for casualty lines of business. The Casualty Reinsurance segment writes virtually no reinsurance designed to respond specifically to natural catastrophes.</w:t>
      </w:r>
    </w:p>
    <w:p>
      <w:pPr>
        <w:spacing w:after="0" w:line="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Casualty Reinsurance segment’s four largest brokers generated $53.7 million, $45.1 million, $42.4 million, and $16.7 million of gross written premiums, respectively, representing 98.3% of the segment’s gross written premiums in the year ended December 31, 2019. The Casualty Reinsurance segment’s three largest relationships with unaffiliated ceding companies generated $149.7 million of gross written premiums ($96.4 million, $30.7 million, and $22.6 million, respectively) representing 10.2% of consolidated gross written premiums and 93.1% of the Casualty Reinsurance segment's gross written premiums for the year ended December 31, 2019.</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Underwriting profits and investment income earned by JRG Re are exempt from U.S. taxation. We do, however, pay a 1% U.S. Federal excise tax on premiums ceded to JRG Re. At December 31, 2019, JRG Re invested assets made up 46.6% of our total invested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Chief Executive Officer, President and Chief Operating Officer, Chief Financial Officer and other holding company employees are part of the Corporate and Other segment. This is where we set and direct strategy for the group as a whole as well as high level objectives for each of the three operating segments. We make all capital management, capital allocation, treasury functions, information technology and group wide risk management decisions in this segment. Our decisions at this level also include reinsurance purchasing.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Reinsurance</w:t>
      </w:r>
    </w:p>
    <w:p>
      <w:pPr>
        <w:spacing w:after="0" w:line="12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We routinely purchase reinsurance for our Excess and Surplus Lines and Specialty Admitted Insurance segments and, less frequently purchase retrocessional coverage for our Casualty Reinsurance segment. The purchase of reinsurance reduces volatility by limiting our exposure to large losses and provides capacity for growth. In a reinsurance transaction, an insurance company transfers, or cedes, all or part of its exposure in return for a portion of the premium. In a retrocession transaction, a reinsurer transfers, or cedes, all or part of its exposure in return for a portion of the premium. Our companies remain legally responsible for the entire obligation to policyholders and ceding companies, irrespective of any reinsurance or retrocession coverage we may purchase. Typically, we pay claims from our own funds and then seek reimbursement from the reinsurer or retrocessionaire, as applicable. There is credit exposure with respect to losses ceded to the extent that any reinsurer or retrocessionaire is unable or unwilling to meet the obligations ceded by us under reinsurance or retrocessional treaties. The ability to collect on reinsurance or retrocessional reinsurance is subject to many factors, including the solvency of the counterparty and their interpretation of contract language and other factors. We currently have no material, ongoing disputes with any reinsurer or retrocessionaire, and we are not aware of any credit quality issues with any of our reinsurers or retrocessionaires at December 31, 2019.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Property Reinsurance</w:t>
      </w:r>
    </w:p>
    <w:p>
      <w:pPr>
        <w:spacing w:after="0" w:line="117"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color w:val="auto"/>
        </w:rPr>
        <w:t>Our focus on return on tangible equity leads us to avoid lines of business that we know are exposed to high degrees of volatility. The Excess and Surplus Lines segment writes a limited book of excess property risks (approximately $31.6 million direct written premiums in 2019). The risks assumed in this book are geographically dispersed and significantly reinsured to limit losses. The Excess and Surplus Lines segment may retain up to $5.0 million per risk on our excess property book; however, the average retained amount per risk is approximately $2.3 million. In our Specialty Admitted Insurance segment, we focus on casualty business, but we do write a limited amount of property insurance, principally through our fronting and programs business. The focus in our Casualty Reinsurance segment is also primarily casualty business, but we do have a relatively small amount of assumed business with property exposure.</w:t>
      </w:r>
    </w:p>
    <w:p>
      <w:pPr>
        <w:spacing w:after="0" w:line="57"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In our Excess and Surplus Lines segment, we purchased a surplus share reinsurance treaty specifically designed to cover property risks. The surplus share treaty along with facultative reinsurance helps ensure that our net retained limit per risk will be $5.0 million or less. Additionally, we purchased catastrophe reinsurance of $40.0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program book of business, the segment has purchased coverage for $4.0 million in excess of $1.0 million per occurrence, in addition to the protection provided under the corporate $40.0 million in excess of $5.0 million catastrophe treaty. This is also intended to cover the 1 in 1,000 year modeled aggregate PML on any property exposures the Specialty Admitted Insurance segment assumes. In our Casualty Reinsurance segment, we believe that our maximum loss from a catastrophic event is approximately $2.0 million and, as a result, we do not currently purchase retrocessional reinsurance coverage for property-catastrophe risks. We believe our pre-tax group-wide PML from a 1 in 1,000 year catastrophic event is approximately $10.0 million, inclusive of reinstatement premiums payable.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Casualty Reinsurance</w:t>
      </w:r>
    </w:p>
    <w:p>
      <w:pPr>
        <w:spacing w:after="0" w:line="117" w:lineRule="exact"/>
        <w:rPr>
          <w:sz w:val="20"/>
          <w:szCs w:val="20"/>
          <w:color w:val="auto"/>
        </w:rPr>
      </w:pPr>
    </w:p>
    <w:p>
      <w:pPr>
        <w:ind w:right="100" w:firstLine="351"/>
        <w:spacing w:after="0" w:line="257" w:lineRule="auto"/>
        <w:rPr>
          <w:sz w:val="20"/>
          <w:szCs w:val="20"/>
          <w:color w:val="auto"/>
        </w:rPr>
      </w:pPr>
      <w:r>
        <w:rPr>
          <w:rFonts w:ascii="Arial" w:cs="Arial" w:eastAsia="Arial" w:hAnsi="Arial"/>
          <w:sz w:val="18"/>
          <w:szCs w:val="18"/>
          <w:color w:val="auto"/>
        </w:rPr>
        <w:t>In our Excess and Surplus Lines segment, there are five divisions where we only write $1.0 million per occurrence limits (Commercial Auto, Manufacturers and Contractors, General Casualty, Small Business and Sports and Entertainment), and therefore, we do not purchase any specific reinsurance for these policies. In the other divisions, where we issue policies with larger limits, we purchase reinsurance in excess of $1.0 million per occurrence. Effective March 1, 2019, our largest Commercial Auto ride share account was subject to an auto liability quota share reinsurance contract that contains a $10.0 million occurrence cap and an annual aggregate of 200% of subject premium.</w:t>
      </w:r>
    </w:p>
    <w:p>
      <w:pPr>
        <w:spacing w:after="0" w:line="8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our Specialty Admitted Insurance segment, there are two distinct reinsurance strategies. For individual risk workers' compensation, we purchase $29.4 million excess of $600,000 per occurrence; and, effective October 1, 2017, we also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purchased a 50% quota share coverage of the primary $600,000. For our fronting and program business, we purchase proportional reinsurance and excess of loss reinsurance to limit our exposure to no more than $500,000 per occurrence.</w:t>
      </w:r>
    </w:p>
    <w:p>
      <w:pPr>
        <w:spacing w:after="0" w:line="62" w:lineRule="exact"/>
        <w:rPr>
          <w:sz w:val="20"/>
          <w:szCs w:val="20"/>
          <w:color w:val="auto"/>
        </w:rPr>
      </w:pPr>
    </w:p>
    <w:p>
      <w:pPr>
        <w:jc w:val="both"/>
        <w:ind w:right="80" w:firstLine="351"/>
        <w:spacing w:after="0" w:line="264" w:lineRule="auto"/>
        <w:rPr>
          <w:sz w:val="20"/>
          <w:szCs w:val="20"/>
          <w:color w:val="auto"/>
        </w:rPr>
      </w:pPr>
      <w:r>
        <w:rPr>
          <w:rFonts w:ascii="Arial" w:cs="Arial" w:eastAsia="Arial" w:hAnsi="Arial"/>
          <w:sz w:val="18"/>
          <w:szCs w:val="18"/>
          <w:color w:val="auto"/>
        </w:rPr>
        <w:t>For both our Excess and Surplus Lines segment and our Specialty Admitted Insurance segment, we purchase a clash and contingency reinsurance treaty that covers all casualty business for $10.0 million in excess of $2.0 million per occurrence. This coverage is intended to respond in a situation where we have multiple insured losses from the same event.</w:t>
      </w:r>
    </w:p>
    <w:p>
      <w:pPr>
        <w:spacing w:after="0" w:line="73" w:lineRule="exact"/>
        <w:rPr>
          <w:sz w:val="20"/>
          <w:szCs w:val="20"/>
          <w:color w:val="auto"/>
        </w:rPr>
      </w:pPr>
    </w:p>
    <w:p>
      <w:pPr>
        <w:ind w:right="660" w:firstLine="351"/>
        <w:spacing w:after="0" w:line="342" w:lineRule="auto"/>
        <w:rPr>
          <w:sz w:val="20"/>
          <w:szCs w:val="20"/>
          <w:color w:val="auto"/>
        </w:rPr>
      </w:pPr>
      <w:r>
        <w:rPr>
          <w:rFonts w:ascii="Arial" w:cs="Arial" w:eastAsia="Arial" w:hAnsi="Arial"/>
          <w:sz w:val="16"/>
          <w:szCs w:val="16"/>
          <w:color w:val="auto"/>
        </w:rPr>
        <w:t>In our Casualty Reinsurance segment, we currently do not purchase any material retrocessional reinsurance. In prior periods, we have purchased proportional and excess of loss retrocessional coverage for particular situations related to specific treaties, but have only done so on a limited basis.</w:t>
      </w:r>
    </w:p>
    <w:p>
      <w:pPr>
        <w:spacing w:after="0" w:line="16" w:lineRule="exact"/>
        <w:rPr>
          <w:sz w:val="20"/>
          <w:szCs w:val="20"/>
          <w:color w:val="auto"/>
        </w:rPr>
      </w:pPr>
    </w:p>
    <w:p>
      <w:pPr>
        <w:ind w:right="120" w:firstLine="351"/>
        <w:spacing w:after="0" w:line="302" w:lineRule="auto"/>
        <w:rPr>
          <w:sz w:val="20"/>
          <w:szCs w:val="20"/>
          <w:color w:val="auto"/>
        </w:rPr>
      </w:pPr>
      <w:r>
        <w:rPr>
          <w:rFonts w:ascii="Arial" w:cs="Arial" w:eastAsia="Arial" w:hAnsi="Arial"/>
          <w:sz w:val="16"/>
          <w:szCs w:val="16"/>
          <w:color w:val="auto"/>
        </w:rPr>
        <w:t>For 2019, our top ten reinsurers represented 74.9% of our total ceded reinsurance recoverables, and all of these reinsurance recoverables were from reinsurers with an A.M. Best rating of “A+” (Superior), are collateralized with letters of credit or by a trust agreement, or represent recoverables from a state residual market for automobile insurance. The following table sets forth our ten most significant reinsurers by amount of reinsurance recoverables on unpaid losses and the amount of reinsurance recoverables pertaining to each such reinsurer as well as its A.M. Best rating as of December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Reinsurer</w:t>
            </w:r>
          </w:p>
        </w:tc>
        <w:tc>
          <w:tcPr>
            <w:tcW w:w="180" w:type="dxa"/>
            <w:vAlign w:val="bottom"/>
          </w:tcPr>
          <w:p>
            <w:pPr>
              <w:spacing w:after="0"/>
              <w:rPr>
                <w:sz w:val="12"/>
                <w:szCs w:val="12"/>
                <w:color w:val="auto"/>
              </w:rPr>
            </w:pPr>
          </w:p>
        </w:tc>
        <w:tc>
          <w:tcPr>
            <w:tcW w:w="14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Swiss Reinsurance America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191,402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Berkley Insurance Company</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59,562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Aioi Nissay Dowa Insurance Company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57,982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Safety National Casualty</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50,290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Munich Reinsurance America</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Endurance Assurance Corporation</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25,849</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North Carolina Reinsurance Facility</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24,148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5"/>
              </w:rPr>
              <w:t>Unrated</w:t>
            </w:r>
            <w:r>
              <w:rPr>
                <w:rFonts w:ascii="Arial" w:cs="Arial" w:eastAsia="Arial" w:hAnsi="Arial"/>
                <w:sz w:val="25"/>
                <w:szCs w:val="25"/>
                <w:color w:val="auto"/>
                <w:w w:val="85"/>
                <w:vertAlign w:val="superscript"/>
              </w:rPr>
              <w:t>(2)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Hannover Ruckversicherungs AG</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American European Insurance Company</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line="269" w:lineRule="exact"/>
              <w:rPr>
                <w:sz w:val="20"/>
                <w:szCs w:val="20"/>
                <w:color w:val="auto"/>
              </w:rPr>
            </w:pPr>
            <w:r>
              <w:rPr>
                <w:rFonts w:ascii="Arial" w:cs="Arial" w:eastAsia="Arial" w:hAnsi="Arial"/>
                <w:sz w:val="31"/>
                <w:szCs w:val="31"/>
                <w:color w:val="auto"/>
                <w:w w:val="98"/>
                <w:vertAlign w:val="subscript"/>
              </w:rPr>
              <w:t>B</w:t>
            </w:r>
            <w:r>
              <w:rPr>
                <w:rFonts w:ascii="Arial" w:cs="Arial" w:eastAsia="Arial" w:hAnsi="Arial"/>
                <w:sz w:val="12"/>
                <w:szCs w:val="12"/>
                <w:color w:val="auto"/>
                <w:w w:val="98"/>
              </w:rPr>
              <w:t>(1)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Cincinnati Insurance Company</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19,530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Top 10 Total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500,192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167,853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668,045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076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76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231775</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57"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North Carolina Reinsurance Facility is a residual market mechanism for automobile insurance in North Carolina.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2019, the Company held collateral funds of $1,199.2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Policy</w:t>
      </w:r>
    </w:p>
    <w:p>
      <w:pPr>
        <w:spacing w:after="0" w:line="117" w:lineRule="exact"/>
        <w:rPr>
          <w:sz w:val="20"/>
          <w:szCs w:val="20"/>
          <w:color w:val="auto"/>
        </w:rPr>
      </w:pPr>
    </w:p>
    <w:p>
      <w:pPr>
        <w:ind w:right="500" w:firstLine="351"/>
        <w:spacing w:after="0" w:line="277" w:lineRule="auto"/>
        <w:rPr>
          <w:sz w:val="20"/>
          <w:szCs w:val="20"/>
          <w:color w:val="auto"/>
        </w:rPr>
      </w:pPr>
      <w:r>
        <w:rPr>
          <w:rFonts w:ascii="Arial" w:cs="Arial" w:eastAsia="Arial" w:hAnsi="Arial"/>
          <w:sz w:val="18"/>
          <w:szCs w:val="18"/>
          <w:color w:val="auto"/>
        </w:rPr>
        <w:t>We seek to establish reserves that will adequately meet our obligations. We have seven credentialed actuaries on staff, and we engage independent actuarial consultants to review our decisions regarding reserves twice a year.</w:t>
      </w:r>
    </w:p>
    <w:p>
      <w:pPr>
        <w:spacing w:after="0" w:line="62"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color w:val="auto"/>
        </w:rPr>
        <w:t>We maintain reserves for specific claims incurred and reported, reserves for claims incurred but not reported (“IBNR”) and reserves for uncollectible reinsurance when appropriate. Our ultimate liability may be greater or less than current reserves. In the insurance industry, there is always the risk that reserves may prove inadequate. We continually monitor reserves using new information on reported claims and a variety of statistical techniques and adjust our estimates as experience develops or new information becomes known. Such adjustments (referred to as reserve development) are included in current operations. Anticipated inflation is reflected implicitly in the reserving process through analysis of cost trends and the review of historical development. We do not discount our reserves for losses and loss adjustment expenses to reflect estimated present value.</w:t>
      </w:r>
    </w:p>
    <w:p>
      <w:pPr>
        <w:spacing w:after="0" w:line="57"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When setting our reserves, we use a blend of actuarial techniques that are chosen to reflect the nature of the lines of insurance we underwrite. We seek to be consistent and transparent in establishing our reserves.</w:t>
      </w:r>
    </w:p>
    <w:p>
      <w:pPr>
        <w:spacing w:after="0" w:line="62" w:lineRule="exact"/>
        <w:rPr>
          <w:sz w:val="20"/>
          <w:szCs w:val="20"/>
          <w:color w:val="auto"/>
        </w:rPr>
      </w:pPr>
    </w:p>
    <w:p>
      <w:pPr>
        <w:ind w:right="120" w:firstLine="351"/>
        <w:spacing w:after="0" w:line="297" w:lineRule="auto"/>
        <w:rPr>
          <w:sz w:val="20"/>
          <w:szCs w:val="20"/>
          <w:color w:val="auto"/>
        </w:rPr>
      </w:pPr>
      <w:r>
        <w:rPr>
          <w:rFonts w:ascii="Arial" w:cs="Arial" w:eastAsia="Arial" w:hAnsi="Arial"/>
          <w:sz w:val="16"/>
          <w:szCs w:val="16"/>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9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emergence and insured reporting patterns;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Underlying policy terms and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and exposure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claim frequency and severity;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economic and social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and litigation environments;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Discussions with third-party actuarial consultants.</w:t>
      </w:r>
    </w:p>
    <w:p>
      <w:pPr>
        <w:spacing w:after="0" w:line="131" w:lineRule="exact"/>
        <w:rPr>
          <w:sz w:val="20"/>
          <w:szCs w:val="20"/>
          <w:color w:val="auto"/>
        </w:rPr>
      </w:pPr>
    </w:p>
    <w:p>
      <w:pPr>
        <w:ind w:right="160" w:firstLine="351"/>
        <w:spacing w:after="0" w:line="312" w:lineRule="auto"/>
        <w:rPr>
          <w:sz w:val="20"/>
          <w:szCs w:val="20"/>
          <w:color w:val="auto"/>
        </w:rPr>
      </w:pPr>
      <w:r>
        <w:rPr>
          <w:rFonts w:ascii="Arial" w:cs="Arial" w:eastAsia="Arial" w:hAnsi="Arial"/>
          <w:sz w:val="16"/>
          <w:szCs w:val="16"/>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39" w:lineRule="exact"/>
        <w:rPr>
          <w:sz w:val="20"/>
          <w:szCs w:val="20"/>
          <w:color w:val="auto"/>
        </w:rPr>
      </w:pPr>
    </w:p>
    <w:p>
      <w:pPr>
        <w:ind w:right="340" w:firstLine="351"/>
        <w:spacing w:after="0" w:line="257" w:lineRule="auto"/>
        <w:rPr>
          <w:sz w:val="20"/>
          <w:szCs w:val="20"/>
          <w:color w:val="auto"/>
        </w:rPr>
      </w:pPr>
      <w:r>
        <w:rPr>
          <w:rFonts w:ascii="Arial" w:cs="Arial" w:eastAsia="Arial" w:hAnsi="Arial"/>
          <w:sz w:val="18"/>
          <w:szCs w:val="18"/>
          <w:color w:val="auto"/>
        </w:rPr>
        <w:t>Our Reserve Committee consists of our Chief Actuary, Chief Executive Officer, President and Chief Operating Officer, Chief Financial Officer, and Chief Accounting Officer. Additionally, the presidents, chief financial officers and chief actuaries of each of our three insurance segments assist in the evaluation of reserves in their respective segments. The Reserve Committee meets quarterly to review the actuarial recommendations made by each chief actuary and uses its best judgment to determine the best estimate to be recorded for the reserve for losses and loss adjustment expenses on our quarterly balance sheet.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6" w:right="27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80" w:firstLine="351"/>
        <w:spacing w:after="0" w:line="277" w:lineRule="auto"/>
        <w:rPr>
          <w:sz w:val="20"/>
          <w:szCs w:val="20"/>
          <w:color w:val="auto"/>
        </w:rPr>
      </w:pPr>
      <w:r>
        <w:rPr>
          <w:rFonts w:ascii="Arial" w:cs="Arial" w:eastAsia="Arial" w:hAnsi="Arial"/>
          <w:sz w:val="18"/>
          <w:szCs w:val="18"/>
          <w:color w:val="auto"/>
        </w:rPr>
        <w:t>The following table reflects our favorable (adverse) reserve development by segment during the calendar years 2019 to 2010 individually and in aggregate.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Excess and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Specialty</w:t>
            </w:r>
          </w:p>
        </w:tc>
        <w:tc>
          <w:tcPr>
            <w:tcW w:w="240" w:type="dxa"/>
            <w:vAlign w:val="bottom"/>
          </w:tcPr>
          <w:p>
            <w:pPr>
              <w:spacing w:after="0"/>
              <w:rPr>
                <w:sz w:val="14"/>
                <w:szCs w:val="14"/>
                <w:color w:val="auto"/>
              </w:rPr>
            </w:pPr>
          </w:p>
        </w:tc>
        <w:tc>
          <w:tcPr>
            <w:tcW w:w="12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Casualty</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Admitted</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Grand 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Surplus Lines</w:t>
            </w: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3"/>
              </w:rPr>
              <w:t>Insurance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Reinsurance</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Calendar Year</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(51,173)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(23,087)</w:t>
            </w:r>
          </w:p>
        </w:tc>
        <w:tc>
          <w:tcPr>
            <w:tcW w:w="320" w:type="dxa"/>
            <w:vAlign w:val="bottom"/>
          </w:tcPr>
          <w:p>
            <w:pPr>
              <w:ind w:left="20"/>
              <w:spacing w:after="0"/>
              <w:rPr>
                <w:sz w:val="20"/>
                <w:szCs w:val="20"/>
                <w:color w:val="auto"/>
              </w:rPr>
            </w:pPr>
            <w:r>
              <w:rPr>
                <w:rFonts w:ascii="Arial" w:cs="Arial" w:eastAsia="Arial" w:hAnsi="Arial"/>
                <w:sz w:val="13"/>
                <w:szCs w:val="13"/>
                <w:color w:val="auto"/>
              </w:rPr>
              <w:t>(9)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(20,023)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24,079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25,424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27,283</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40,734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37,452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20,122</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21,034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10,922</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Cumulative Development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83,390</w:t>
            </w:r>
          </w:p>
        </w:tc>
        <w:tc>
          <w:tcPr>
            <w:tcW w:w="3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(83,019)</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24,954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-2100580</wp:posOffset>
            </wp:positionV>
            <wp:extent cx="214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-2100580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1852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righ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$57.4 million of adverse development in the commercial auto line of business that was primarily related to the 2016 and 2017 contract years with Rasier, partially offset by $6.2 million of favorable development from other divisions.</w:t>
      </w:r>
    </w:p>
    <w:p>
      <w:pPr>
        <w:spacing w:after="0" w:line="62"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$20.7 million of adverse development in the commercial auto line of business that was primarily related to the 2016 contract year with Rasier, partially offset by $5.7 million of favorable development from other divisions.</w:t>
      </w:r>
    </w:p>
    <w:p>
      <w:pPr>
        <w:spacing w:after="0" w:line="89" w:lineRule="exact"/>
        <w:rPr>
          <w:rFonts w:ascii="Arial" w:cs="Arial" w:eastAsia="Arial" w:hAnsi="Arial"/>
          <w:sz w:val="18"/>
          <w:szCs w:val="18"/>
          <w:color w:val="auto"/>
        </w:rPr>
      </w:pPr>
    </w:p>
    <w:p>
      <w:pPr>
        <w:ind w:left="340" w:right="200" w:hanging="332"/>
        <w:spacing w:after="0" w:line="374"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spacing w:after="0" w:line="25" w:lineRule="exact"/>
        <w:rPr>
          <w:rFonts w:ascii="Arial" w:cs="Arial" w:eastAsia="Arial" w:hAnsi="Arial"/>
          <w:sz w:val="17"/>
          <w:szCs w:val="17"/>
          <w:color w:val="auto"/>
        </w:rPr>
      </w:pPr>
    </w:p>
    <w:p>
      <w:pPr>
        <w:ind w:left="340" w:right="100" w:hanging="332"/>
        <w:spacing w:after="0" w:line="34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 million of favorable development from the 2015 accident year, $10.7 million from the 2014 accident year and $4.5 million from the 2013 accident year.</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$17.3 million and $10.5 million of favorable development from the 2014 and 2013 accident year, respectively.</w:t>
      </w:r>
    </w:p>
    <w:p>
      <w:pPr>
        <w:spacing w:after="0" w:line="130"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$7.9 million of favorable development from the 2011 accident year, $4.2 million from the 2007 accident year and $5.0 million from the 2009 accident year.</w:t>
      </w:r>
    </w:p>
    <w:p>
      <w:pPr>
        <w:spacing w:after="0" w:line="89" w:lineRule="exact"/>
        <w:rPr>
          <w:rFonts w:ascii="Arial" w:cs="Arial" w:eastAsia="Arial" w:hAnsi="Arial"/>
          <w:sz w:val="18"/>
          <w:szCs w:val="18"/>
          <w:color w:val="auto"/>
        </w:rPr>
      </w:pPr>
    </w:p>
    <w:p>
      <w:pPr>
        <w:ind w:left="340" w:right="280" w:hanging="332"/>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$11.8 million of favorable development from the 2009 accident year, $7.3 million of favorable development from the 2007 accident year and $5.8 million of favorable development from the 2008 accident year.</w:t>
      </w:r>
    </w:p>
    <w:p>
      <w:pPr>
        <w:spacing w:after="0" w:line="62" w:lineRule="exact"/>
        <w:rPr>
          <w:rFonts w:ascii="Arial" w:cs="Arial" w:eastAsia="Arial" w:hAnsi="Arial"/>
          <w:sz w:val="18"/>
          <w:szCs w:val="18"/>
          <w:color w:val="auto"/>
        </w:rPr>
      </w:pPr>
    </w:p>
    <w:p>
      <w:pPr>
        <w:ind w:left="340" w:hanging="332"/>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$8.0 million of favorable development from the 2009 accident year, $4.3 million of favorable development from the 2008 accident year and $4.1 million of favorable development from the 2007 accident year.</w:t>
      </w:r>
    </w:p>
    <w:p>
      <w:pPr>
        <w:spacing w:after="0" w:line="62" w:lineRule="exact"/>
        <w:rPr>
          <w:rFonts w:ascii="Arial" w:cs="Arial" w:eastAsia="Arial" w:hAnsi="Arial"/>
          <w:sz w:val="18"/>
          <w:szCs w:val="18"/>
          <w:color w:val="auto"/>
        </w:rPr>
      </w:pPr>
    </w:p>
    <w:p>
      <w:pPr>
        <w:ind w:left="340" w:right="220" w:hanging="332"/>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adverse development primarily related to accident years 2011 through 2016. This adverse development was mainly in the general liability and commercial auto lines of business.</w:t>
      </w:r>
    </w:p>
    <w:p>
      <w:pPr>
        <w:spacing w:after="0" w:line="62" w:lineRule="exact"/>
        <w:rPr>
          <w:rFonts w:ascii="Arial" w:cs="Arial" w:eastAsia="Arial" w:hAnsi="Arial"/>
          <w:sz w:val="18"/>
          <w:szCs w:val="18"/>
          <w:color w:val="auto"/>
        </w:rPr>
      </w:pPr>
    </w:p>
    <w:p>
      <w:pPr>
        <w:ind w:left="340" w:right="680" w:hanging="332"/>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$9.0 million of adverse development on assumed crop business almost entirely from the 2011 accident year and $7.6 million of adverse development on other assumed business.</w:t>
      </w:r>
    </w:p>
    <w:p>
      <w:pPr>
        <w:spacing w:after="0" w:line="3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Among the indicators of reserve strength that we monitor closely are the number of claims outstanding from a given year and the amount of IBNR reserves held on our balance sheet for claims that have been incurred but not yet reported to us. As a general rule, every known claim has a specific case reserve established against it which management believes is adequate to resolve the claim and pay attendant expenses based on information available at the time.</w:t>
      </w:r>
    </w:p>
    <w:p>
      <w:pPr>
        <w:spacing w:after="0" w:line="79" w:lineRule="exact"/>
        <w:rPr>
          <w:sz w:val="20"/>
          <w:szCs w:val="20"/>
          <w:color w:val="auto"/>
        </w:rPr>
      </w:pPr>
    </w:p>
    <w:p>
      <w:pPr>
        <w:ind w:right="200" w:firstLine="351"/>
        <w:spacing w:after="0" w:line="308" w:lineRule="auto"/>
        <w:rPr>
          <w:sz w:val="20"/>
          <w:szCs w:val="20"/>
          <w:color w:val="auto"/>
        </w:rPr>
      </w:pPr>
      <w:r>
        <w:rPr>
          <w:rFonts w:ascii="Arial" w:cs="Arial" w:eastAsia="Arial" w:hAnsi="Arial"/>
          <w:sz w:val="17"/>
          <w:szCs w:val="17"/>
          <w:color w:val="auto"/>
        </w:rPr>
        <w:t>A significant portion of reported claims from prior policy years were closed at December 31, 2019. The table below sets forth the percentage of claims closed by policy year for our Excess and Surplus Lines and Specialty Admitted Insurance segments for the policy years indicated.</w:t>
      </w:r>
    </w:p>
    <w:p>
      <w:pPr>
        <w:sectPr>
          <w:pgSz w:w="11900" w:h="16838" w:orient="portrait"/>
          <w:cols w:equalWidth="0" w:num="1">
            <w:col w:w="11420"/>
          </w:cols>
          <w:pgMar w:left="240" w:top="125"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Percentage of Claims Closed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Specialty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Specialty</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Excess and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Excess and</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Admitted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Admitted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Insurance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Surplus Lines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Surplus Lines</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Segment</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Segment Excluding</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Individual</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Fronting</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Policy Year</w:t>
            </w:r>
          </w:p>
        </w:tc>
        <w:tc>
          <w:tcPr>
            <w:tcW w:w="120" w:type="dxa"/>
            <w:vAlign w:val="bottom"/>
            <w:vMerge w:val="restart"/>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Commercial</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Commercial</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Risk Workers’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Auto</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Auto</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Comp</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-2580640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-2580640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160" w:firstLine="351"/>
        <w:spacing w:after="0" w:line="312" w:lineRule="auto"/>
        <w:rPr>
          <w:sz w:val="20"/>
          <w:szCs w:val="20"/>
          <w:color w:val="auto"/>
        </w:rPr>
      </w:pPr>
      <w:r>
        <w:rPr>
          <w:rFonts w:ascii="Arial" w:cs="Arial" w:eastAsia="Arial" w:hAnsi="Arial"/>
          <w:sz w:val="16"/>
          <w:szCs w:val="16"/>
          <w:color w:val="auto"/>
        </w:rPr>
        <w:t>Another indicator of reserve strength that we monitor closely is the percentage of our gross and net loss reserves that are comprised of IBNR reserves. The table below sets forth our IBNR, total gross reserves and the percentage that IBNR represents of the total gross reserves, in each case by segment and in the aggregate, at December 31, 2019. The percentage that IBNR represents of total gross reserves at December 31, 2019 is 63.1%.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w w:val="91"/>
              </w:rPr>
              <w:t>Gross Reserves at December 31,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IBNR</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3"/>
                <w:szCs w:val="13"/>
                <w:color w:val="auto"/>
              </w:rPr>
            </w:pPr>
          </w:p>
        </w:tc>
        <w:tc>
          <w:tcPr>
            <w:tcW w:w="420" w:type="dxa"/>
            <w:vAlign w:val="bottom"/>
            <w:vMerge w:val="restart"/>
          </w:tcPr>
          <w:p>
            <w:pPr>
              <w:spacing w:after="0"/>
              <w:rPr>
                <w:sz w:val="13"/>
                <w:szCs w:val="13"/>
                <w:color w:val="auto"/>
              </w:rPr>
            </w:pPr>
          </w:p>
        </w:tc>
        <w:tc>
          <w:tcPr>
            <w:tcW w:w="11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3"/>
          </w:tcPr>
          <w:p>
            <w:pPr>
              <w:jc w:val="center"/>
              <w:ind w:right="720"/>
              <w:spacing w:after="0"/>
              <w:rPr>
                <w:sz w:val="20"/>
                <w:szCs w:val="20"/>
                <w:color w:val="auto"/>
              </w:rPr>
            </w:pPr>
            <w:r>
              <w:rPr>
                <w:rFonts w:ascii="Arial" w:cs="Arial" w:eastAsia="Arial" w:hAnsi="Arial"/>
                <w:sz w:val="14"/>
                <w:szCs w:val="14"/>
                <w:b w:val="1"/>
                <w:bCs w:val="1"/>
                <w:i w:val="1"/>
                <w:iCs w:val="1"/>
                <w:color w:val="auto"/>
                <w:w w:val="89"/>
              </w:rPr>
              <w:t>(in thousands)</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796,066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1,245,581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319,783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511,027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175,783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288,898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1,291,632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2,045,506</w:t>
            </w: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51"/>
        <w:spacing w:after="0" w:line="308" w:lineRule="auto"/>
        <w:rPr>
          <w:sz w:val="20"/>
          <w:szCs w:val="20"/>
          <w:color w:val="auto"/>
        </w:rPr>
      </w:pPr>
      <w:r>
        <w:rPr>
          <w:rFonts w:ascii="Arial" w:cs="Arial" w:eastAsia="Arial" w:hAnsi="Arial"/>
          <w:sz w:val="17"/>
          <w:szCs w:val="17"/>
          <w:color w:val="auto"/>
        </w:rPr>
        <w:t>The table below sets forth our IBNR, total net reserves and the percentage that IBNR represents of the total net reserves, in each case by segment and in the aggregate, at December 31, 2019. The percentage that IBNR represents of total net reserves at December 31, 2019 is 60.3%.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4"/>
              </w:rPr>
              <w:t>Net Reserves at December 31, 2019</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IBNR</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118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3"/>
          </w:tcPr>
          <w:p>
            <w:pPr>
              <w:jc w:val="center"/>
              <w:ind w:right="680"/>
              <w:spacing w:after="0"/>
              <w:rPr>
                <w:sz w:val="20"/>
                <w:szCs w:val="20"/>
                <w:color w:val="auto"/>
              </w:rPr>
            </w:pPr>
            <w:r>
              <w:rPr>
                <w:rFonts w:ascii="Arial" w:cs="Arial" w:eastAsia="Arial" w:hAnsi="Arial"/>
                <w:sz w:val="14"/>
                <w:szCs w:val="14"/>
                <w:b w:val="1"/>
                <w:bCs w:val="1"/>
                <w:i w:val="1"/>
                <w:iCs w:val="1"/>
                <w:color w:val="auto"/>
                <w:w w:val="89"/>
              </w:rPr>
              <w:t>(in thousands)</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604,980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1,001,866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52,778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91,918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173,223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283,677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830,981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1,377,461</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21" w:lineRule="exact"/>
        <w:rPr>
          <w:sz w:val="20"/>
          <w:szCs w:val="20"/>
          <w:color w:val="auto"/>
        </w:rPr>
      </w:pPr>
    </w:p>
    <w:p>
      <w:pPr>
        <w:ind w:right="360" w:firstLine="351"/>
        <w:spacing w:after="0" w:line="264" w:lineRule="auto"/>
        <w:rPr>
          <w:sz w:val="20"/>
          <w:szCs w:val="20"/>
          <w:color w:val="auto"/>
        </w:rPr>
      </w:pPr>
      <w:r>
        <w:rPr>
          <w:rFonts w:ascii="Arial" w:cs="Arial" w:eastAsia="Arial" w:hAnsi="Arial"/>
          <w:sz w:val="18"/>
          <w:szCs w:val="18"/>
          <w:color w:val="auto"/>
        </w:rPr>
        <w:t>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substantial loss of capital. The vast majority of our investment portfolio is managed by third party, independent investment managers.</w:t>
      </w:r>
    </w:p>
    <w:p>
      <w:pPr>
        <w:spacing w:after="0" w:line="117" w:lineRule="exact"/>
        <w:rPr>
          <w:sz w:val="20"/>
          <w:szCs w:val="20"/>
          <w:color w:val="auto"/>
        </w:rPr>
      </w:pPr>
    </w:p>
    <w:p>
      <w:pPr>
        <w:ind w:right="80" w:firstLine="351"/>
        <w:spacing w:after="0" w:line="302" w:lineRule="auto"/>
        <w:rPr>
          <w:sz w:val="20"/>
          <w:szCs w:val="20"/>
          <w:color w:val="auto"/>
        </w:rPr>
      </w:pPr>
      <w:r>
        <w:rPr>
          <w:rFonts w:ascii="Arial" w:cs="Arial" w:eastAsia="Arial" w:hAnsi="Arial"/>
          <w:sz w:val="16"/>
          <w:szCs w:val="16"/>
          <w:color w:val="auto"/>
        </w:rPr>
        <w:t>The majority of our investment portfolio is invested in what we refer to as our Core Portfolio of investment grade fixed income securities. This portfolio provides predictable income with low risk of principal loss. We seek to augment the return on the Core Portfolio by investing in bank loans, higher yielding securities and private investments. We designed these strategies to improve our investment return and we are focused on opportunistic investing in areas where we believe our management, directors or employees have expertise or appropriate understanding of the risk and return of the investment.</w:t>
      </w:r>
    </w:p>
    <w:p>
      <w:pPr>
        <w:spacing w:after="0" w:line="46" w:lineRule="exact"/>
        <w:rPr>
          <w:sz w:val="20"/>
          <w:szCs w:val="20"/>
          <w:color w:val="auto"/>
        </w:rPr>
      </w:pPr>
    </w:p>
    <w:p>
      <w:pPr>
        <w:jc w:val="both"/>
        <w:ind w:right="180" w:firstLine="351"/>
        <w:spacing w:after="0" w:line="264" w:lineRule="auto"/>
        <w:rPr>
          <w:sz w:val="20"/>
          <w:szCs w:val="20"/>
          <w:color w:val="auto"/>
        </w:rPr>
      </w:pPr>
      <w:r>
        <w:rPr>
          <w:rFonts w:ascii="Arial" w:cs="Arial" w:eastAsia="Arial" w:hAnsi="Arial"/>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generally focus on securities that provide some current income.</w:t>
      </w:r>
    </w:p>
    <w:p>
      <w:pPr>
        <w:spacing w:after="0" w:line="7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As a result of affiliated and third party reinsurance contracts, we have a significant asset base at JRG Reinsurance Company Ltd, which is domiciled in Bermuda and is not subject to U.S. corporate taxation. At December 31, 2019, 46.6% of our invested assets were held at JRG Re.</w:t>
      </w:r>
    </w:p>
    <w:p>
      <w:pPr>
        <w:spacing w:after="0" w:line="3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Our premium growth has allowed us to build our asset base. Cash and invested assets, excluding restricted cash equivalents, now represents 3.9 times our tangible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investment portfolio at December 31, 2019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Portfolio</w:t>
            </w:r>
          </w:p>
        </w:tc>
        <w:tc>
          <w:tcPr>
            <w:tcW w:w="260" w:type="dxa"/>
            <w:vAlign w:val="bottom"/>
          </w:tcPr>
          <w:p>
            <w:pPr>
              <w:spacing w:after="0"/>
              <w:rPr>
                <w:sz w:val="13"/>
                <w:szCs w:val="13"/>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Book Value</w:t>
            </w:r>
          </w:p>
        </w:tc>
        <w:tc>
          <w:tcPr>
            <w:tcW w:w="300" w:type="dxa"/>
            <w:vAlign w:val="bottom"/>
          </w:tcPr>
          <w:p>
            <w:pPr>
              <w:spacing w:after="0"/>
              <w:rPr>
                <w:sz w:val="13"/>
                <w:szCs w:val="13"/>
                <w:color w:val="auto"/>
              </w:rPr>
            </w:pPr>
          </w:p>
        </w:tc>
        <w:tc>
          <w:tcPr>
            <w:tcW w:w="13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Market Value</w:t>
            </w:r>
          </w:p>
        </w:tc>
        <w:tc>
          <w:tcPr>
            <w:tcW w:w="180" w:type="dxa"/>
            <w:vAlign w:val="bottom"/>
          </w:tcPr>
          <w:p>
            <w:pPr>
              <w:spacing w:after="0"/>
              <w:rPr>
                <w:sz w:val="13"/>
                <w:szCs w:val="13"/>
                <w:color w:val="auto"/>
              </w:rPr>
            </w:pPr>
          </w:p>
        </w:tc>
        <w:tc>
          <w:tcPr>
            <w:tcW w:w="13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Carrying Value</w:t>
            </w:r>
          </w:p>
        </w:tc>
        <w:tc>
          <w:tcPr>
            <w:tcW w:w="17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Book Yield</w:t>
            </w:r>
          </w:p>
        </w:tc>
        <w:tc>
          <w:tcPr>
            <w:tcW w:w="15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 of Carrying</w:t>
            </w:r>
          </w:p>
        </w:tc>
        <w:tc>
          <w:tcPr>
            <w:tcW w:w="0" w:type="dxa"/>
            <w:vAlign w:val="bottom"/>
          </w:tcPr>
          <w:p>
            <w:pPr>
              <w:spacing w:after="0"/>
              <w:rPr>
                <w:sz w:val="1"/>
                <w:szCs w:val="1"/>
                <w:color w:val="auto"/>
              </w:rPr>
            </w:pPr>
          </w:p>
        </w:tc>
      </w:tr>
      <w:tr>
        <w:trPr>
          <w:trHeight w:val="192"/>
        </w:trPr>
        <w:tc>
          <w:tcPr>
            <w:tcW w:w="3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560" w:type="dxa"/>
            <w:vAlign w:val="bottom"/>
          </w:tcPr>
          <w:p>
            <w:pPr>
              <w:jc w:val="right"/>
              <w:ind w:right="5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i w:val="1"/>
                <w:iCs w:val="1"/>
                <w:color w:val="auto"/>
              </w:rPr>
              <w:t>($ in thousands)</w:t>
            </w:r>
          </w:p>
        </w:tc>
        <w:tc>
          <w:tcPr>
            <w:tcW w:w="17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1,552,646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1,554,332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1,554,332</w:t>
            </w:r>
          </w:p>
        </w:tc>
        <w:tc>
          <w:tcPr>
            <w:tcW w:w="1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Bank Loans</w:t>
            </w:r>
          </w:p>
        </w:tc>
        <w:tc>
          <w:tcPr>
            <w:tcW w:w="2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284,015</w:t>
            </w:r>
          </w:p>
        </w:tc>
        <w:tc>
          <w:tcPr>
            <w:tcW w:w="30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273,689</w:t>
            </w: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282,129</w:t>
            </w:r>
          </w:p>
        </w:tc>
        <w:tc>
          <w:tcPr>
            <w:tcW w:w="1760" w:type="dxa"/>
            <w:vAlign w:val="bottom"/>
          </w:tcPr>
          <w:p>
            <w:pPr>
              <w:jc w:val="right"/>
              <w:ind w:right="54"/>
              <w:spacing w:after="0"/>
              <w:rPr>
                <w:sz w:val="20"/>
                <w:szCs w:val="20"/>
                <w:color w:val="auto"/>
              </w:rPr>
            </w:pPr>
            <w:r>
              <w:rPr>
                <w:rFonts w:ascii="Arial" w:cs="Arial" w:eastAsia="Arial" w:hAnsi="Arial"/>
                <w:sz w:val="18"/>
                <w:szCs w:val="18"/>
                <w:color w:val="auto"/>
              </w:rPr>
              <w:t>6.78%</w:t>
            </w:r>
          </w:p>
        </w:tc>
        <w:tc>
          <w:tcPr>
            <w:tcW w:w="15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Incremental Yield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113,675</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126,459</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126,459</w:t>
            </w:r>
          </w:p>
        </w:tc>
        <w:tc>
          <w:tcPr>
            <w:tcW w:w="1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Private Investments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61,210</w:t>
            </w:r>
          </w:p>
        </w:tc>
        <w:tc>
          <w:tcPr>
            <w:tcW w:w="1760" w:type="dxa"/>
            <w:vAlign w:val="bottom"/>
          </w:tcPr>
          <w:p>
            <w:pPr>
              <w:jc w:val="right"/>
              <w:ind w:right="214"/>
              <w:spacing w:after="0"/>
              <w:rPr>
                <w:sz w:val="20"/>
                <w:szCs w:val="20"/>
                <w:color w:val="auto"/>
              </w:rPr>
            </w:pPr>
            <w:r>
              <w:rPr>
                <w:rFonts w:ascii="Arial" w:cs="Arial" w:eastAsia="Arial" w:hAnsi="Arial"/>
                <w:sz w:val="18"/>
                <w:szCs w:val="18"/>
                <w:color w:val="auto"/>
              </w:rPr>
              <w:t>NA</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2,024,130</w:t>
            </w:r>
          </w:p>
        </w:tc>
        <w:tc>
          <w:tcPr>
            <w:tcW w:w="1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Less cash and cash equivalents in Core and</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Bank Loans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(30,770)</w:t>
            </w: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Invested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1,993,360</w:t>
            </w:r>
          </w:p>
        </w:tc>
        <w:tc>
          <w:tcPr>
            <w:tcW w:w="1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126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2126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74"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We have generally managed our overall portfolio to a duration of 3 to 5 years. At December 31, 2019, the average duration of our investment portfolio was 3.3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Portfolio</w:t>
      </w:r>
    </w:p>
    <w:p>
      <w:pPr>
        <w:spacing w:after="0" w:line="117"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The Core Portfolio consists of cash and investment grade fixed income securities. Our objective in the Core Portfolio is to earn attractive risk-adjusted returns with a low risk of loss of principal. We use a third-party manager to manage the Core Portfolio.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117" w:lineRule="exact"/>
        <w:rPr>
          <w:sz w:val="20"/>
          <w:szCs w:val="20"/>
          <w:color w:val="auto"/>
        </w:rPr>
      </w:pPr>
    </w:p>
    <w:p>
      <w:pPr>
        <w:ind w:right="40" w:firstLine="351"/>
        <w:spacing w:after="0" w:line="272" w:lineRule="auto"/>
        <w:rPr>
          <w:sz w:val="20"/>
          <w:szCs w:val="20"/>
          <w:color w:val="auto"/>
        </w:rPr>
      </w:pPr>
      <w:r>
        <w:rPr>
          <w:rFonts w:ascii="Arial" w:cs="Arial" w:eastAsia="Arial" w:hAnsi="Arial"/>
          <w:sz w:val="17"/>
          <w:szCs w:val="17"/>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2019 and floating interest rates based on spreads over LIBOR.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amortized cost less any loan loss allowance. We have over ten years of experience in investing in this asset class through a third-party manager.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Incremental Yield Portfolio</w:t>
      </w:r>
    </w:p>
    <w:p>
      <w:pPr>
        <w:spacing w:after="0" w:line="117" w:lineRule="exact"/>
        <w:rPr>
          <w:sz w:val="20"/>
          <w:szCs w:val="20"/>
          <w:color w:val="auto"/>
        </w:rPr>
      </w:pPr>
    </w:p>
    <w:p>
      <w:pPr>
        <w:ind w:right="80" w:firstLine="351"/>
        <w:spacing w:after="0" w:line="302" w:lineRule="auto"/>
        <w:rPr>
          <w:sz w:val="20"/>
          <w:szCs w:val="20"/>
          <w:color w:val="auto"/>
        </w:rPr>
      </w:pPr>
      <w:r>
        <w:rPr>
          <w:rFonts w:ascii="Arial" w:cs="Arial" w:eastAsia="Arial" w:hAnsi="Arial"/>
          <w:sz w:val="16"/>
          <w:szCs w:val="16"/>
          <w:color w:val="auto"/>
        </w:rPr>
        <w:t>The Incremental Yield Portfolio consists of investments in low investment grade and below investment grade bonds, preferred stocks, dividend paying common equities and exchange traded funds. The average credit quality of the fixed income securities in this portfolio as of December 31, 2019 is BBB. We generally invest in fixed income securities where we believe that risk of default is low relative to the potential yield on the securities. We own preferred stocks, generally in the financial services industry. In some instances, we will purchase common equity securities and exchange traded funds. However, these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purchases are generally used as an effective means to get access to a high yielding asset class. As of December 31, 2019, only $14.7 million of the Incremental Yield Portfolio is invested in common equities and exchange traded 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Investment Portfolio</w:t>
      </w:r>
    </w:p>
    <w:p>
      <w:pPr>
        <w:spacing w:after="0" w:line="11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We make selective investments in private debt or equity securities in areas where we see significant opportunity or attractive risk and return characteristics. We focus on investments where we believe we have an understanding of the risk and opportunity and have the ability to monitor them closely. At December 31, 2019, we held 11 private investments with a total carrying value of $61.2 million. Our portfolio consists of investments in wind and solar energy, banking, small cap equities, loans of middle market private equity sponsored companies, equity tranches of collateralized loan obligations (CLOs), and tranches of distressed home loans. We are opportunistic in our private investment strategy and our portfolio may grow or shrink based on the opportunities available to us. Despite being only 3.0% of our portfolio, we believe our Private Investment Portfolio has added meaningful returns to our tangible equity. Our Private Investment strategy has significant risk and not all investments are successful. As a result, we intentionally keep this portfolio as a small portion of the overall investment portfolio.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recent total returns on our portfolio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540" w:type="dxa"/>
            <w:vAlign w:val="bottom"/>
          </w:tcPr>
          <w:p>
            <w:pPr>
              <w:jc w:val="right"/>
              <w:ind w:right="196"/>
              <w:spacing w:after="0"/>
              <w:rPr>
                <w:sz w:val="20"/>
                <w:szCs w:val="20"/>
                <w:color w:val="auto"/>
              </w:rPr>
            </w:pPr>
            <w:r>
              <w:rPr>
                <w:rFonts w:ascii="Arial" w:cs="Arial" w:eastAsia="Arial" w:hAnsi="Arial"/>
                <w:sz w:val="14"/>
                <w:szCs w:val="14"/>
                <w:b w:val="1"/>
                <w:bCs w:val="1"/>
                <w:color w:val="auto"/>
              </w:rPr>
              <w:t>Trailing 3 years</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Ended 2019</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Bank Loans</w:t>
            </w: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Incremental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returns are calculated as the realized or unrealized gain or loss of an asset plus interest and dividends paid while the asset is held.</w:t>
      </w:r>
    </w:p>
    <w:p>
      <w:pPr>
        <w:spacing w:after="0" w:line="117"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color w:val="auto"/>
        </w:rPr>
        <w:t>We consider a portion of our investment portfolio to be invested in non-traditional investments. We consider non-traditional investments to include investments that are (1) not rated bond or fixed income securities (2) non-listed equities or (3) investments that generally have less liquidity than rated bond or fixed income securities or listed equities. Non-traditional investments held at December 31, 2019 and their respective percentage of our total invested assets at such date consist of syndicated bank loans (13.1%), interests in limited liability companies that invest in renewable energy opportunities (1.6%), limited partnerships that invest in debt or equity securities (0.8%), notes receivable for renewable energy projects (0.4%), and a private debt security (0.2%). We will continue to actively review opportunities to invest in non-traditional assets and may invest in additional non-traditional assets in the future.</w:t>
      </w:r>
    </w:p>
    <w:p>
      <w:pPr>
        <w:spacing w:after="0" w:line="57" w:lineRule="exact"/>
        <w:rPr>
          <w:sz w:val="20"/>
          <w:szCs w:val="20"/>
          <w:color w:val="auto"/>
        </w:rPr>
      </w:pPr>
    </w:p>
    <w:p>
      <w:pPr>
        <w:ind w:right="140" w:firstLine="351"/>
        <w:spacing w:after="0" w:line="302" w:lineRule="auto"/>
        <w:rPr>
          <w:sz w:val="20"/>
          <w:szCs w:val="20"/>
          <w:color w:val="auto"/>
        </w:rPr>
      </w:pPr>
      <w:r>
        <w:rPr>
          <w:rFonts w:ascii="Arial" w:cs="Arial" w:eastAsia="Arial" w:hAnsi="Arial"/>
          <w:sz w:val="16"/>
          <w:szCs w:val="16"/>
          <w:color w:val="auto"/>
        </w:rPr>
        <w:t>Our invested assets totaled $1,993.4 million as of December 31, 2019. The weighted average credit rating of our portfolio of fixed maturity securities, bank loans and preferred stocks as of December 31, 2019 was “A”. We have intentionally maintained a cautious interest rate risk position by having an average duration of 3.3 years at December 31, 2019. This compares to an average duration at December 31, 2018 of 3.4 years. Based on the current duration of 3.3 years, a 1.0% increase in interest rates would result in a pre-tax decline in the market value of our portfolio of approximately $65.1 million.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Cycle Management and Growth</w:t>
      </w:r>
    </w:p>
    <w:p>
      <w:pPr>
        <w:spacing w:after="0" w:line="12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The insurance and reinsurance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need to raise insurance prices to improve underwriting results in order to offset loss of investment income.</w:t>
      </w:r>
    </w:p>
    <w:p>
      <w:pPr>
        <w:spacing w:after="0" w:line="85" w:lineRule="exact"/>
        <w:rPr>
          <w:sz w:val="20"/>
          <w:szCs w:val="20"/>
          <w:color w:val="auto"/>
        </w:rPr>
      </w:pPr>
    </w:p>
    <w:p>
      <w:pPr>
        <w:ind w:right="200" w:firstLine="351"/>
        <w:spacing w:after="0" w:line="279" w:lineRule="auto"/>
        <w:rPr>
          <w:sz w:val="20"/>
          <w:szCs w:val="20"/>
          <w:color w:val="auto"/>
        </w:rPr>
      </w:pPr>
      <w:r>
        <w:rPr>
          <w:rFonts w:ascii="Arial" w:cs="Arial" w:eastAsia="Arial" w:hAnsi="Arial"/>
          <w:sz w:val="17"/>
          <w:szCs w:val="17"/>
          <w:color w:val="auto"/>
        </w:rPr>
        <w:t>We are currently in a growth phase for our U.S. primary operations. In both our Excess and Surplus Lines and Specialty Admitted Insurance segments, we are experiencing growth in premiums driven by stable rates as well as increases in policy count and exposures. However, the growth in the Excess and Surplus Lines segment in 2020 will be impacted by the termination of our insurance contracts with Rasier effective December 31, 2019. The table below shows the changes in gross written premiums we have experienced in our operating segments from 2017 through 2019.</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199"/>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Written Premiums</w:t>
            </w:r>
          </w:p>
        </w:tc>
        <w:tc>
          <w:tcPr>
            <w:tcW w:w="320" w:type="dxa"/>
            <w:vAlign w:val="bottom"/>
          </w:tcPr>
          <w:p>
            <w:pPr>
              <w:spacing w:after="0"/>
              <w:rPr>
                <w:sz w:val="22"/>
                <w:szCs w:val="22"/>
                <w:color w:val="auto"/>
              </w:rPr>
            </w:pPr>
          </w:p>
        </w:tc>
        <w:tc>
          <w:tcPr>
            <w:tcW w:w="104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22"/>
                <w:szCs w:val="22"/>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22"/>
                <w:szCs w:val="22"/>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6"/>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922,320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387,642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374,346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316,430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73.7%</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160,773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135,889</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235,355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57"/>
        </w:trPr>
        <w:tc>
          <w:tcPr>
            <w:tcW w:w="24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1,470,735</w:t>
            </w:r>
          </w:p>
        </w:tc>
        <w:tc>
          <w:tcPr>
            <w:tcW w:w="100" w:type="dxa"/>
            <w:vAlign w:val="bottom"/>
            <w:tcBorders>
              <w:top w:val="single" w:sz="8" w:color="CCEEFF"/>
            </w:tcBorders>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1,166,773</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1,081,905</w:t>
            </w:r>
          </w:p>
        </w:tc>
        <w:tc>
          <w:tcPr>
            <w:tcW w:w="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-891540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-891540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years prior to those presented, the business written at our U.S. primary operations has, at times, been subject to “soft” market conditions, reflected both in price decreases and reduced underlying exposures. The recession in the United States from 2008 to 2010 was a significant driver of these soft market conditions.</w:t>
      </w:r>
    </w:p>
    <w:p>
      <w:pPr>
        <w:spacing w:after="0" w:line="73"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Excess and Surplus Lines segment is the most sensitive to hard and soft markets. We have, therefore, sought to diversify this business by geography, line of business and revenue stream. From 2006 to 2010, we reduced the gross written premiums in this business from $249.1 million to $116.1 million, or</w:t>
      </w:r>
    </w:p>
    <w:p>
      <w:pPr>
        <w:ind w:right="20"/>
        <w:spacing w:after="0" w:line="261" w:lineRule="auto"/>
        <w:rPr>
          <w:sz w:val="20"/>
          <w:szCs w:val="20"/>
          <w:color w:val="auto"/>
        </w:rPr>
      </w:pPr>
      <w:r>
        <w:rPr>
          <w:rFonts w:ascii="Arial" w:cs="Arial" w:eastAsia="Arial" w:hAnsi="Arial"/>
          <w:sz w:val="18"/>
          <w:szCs w:val="18"/>
          <w:color w:val="auto"/>
        </w:rPr>
        <w:t>53.4%. While we have been growing this business and achieving increasing or stable rates for several periods through December 31, 2019, there will likely be periods in the future where our growth moderates, stagnates or turns negative.</w:t>
      </w:r>
    </w:p>
    <w:p>
      <w:pPr>
        <w:spacing w:after="0" w:line="76"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The Excess and Surplus Lines segment has historically been able to make an underwriting profit regardless of the state of the underwriting cycle. This segment's weighted average combined ratio for 2010 through 2019 is 89.0%.</w:t>
      </w:r>
    </w:p>
    <w:p>
      <w:pPr>
        <w:spacing w:after="0" w:line="62"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spacing w:after="0" w:line="73"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A material portion of the profitability we seek to achieve from our fronting business will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We have $324.0 million of gross written premiums for fronting and program business for 2019 ($30.2 million on a net basis), and we expect our fee income will continue to grow in future periods and provide us with a steady revenue stream that will be relatively insulated from conditions in the admitted insurance market.</w:t>
      </w:r>
    </w:p>
    <w:p>
      <w:pPr>
        <w:spacing w:after="0" w:line="6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the Casualty Reinsurance segment, we have the ability to manage the cycle by growing or shrinking our business according to market conditions and the corresponding prices and terms being offered for the assumption of specific risks. We have a small team of eight people in Bermuda who underwrite and administer the business written by JRG Re in Bermuda. Accordingly, our overhead is low and does not necessitate us growing this business from its current size.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We compete in a variety of markets against a variety of competitors depending on the nature of the risk and coverage being underwritten. The competition for any one account may range from large international firms to smaller regional companies in the domiciles in which we operate. To remain competitive, our strategy includes, among other measures: (1) focusing on rate adequacy and underwriting discipline, (2) leveraging our distribution network,</w:t>
      </w:r>
    </w:p>
    <w:p>
      <w:pPr>
        <w:ind w:right="860"/>
        <w:spacing w:after="0" w:line="367" w:lineRule="auto"/>
        <w:rPr>
          <w:sz w:val="20"/>
          <w:szCs w:val="20"/>
          <w:color w:val="auto"/>
        </w:rPr>
      </w:pPr>
      <w:r>
        <w:rPr>
          <w:rFonts w:ascii="Arial" w:cs="Arial" w:eastAsia="Arial" w:hAnsi="Arial"/>
          <w:sz w:val="18"/>
          <w:szCs w:val="18"/>
          <w:color w:val="auto"/>
        </w:rPr>
        <w:t xml:space="preserve">(3) controlling expenses, (4) maintaining financial strength and issuer credit ratings and (5) providing quality services to agents and policyholders. </w:t>
      </w:r>
      <w:r>
        <w:rPr>
          <w:rFonts w:ascii="Arial" w:cs="Arial" w:eastAsia="Arial" w:hAnsi="Arial"/>
          <w:sz w:val="18"/>
          <w:szCs w:val="18"/>
          <w:b w:val="1"/>
          <w:bCs w:val="1"/>
          <w:i w:val="1"/>
          <w:iCs w:val="1"/>
          <w:color w:val="auto"/>
        </w:rPr>
        <w:t>Excess and Surplus Lines</w:t>
      </w:r>
    </w:p>
    <w:p>
      <w:pPr>
        <w:spacing w:after="0" w:line="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Competition within the E&amp;S lines marketplace comes from a wide range of carriers. In addition to mature E&amp;S companies that operate nationwide, there is competition from carriers formed in recent years. The Excess and Surplus Lines segment may also compete with national and regional carriers from the standard market willing to underwrite selected accounts on an admitted basis. Competitors in this segment include ACE Westchester Specialty Group, AmRisc Insurance Company (Truist), Apollo Syndicate, Alleghany Corporation, Arrowhead General Insurance Agency, Inc., Ategrity Specialty Insurance Company, Axis Insurance Company (Axis Capital Holdings Limited), Beazley Group (Lloyd’s), Brit Insurance (Lloyd’s), Colony Specialty Insurance Company (Argo Group International Holdings, Ltd.), Fairfax Financial Holdings, Ltd., Hiscox Insurance Company (Lloyd’s), Houston Casualty Company (a subsidiary of Tokio Marine HCC), Kinsale Capital Group, Lexington Insurance Company (American International Group, Inc.), Markel Corporation, Navigators Insurance Company (Hartford), OneBeacon (Intact Financial Corporation), QBE Insurance Group Ltd., RLI Corp., E&amp;S/Specialty (Nationwide Mutual Group), Starr Insurance Company (C.V. Starr &amp; Company), Swiss Re Ltd, United Specialty Insurance Company, W.R. Berkley, and other large national and multi-national insurance carriers.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Admitted Insurance</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Due to the diverse nature of the products offered by the Specialty Admitted Insurance segment, competition comes from various sources. The majority of the competition for our workers’ compensation business comes from regional companies or regional subsidiaries of national carriers in the domiciles in which they operate. National carriers tend to compete for fronting and program accounts along all product lines. Competitors in our workers’ compensation business include Builders Mutual Insurance Company, Accident Fund Insurance Company of America, W. R. Berkley Corporation, American Interstate Insurance Company (AMERISAFE, Inc.), and Amtrust Group. Competition for our fronting business includes State National (now part of Markel), Argo Group, Clear Blue, Spinnaker, Trisura, Red Point, Equity Insurance Company, Worth Insurance, Amtrust, and various Texas based county mutual insurance companies.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w:t>
      </w:r>
    </w:p>
    <w:p>
      <w:pPr>
        <w:spacing w:after="0" w:line="117" w:lineRule="exact"/>
        <w:rPr>
          <w:sz w:val="20"/>
          <w:szCs w:val="20"/>
          <w:color w:val="auto"/>
        </w:rPr>
      </w:pPr>
    </w:p>
    <w:p>
      <w:pPr>
        <w:ind w:right="160" w:firstLine="351"/>
        <w:spacing w:after="0" w:line="286" w:lineRule="auto"/>
        <w:rPr>
          <w:sz w:val="20"/>
          <w:szCs w:val="20"/>
          <w:color w:val="auto"/>
        </w:rPr>
      </w:pPr>
      <w:r>
        <w:rPr>
          <w:rFonts w:ascii="Arial" w:cs="Arial" w:eastAsia="Arial" w:hAnsi="Arial"/>
          <w:sz w:val="17"/>
          <w:szCs w:val="17"/>
          <w:color w:val="auto"/>
        </w:rPr>
        <w:t>The reinsurance industry is highly competitive. We expect to compete with major reinsurers, most of which are well-established, have a significant operating history and strong financial strength ratings and have developed long-standing client relationships. Competitors in this segment include AXA XL, Axis Re, Hamilton Re, MS Amlin, Odyssey Re, Sompo International Re, Transatlantic Re, and various Lloyd's syndicates.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Insurance Act 1978 and related rules and regulations (the “Insurance Act”), which regulates the insurance business of both Carolina Re and JRG Re, provides that no person shall carry on insurance business in or from within Bermuda unless registered as an insurer under the Insurance Act by the Bermuda Monetary Authority (the “BMA”). The BMA, in deciding whether to grant registration,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The registration of an applicant as an insurer is subject to its complying with the terms of its registration and such other conditions as the BMA may impose at any time.</w:t>
      </w:r>
    </w:p>
    <w:p>
      <w:pPr>
        <w:spacing w:after="0" w:line="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It is not necessary that the insurance company be incorporated in Bermuda. A foreign corporation may obtain a permit under the Companies Act of Bermuda, 1981 (the “Companies Act”) to carry on business in Bermuda and then be registered as an insurer in Bermuda under the Insurance Act.</w:t>
      </w:r>
    </w:p>
    <w:p>
      <w:pPr>
        <w:spacing w:after="0" w:line="1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Insurance Act does not distinguish between insurers and reinsurers; companies are registered (licensed) under the Insurance Act as “insurers” (although in certain circumstances a condition to registration may be imposed to the effect that the company may carry on only reinsurance business). The Insurance Act uses the defined term “insurance business” to include reinsurance business.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Insurance Act also grants to the BMA powers to supervise, investigate and intervene in the affairs of insurance companies.</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 Insurance Advisory Committee appointed by the Bermuda Minister of Finance advises the BMA on matters connected with the discharge of the BMA’s functions and subcommittees thereof supervise, investigate and review the law and practice of insurance in Bermuda, including reviews of accounting and administrative procedures.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Insurance Act imposes solvency and liquidity standards on Bermuda insurance companies, as well as auditing and reporting requirements.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significant aspects of the Bermuda insurance regulatory framework applicable to Class 3A insurers and/or Class 3B insurers are set forth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Insurers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general business and insurers carrying on special purpose business. There are seven classifications of insurers carrying on general business, ranging from Class 1 insurers (pure captives) to Class 4 insurers (large commercial underwriters). Carolina Re is licensed as a Class 3A insurer and JRG Re is licensed as a Class 3B insurer and each is regulated as such under the Insurance 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Paid-Up Share Capital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Class 3A insurer and a Class 3B insurer are each required to maintain fully paid up share capital of at least $120,000.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Representative and Principal Office</w:t>
      </w:r>
    </w:p>
    <w:p>
      <w:pPr>
        <w:spacing w:after="0" w:line="117" w:lineRule="exact"/>
        <w:rPr>
          <w:sz w:val="20"/>
          <w:szCs w:val="20"/>
          <w:color w:val="auto"/>
        </w:rPr>
      </w:pPr>
    </w:p>
    <w:p>
      <w:pPr>
        <w:ind w:right="120" w:firstLine="324"/>
        <w:spacing w:after="0" w:line="238" w:lineRule="auto"/>
        <w:rPr>
          <w:sz w:val="20"/>
          <w:szCs w:val="20"/>
          <w:color w:val="auto"/>
        </w:rPr>
      </w:pPr>
      <w:r>
        <w:rPr>
          <w:rFonts w:ascii="Arial" w:cs="Arial" w:eastAsia="Arial" w:hAnsi="Arial"/>
          <w:sz w:val="17"/>
          <w:szCs w:val="17"/>
          <w:color w:val="auto"/>
        </w:rPr>
        <w:t>A Class 3A insurer and a Class 3B insurer are each required to maintain a principal office and to appoint and maintain a principal representative in Bermuda. For the purposes of the Insurance Act, the principal office of Carolina Re and JRG Re is located at Wellesley House,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Floor, 90 Pitts Bay Road, Pembroke, HM 08, Bermuda. Carolina Re’s and JRG Re’s principal representative is Helen Gillis, the Chief Financial Officer of JRG Re.</w:t>
      </w:r>
    </w:p>
    <w:p>
      <w:pPr>
        <w:spacing w:after="0" w:line="9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Without a reason acceptable to the BMA, an insurer may not terminate the appointment of its principal representative, and the principal representative may not cease to act as such, unless 30 days’ prior notice in writing to the BMA is given of the intention to do so.</w:t>
      </w:r>
    </w:p>
    <w:p>
      <w:pPr>
        <w:spacing w:after="0" w:line="62" w:lineRule="exact"/>
        <w:rPr>
          <w:sz w:val="20"/>
          <w:szCs w:val="20"/>
          <w:color w:val="auto"/>
        </w:rPr>
      </w:pPr>
    </w:p>
    <w:p>
      <w:pPr>
        <w:jc w:val="both"/>
        <w:ind w:right="120" w:firstLine="324"/>
        <w:spacing w:after="0" w:line="273" w:lineRule="auto"/>
        <w:rPr>
          <w:sz w:val="20"/>
          <w:szCs w:val="20"/>
          <w:color w:val="auto"/>
        </w:rPr>
      </w:pPr>
      <w:r>
        <w:rPr>
          <w:rFonts w:ascii="Arial" w:cs="Arial" w:eastAsia="Arial" w:hAnsi="Arial"/>
          <w:sz w:val="17"/>
          <w:szCs w:val="17"/>
          <w:color w:val="auto"/>
        </w:rPr>
        <w:t>It is the duty of the principal representative to forthwith notify the BMA where the principal representative reaches the view that there is a likelihood of the insurer (for which the principal representative acts) becoming insolvent, or on it coming to the knowledge of the principal representative, or the principal representative has reasonable grounds for believing, that a reportable “event” has occurred. Examples of a reportable “event” include a failure by the insurer to comply substantially with a condition imposed upon it by the BMA relating to a solvency margin or a liquidity or other ratio, a significant loss reasonably likely to cause the insurer to fail to comply with its enhanced capital requirement (discussed below) and the occurrence of a material change (as such term is defined under the Insurance Act) in its business operations.</w:t>
      </w:r>
    </w:p>
    <w:p>
      <w:pPr>
        <w:spacing w:after="0" w:line="70"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Within 14 days of such notification to the BMA, the principal representative must furnish the BMA with a written report setting out all the particulars of the case that are available to the principal representative.</w:t>
      </w:r>
    </w:p>
    <w:p>
      <w:pPr>
        <w:spacing w:after="0" w:line="62"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Where there has been a significant loss which is reasonably likely to cause the insurer to fail to comply with its enhanced capital requirement, the principal representative must also furnish the BMA with a capital and solvency return reflecting an enhanced capital requirement prepared using post-loss data. The principal representative must provide this within 45 days of notifying the BMA regarding the loss.</w:t>
      </w:r>
    </w:p>
    <w:p>
      <w:pPr>
        <w:spacing w:after="0" w:line="5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Furthermore, where a notification has been made to the BMA regarding a material change, the principal representative has 30 days from the date of such notification to furnish the BMA with unaudited interim statutory financial statements in relation to such period as the BMA may require, together with a general business solvency certificate in respect of those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 Office</w:t>
      </w:r>
    </w:p>
    <w:p>
      <w:pPr>
        <w:spacing w:after="0" w:line="11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A Class 3A insurer and a Class 3B insurer shall each maintain its head office in Bermuda. In determining whether the insurer satisfies this requirement, the BMA shall consider, </w:t>
      </w:r>
      <w:r>
        <w:rPr>
          <w:rFonts w:ascii="Arial" w:cs="Arial" w:eastAsia="Arial" w:hAnsi="Arial"/>
          <w:sz w:val="16"/>
          <w:szCs w:val="16"/>
          <w:i w:val="1"/>
          <w:iCs w:val="1"/>
          <w:color w:val="auto"/>
        </w:rPr>
        <w:t>inter alia</w:t>
      </w:r>
      <w:r>
        <w:rPr>
          <w:rFonts w:ascii="Arial" w:cs="Arial" w:eastAsia="Arial" w:hAnsi="Arial"/>
          <w:sz w:val="16"/>
          <w:szCs w:val="16"/>
          <w:color w:val="auto"/>
        </w:rPr>
        <w:t>, the following factors: (i) where the underwriting, risk management and operational decision making of the insurer occurs;</w:t>
      </w:r>
    </w:p>
    <w:p>
      <w:pPr>
        <w:ind w:firstLine="8"/>
        <w:spacing w:after="0" w:line="271"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presence of senior executives who are responsible for, and involved in, the decision making related to the insurance business of the insurer are located in Bermuda; and (iii) where meetings of the board of directors of the insurer occur. In making its determination, the BMA may also have regard to (a) the location where management of the insurer meets to effect policy decisions of the insurer; (b) the residence of the officers, insurance managers or employees of the insurer; and (c) the residence of one or more directors of the insurer in Bermuda. This provision does not apply to an insurer that has a permit to conduct business in Bermuda under the Companies Act or the Non-Resident Insurance Undertakings Act 1967.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 Specialist</w:t>
      </w:r>
    </w:p>
    <w:p>
      <w:pPr>
        <w:spacing w:after="0" w:line="117" w:lineRule="exact"/>
        <w:rPr>
          <w:sz w:val="20"/>
          <w:szCs w:val="20"/>
          <w:color w:val="auto"/>
        </w:rPr>
      </w:pPr>
    </w:p>
    <w:p>
      <w:pPr>
        <w:jc w:val="both"/>
        <w:ind w:right="160" w:firstLine="351"/>
        <w:spacing w:after="0" w:line="286" w:lineRule="auto"/>
        <w:rPr>
          <w:sz w:val="20"/>
          <w:szCs w:val="20"/>
          <w:color w:val="auto"/>
        </w:rPr>
      </w:pPr>
      <w:r>
        <w:rPr>
          <w:rFonts w:ascii="Arial" w:cs="Arial" w:eastAsia="Arial" w:hAnsi="Arial"/>
          <w:sz w:val="17"/>
          <w:szCs w:val="17"/>
          <w:color w:val="auto"/>
        </w:rPr>
        <w:t>A Class 3A insurer and a Class 3B insurer are each required to appoint an individual approved by the BMA to be its loss reserve specialist. In order to qualify as an approved loss reserve specialist, the applicant must be an individual qualified to provide an opinion in accordance with the requirements of the Insurance Act and the BMA must be satisfied that the individual is fit and proper to hold such an appointment.</w:t>
      </w:r>
    </w:p>
    <w:p>
      <w:pPr>
        <w:spacing w:after="0" w:line="5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 Class 3A insurer and a Class 3B insurer are each required to submit annually an opinion of its approved loss reserve specialist with its capital and solvency return in respect of its total general insurance business technical provisions (i.e. the aggregate of its net premium provisions, net loss and loss expense provisions and risk margin, as each is reported in the insurer’s statutory economic balance sheet). The loss reserve specialist’s opinion must state, among other things, whether or not the aggregate amount of technical provisions shown in the statutory economic balance sheet as at the end of the relevant financial year (i) meets the requirements of the Insurance Act and (ii) makes reasonable provision for the total technical provisions of the insurer under the terms of its insurance contracts and agreements.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Financial Statements</w:t>
      </w:r>
    </w:p>
    <w:p>
      <w:pPr>
        <w:spacing w:after="0" w:line="117"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A Class 3A insurer and Class 3B insurer are each required to prepare and submit to the BMA, on an annual basis, audited financial statements which have been prepared under generally accepted accounting principles or international financial reporting standards (“GAAP financial statements”) and audited statutory financial statements.</w:t>
      </w:r>
    </w:p>
    <w:p>
      <w:pPr>
        <w:spacing w:after="0" w:line="73" w:lineRule="exact"/>
        <w:rPr>
          <w:sz w:val="20"/>
          <w:szCs w:val="20"/>
          <w:color w:val="auto"/>
        </w:rPr>
      </w:pPr>
    </w:p>
    <w:p>
      <w:pPr>
        <w:ind w:right="120" w:firstLine="351"/>
        <w:spacing w:after="0" w:line="277" w:lineRule="auto"/>
        <w:rPr>
          <w:sz w:val="20"/>
          <w:szCs w:val="20"/>
          <w:color w:val="auto"/>
        </w:rPr>
      </w:pPr>
      <w:r>
        <w:rPr>
          <w:rFonts w:ascii="Arial" w:cs="Arial" w:eastAsia="Arial" w:hAnsi="Arial"/>
          <w:sz w:val="18"/>
          <w:szCs w:val="18"/>
          <w:color w:val="auto"/>
        </w:rPr>
        <w:t>The Insurance Act prescribes rules for the preparation and substance of statutory financial statements (which include, in statutory form, a balance sheet, an income statement, a statement of capital and surplus and notes thereto). The statutory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include detailed information and analysis regarding premiums, claims, reinsurance and investments of the insurer.</w:t>
      </w:r>
    </w:p>
    <w:p>
      <w:pPr>
        <w:spacing w:after="0" w:line="11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insurer’s annual GAAP financial statements, and the auditor’s report thereon, and the statutory financial statements are required to be filed with the BMA within four months from the end of the relevant financial year (unless specifically extended with the approval of the BMA). The statutory financial statements do not form a part of the public records maintained by the BMA but the GAAP financial statements are available for public inspection.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Compliance</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At the time of filing its statutory financial statements, a Class 3A insurer and a Class 3B insurer are each also required to deliver to the BMA a declaration of compliance, in such form and with such content as may be prescribed by the BMA, declaring whether or not the insurer has, with respect to the preceding financial year (i) complied with all requirements of the minimum criteria applicable to it, (ii) complied with the minimum margin of solvency as at its financial year end, (iii) complied with the applicable enhanced capital requirements as at its financial year end, (iv) complied with applicable conditions, directions and restrictions imposed on, or approvals granted to, the insurer and (v) complied with the minimum liquidity ratio for general business as at its financial year end. The declaration of compliance is required to be signed by two directors of the insurer, and if the insurer has failed to comply with any of the requirements referenced in (i) through (v) above or observe any limitations, restrictions or conditions imposed upon the issuance of its license, if applicable, the insurer will be required to provide the BMA with particulars of such failure in writing. A Class 3A insurer and a Class 3B insurer shall be liable to a civil penalty by way of a fine for failure to comply with a duty imposed on it in connection with the delivery of the declaration of compliance.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Statutory Financial Return and Annual Capital and Solvency Return</w:t>
      </w:r>
    </w:p>
    <w:p>
      <w:pPr>
        <w:spacing w:after="0" w:line="117" w:lineRule="exact"/>
        <w:rPr>
          <w:sz w:val="20"/>
          <w:szCs w:val="20"/>
          <w:color w:val="auto"/>
        </w:rPr>
      </w:pPr>
    </w:p>
    <w:p>
      <w:pPr>
        <w:ind w:right="60" w:firstLine="351"/>
        <w:spacing w:after="0" w:line="277" w:lineRule="auto"/>
        <w:rPr>
          <w:sz w:val="20"/>
          <w:szCs w:val="20"/>
          <w:color w:val="auto"/>
        </w:rPr>
      </w:pPr>
      <w:r>
        <w:rPr>
          <w:rFonts w:ascii="Arial" w:cs="Arial" w:eastAsia="Arial" w:hAnsi="Arial"/>
          <w:sz w:val="18"/>
          <w:szCs w:val="18"/>
          <w:color w:val="auto"/>
        </w:rPr>
        <w:t>A Class 3A insurer and a Class 3B insurer are each required to file with the BMA a statutory financial return no later than four months after its financial year end (unless specifically extended with the approval of the BMA).</w:t>
      </w:r>
    </w:p>
    <w:p>
      <w:pPr>
        <w:spacing w:after="0" w:line="62" w:lineRule="exact"/>
        <w:rPr>
          <w:sz w:val="20"/>
          <w:szCs w:val="20"/>
          <w:color w:val="auto"/>
        </w:rPr>
      </w:pPr>
    </w:p>
    <w:p>
      <w:pPr>
        <w:ind w:right="100" w:firstLine="351"/>
        <w:spacing w:after="0" w:line="277" w:lineRule="auto"/>
        <w:rPr>
          <w:sz w:val="20"/>
          <w:szCs w:val="20"/>
          <w:color w:val="auto"/>
        </w:rPr>
      </w:pPr>
      <w:r>
        <w:rPr>
          <w:rFonts w:ascii="Arial" w:cs="Arial" w:eastAsia="Arial" w:hAnsi="Arial"/>
          <w:sz w:val="18"/>
          <w:szCs w:val="18"/>
          <w:color w:val="auto"/>
        </w:rPr>
        <w:t>The statutory financial return of an insurer shall consist of (i) an insurer information sheet, (ii) an auditor’s report, (iii) the statutory financial statements and (iv) notes to the statutory financial statements.</w:t>
      </w:r>
    </w:p>
    <w:p>
      <w:pPr>
        <w:spacing w:after="0" w:line="62"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The insurer information sheet shall state, among other matters, (i) whether the general purpose financial statements of the insurer for the relevant year have been audited and an unqualified opinion issued, (ii) the minimum margin of solvency applying to the insurer and whether such margin was met,</w:t>
      </w:r>
    </w:p>
    <w:p>
      <w:pPr>
        <w:jc w:val="both"/>
        <w:ind w:firstLine="8"/>
        <w:spacing w:after="0" w:line="25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the minimum liquidity ratio applying to the insurer for the relevant year was met and (iv) whether or not the insurer has complied with every condition attached to its certificate of registration. The insurer information sheet shall state if any of the questions identified in items (ii), (iii) or (iv) above is answered in the negative, whether or not the insurer has taken corrective action in any case and, where the insurer has taken such action, describe the action in an attached statement.</w:t>
      </w:r>
    </w:p>
    <w:p>
      <w:pPr>
        <w:spacing w:after="0" w:line="82"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The directors are required to certify whether the minimum solvency margin has been met, and the independent approved auditor is required to state whether in its opinion it was reasonable for the directors to make this certification.</w:t>
      </w:r>
    </w:p>
    <w:p>
      <w:pPr>
        <w:spacing w:after="0" w:line="62"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Where an insurer’s accounts have been audited for any purpose other than compliance with the Insurance Act, a statement to that effect must be filed with the statutory financial return.</w:t>
      </w:r>
    </w:p>
    <w:p>
      <w:pPr>
        <w:spacing w:after="0" w:line="62" w:lineRule="exact"/>
        <w:rPr>
          <w:sz w:val="20"/>
          <w:szCs w:val="20"/>
          <w:color w:val="auto"/>
        </w:rPr>
      </w:pPr>
    </w:p>
    <w:p>
      <w:pPr>
        <w:ind w:right="120" w:firstLine="351"/>
        <w:spacing w:after="0" w:line="257" w:lineRule="auto"/>
        <w:rPr>
          <w:sz w:val="20"/>
          <w:szCs w:val="20"/>
          <w:color w:val="auto"/>
        </w:rPr>
      </w:pPr>
      <w:r>
        <w:rPr>
          <w:rFonts w:ascii="Arial" w:cs="Arial" w:eastAsia="Arial" w:hAnsi="Arial"/>
          <w:sz w:val="18"/>
          <w:szCs w:val="18"/>
          <w:color w:val="auto"/>
        </w:rPr>
        <w:t>In addition, each year the insurer is required to file with the BMA a capital and solvency return along with its annual statutory financial return. The prescribed form of capital and solvency return comprises the insurer’s Bermuda Solvency Capital Requirement (“BSCR”) model or an approved internal capital model in lieu thereof, together with such schedules as prescribed by the Insurance (Prudential Standards) (Class 3A Solvency Requirement) Rules 2011 for Class 3A insurers and the Insurance (Prudential Standards) (Class 4 and 3B Solvency Requirement) Rules 2008 for Class 3B insurers, respectively, as each are amended from time to time.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Neither the statutory financial return nor the capital and solvency return is available for public inspection.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Financial Return</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Class 3B insurer, not otherwise subject to group supervision, is required to prepare and file quarterly financial returns with the BMA on or before the last day of the months of May, August and November of each year. The quarterly financial returns consist of (i) quarterly unaudited financial statements for each financial quarter (which must minimally include a balance sheet and income statement and must also be recent and not reflect a financial position that exceeds two months), (ii) a list and details of material intra-group transactions that the Class 3B insurer is a party to and the Class 3B insurer’s risk concentrations that have materialized since the most recent quarterly or annual financial returns, details surrounding all intra-group reinsurance and retrocession arrangements and other intra-group risk transfer insurance business arrangements that have materialized since the most recent quarterly or annual financial returns and (iii) details of the ten largest exposures to</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820"/>
        <w:spacing w:after="0" w:line="375" w:lineRule="auto"/>
        <w:rPr>
          <w:sz w:val="20"/>
          <w:szCs w:val="20"/>
          <w:color w:val="auto"/>
        </w:rPr>
      </w:pPr>
      <w:r>
        <w:rPr>
          <w:rFonts w:ascii="Arial" w:cs="Arial" w:eastAsia="Arial" w:hAnsi="Arial"/>
          <w:sz w:val="18"/>
          <w:szCs w:val="18"/>
          <w:color w:val="auto"/>
        </w:rPr>
        <w:t xml:space="preserve">unaffiliated counterparties and any other unaffiliated counterparty exposures exceeding 10% of the Class 3B insurer’s statutory capital and surplus. </w:t>
      </w:r>
      <w:r>
        <w:rPr>
          <w:rFonts w:ascii="Arial" w:cs="Arial" w:eastAsia="Arial" w:hAnsi="Arial"/>
          <w:sz w:val="18"/>
          <w:szCs w:val="18"/>
          <w:b w:val="1"/>
          <w:bCs w:val="1"/>
          <w:i w:val="1"/>
          <w:iCs w:val="1"/>
          <w:color w:val="auto"/>
        </w:rPr>
        <w:t>Public Disclosures</w:t>
      </w:r>
    </w:p>
    <w:p>
      <w:pPr>
        <w:spacing w:after="0" w:line="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All commercial insurers and insurance groups are required under the Insurance Act to prepare and file with the BMA, and also publish on their web site, a financial condition report. The BMA has discretion to approve modifications and exemptions to the public disclosure rules on application by the insurer if, among other things, the BMA is satisfied that the disclosure of certain information will result in a competitive disadvantage or compromise confidentiality obligations of the insurer.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Approved Auditor</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Class 3A insurer and a Class 3B insurer must each appoint an independent auditor who will audit and report on the insurer’s GAAP financial statements and statutory financial statements,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Business</w:t>
      </w:r>
    </w:p>
    <w:p>
      <w:pPr>
        <w:spacing w:after="0" w:line="117"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No Class 3A insurer or Class 3B insurer may engage in non-insurance business unless that non-insurance business is ancillary to its insurance business. Non-insurance business means any business other than insurance business and includes carrying on investment business, managing an investment fund as operator, carrying on business as a fund administrator, carrying on banking business, underwriting debt or securities or otherwise engaging in investment banking, engaging in commercial or industrial activities and carrying on the business of management, sales or leasing of real property.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Liquidity Ratio</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Insurance Act provides a minimum liquidity ratio for general business insurers. A Class 3A insurer and a Class 3B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reinsurance balances receivable, funds held by ceding reinsurers and any other assets which the BMA, on application in any particular case made to it with reasons, accepts in that case.</w:t>
      </w:r>
    </w:p>
    <w:p>
      <w:pPr>
        <w:spacing w:after="0" w:line="8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taxes and letters of credit, guarantees and other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Minimum Solvency Margin and Enhanced Capital Requirements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Insurance Act provides that the value of the statutory assets of an insurer must exceed the value of its statutory liabilities by an amount greater than its prescribed minimum solvency margin (“MSM”).</w:t>
      </w:r>
    </w:p>
    <w:p>
      <w:pPr>
        <w:spacing w:after="0" w:line="6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MSM that must be maintained by a Class 3A insurer and a Class 3B insurer with respect to its general business is the greater of (i) $1,000,000, (ii) 20% of the first $6,000,000 of net premiums written (but if the net premiums written are in excess of $6,000,000, the figure is $1,200,000 plus 15% of net premiums written in excess of $6,000,000) or (iii) 15% of the aggregate of net loss and loss expense provisions and other insurance reserves or (iv) 25% of the ECR (as defined below) as reported at the end of the relevant year.</w:t>
      </w:r>
    </w:p>
    <w:p>
      <w:pPr>
        <w:spacing w:after="0" w:line="7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Class 3A insurers and Class 3B insurers are also required to maintain available statutory economic capital and surplus at a level equal to or in excess of its enhanced capital requirement (“ECR”) which is established by reference to either the BSCR model or an approved internal capital model.</w:t>
      </w:r>
    </w:p>
    <w:p>
      <w:pPr>
        <w:spacing w:after="0" w:line="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BSCR model is a risk-based capital model which provides a method for determining an insurer’s capital requirements (statutory economic capital and surplus) by taking into account the risk characteristics of different aspects of the insurer’s business. The BSCR formula establishes capital requirements for ten categories of risk: fixed income investment risk, equity investment risk, interest rate/liquidity risk, currency risk, concentration risk, premium risk, reserve risk, credit risk, catastrophe risk and operational risk. For each category, the capital requirement is determined by applying factors to asset, premium, reserve, creditor, probable maximum loss and operation items, with higher factors applied to items with greater underlying risk and lower factors for less risky items.</w:t>
      </w:r>
    </w:p>
    <w:p>
      <w:pPr>
        <w:spacing w:after="0" w:line="8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While not specifically referred to in the Insurance Act (or required thereunder), the BMA has also established a target capital level (“TCL”) for each Class 3A insurer and Class 3B insurer equal to 120% of its ECR. The TCL serves as an early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warning tool for the BMA, and failure to maintain statutory capital at least equal to the TCL will likely result in increased regulatory oversight.</w:t>
      </w:r>
    </w:p>
    <w:p>
      <w:pPr>
        <w:spacing w:after="0" w:line="11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Any insurer which at any time fails to meet its MSM requirements must, upon becoming aware of such failure, immediately notify the BMA and, within 14 days thereafter, file a written report with the BMA containing particulars of the circumstances that gave rise to the failure and setting out its plan detailing specific actions to be taken and the expected timeframe in which the insurer intends to rectify the failure.</w:t>
      </w:r>
    </w:p>
    <w:p>
      <w:pPr>
        <w:spacing w:after="0" w:line="7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Any insurer which at any time fails to meet its applicable enhanced capital requirement shall, upon becoming aware of that failure or of having reason to believe that such a failure has occurred, immediately notify the BMA in writing and within 14 days of such notification file with the BMA a written report containing particulars of the circumstances leading to the failure, and a plan detailing the manner, specific actions to be taken and time within which the insurer intends to rectify the failure, and within 45 days of becoming aware of that failure or of having reason to believe that such a failure has occurred, furnish the BMA with (i) unaudited statutory economic balance sheets and unaudited interim statutory financial statements prepared in accordance with GAAP covering such period as the BMA may require; (ii) the opinion of a loss reserve specialist in relation to the total general business insurance technical provisions as set out in the economic balance sheet, where applicable; (iii) a general business solvency certificate in respect of the financial statements; and (iv) a capital and solvency return reflecting an enhanced capital requirement prepared using post failure data where applicable.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Capital</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To enable the BMA to better assess the quality of an insurer’s capital resources, a Class 3A insurer and a Class 3B insurer are each required to disclose the makeup of its capital in accordance with a “3-tiered eligible capital system”. Under this system, all of the insurer’s capital instruments will be classified as either basic or ancillary capital which in turn will be classified into one of three tiers based on their “loss absorbency” characteristics. Highest quality capital will be classified Tier 1 Capital, and lesser quality capital will be classified as either Tier 2 Capital or Tier 3 Capital. Under this regime, up to certain specified percentages of Tier 1, Tier 2 and Tier 3 Capital may be used to support the insurer’s MSM, ECR and TCL.</w:t>
      </w:r>
    </w:p>
    <w:p>
      <w:pPr>
        <w:spacing w:after="0" w:line="6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characteristics of the capital instruments that must be satisfied to qualify as Tier 1, Tier 2 and Tier 3 Capital are set out in the Insurance (Eligible Capital) Rules 2012, and amendments thereto. Under these rules, Tier 1, Tier 2 and Tier 3 Capital may, until January 1, 2026, include capital instruments that do not satisfy the requirement that the instrument be non-redeemable or settled only with the issuance of an instrument of equal or higher quality upon a breach, or if it would cause a breach, of the ECR.</w:t>
      </w:r>
    </w:p>
    <w:p>
      <w:pPr>
        <w:spacing w:after="0" w:line="7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Where the BMA has previously approved the use of certain instruments for capital purposes, the BMA’s consent will need to be obtained if such instruments are to remain eligible for use in satisfying the MSM and the ECR.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Insurance Code of Conduct (the “Insurance Code”) prescribes the duties, standards, procedures and sound business principles that must be complied with by all insurers registered under the Insurance Act. The BMA will assess an insurer’s compliance with the Insurance Code in a proportional manner relative to the nature, scale and complexity of its business. Failure to comply with the requirements of the Insurance Code will be taken into account by the BMA in determining whether an insurer is conducting its business in a sound and prudent manner as prescribed by the Insurance Act, may result in the BMA exercising its powers of intervention and investigation (see below) and will be a factor in calculating the operational risk charge under the insurer’s BSCR or approved internal model.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Distributions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 Class 3A insurer and a Class 3B insurer are each prohibited from declaring or paying a dividend if it is in breach of its MSM, ECR or minimum liquidity ratio or if the declaration or payment of such dividend would cause such a breach. Where an insurer fails to meet its MSM or minimum liquidity ratio on the last day of any financial year, it will be prohibited from declaring or paying any dividends during the next financial year without the approval of the BMA.</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a Class 3A insurer and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Capital</w:t>
      </w:r>
    </w:p>
    <w:p>
      <w:pPr>
        <w:spacing w:after="0" w:line="117" w:lineRule="exact"/>
        <w:rPr>
          <w:sz w:val="20"/>
          <w:szCs w:val="20"/>
          <w:color w:val="auto"/>
        </w:rPr>
      </w:pPr>
    </w:p>
    <w:p>
      <w:pPr>
        <w:ind w:right="180" w:firstLine="351"/>
        <w:spacing w:after="0" w:line="286" w:lineRule="auto"/>
        <w:rPr>
          <w:sz w:val="20"/>
          <w:szCs w:val="20"/>
          <w:color w:val="auto"/>
        </w:rPr>
      </w:pPr>
      <w:r>
        <w:rPr>
          <w:rFonts w:ascii="Arial" w:cs="Arial" w:eastAsia="Arial" w:hAnsi="Arial"/>
          <w:sz w:val="17"/>
          <w:szCs w:val="17"/>
          <w:color w:val="auto"/>
        </w:rPr>
        <w:t>No Class 3A insurer or Class 3B insurer may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 (such as letters of credit).</w:t>
      </w:r>
    </w:p>
    <w:p>
      <w:pPr>
        <w:spacing w:after="0" w:line="57"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A Class 3A insurer or Class 3B insurer seeking to reduce its respective statutory capital by 15% or more, as set out in its previous year’s financial statements, is also required to submit an affidavit signed by at least two directors (one of whom must be a Bermuda-resident director if any of the insurer’s directors are resident in Bermuda) and the principal representative stating that the proposed reduction will not cause it to fail its relevant margins and such other information as the BMA may require. Where such an affidavit is filed, it shall be available for public inspection at the offices of the BMA.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Priority</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On July 30, 2018, the Insurance Amendment (No. 2) Act 2018 amended the Insurance Act to provide for the prior payment of policyholders’ liabilities ahead of general unsecured creditors in the event of the liquidation or winding up of an insurer. The amendments provide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subject to the prior payment of preferential debts under the Employment Act 2000 and the Companies Act, the insurance debts of an insurer must be paid in priority to all other unsecured debts of the insurer. Insurance debt is defined as a debt to which an insurer is or may become liable pursuant to an insurance contract, excluding debts owed to an insurer under an insurance contract where the insurer is the person insured. Insurance contract is defined as any contract of insurance, capital redemption contract or a contract that has been recorded as insurance business in the financial statements of the insurer pursuant to the Insurance Accounts 1981 or the Insurance Account Rules 2016, as applicable. The provisions became effective on January 1,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Fit and Proper Controller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BMA maintains supervision over the controllers of all registered insurers in Bermuda.</w:t>
      </w:r>
    </w:p>
    <w:p>
      <w:pPr>
        <w:spacing w:after="0" w:line="117"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A controller includes (i) the managing director of the registered insurer or its parent company, (ii) the chief executive of the registered insurer or of its parent company, (iii) a shareholder controller, and (iv) any person in accordance with whose directions or instructions the directors of the registered insurer or of its parent company are accustomed to act.</w:t>
      </w:r>
    </w:p>
    <w:p>
      <w:pPr>
        <w:spacing w:after="0" w:line="73" w:lineRule="exact"/>
        <w:rPr>
          <w:sz w:val="20"/>
          <w:szCs w:val="20"/>
          <w:color w:val="auto"/>
        </w:rPr>
      </w:pPr>
    </w:p>
    <w:p>
      <w:pPr>
        <w:ind w:right="120" w:firstLine="351"/>
        <w:spacing w:after="0" w:line="257" w:lineRule="auto"/>
        <w:rPr>
          <w:sz w:val="20"/>
          <w:szCs w:val="20"/>
          <w:color w:val="auto"/>
        </w:rPr>
      </w:pPr>
      <w:r>
        <w:rPr>
          <w:rFonts w:ascii="Arial" w:cs="Arial" w:eastAsia="Arial" w:hAnsi="Arial"/>
          <w:sz w:val="18"/>
          <w:szCs w:val="18"/>
          <w:color w:val="auto"/>
        </w:rPr>
        <w:t>The definition of shareholder controller is set out in the Insurance Act, but generally refers to (i) a person who holds 10% or more of the shares carrying rights to vote at a shareholders’ meeting of the registered insurer or its parent company, (ii) a person who is entitled to exercise 10% or more of the voting power at any shareholders’ meeting of such registered insurer or its parent company, or (iii) a person who is able to exercise significant influence over the management of the registered insurer or its parent company by virtue of its shareholding or its entitlement to exercise, or control the exercise of, the voting power at any shareholders’ meeting.</w:t>
      </w:r>
    </w:p>
    <w:p>
      <w:pPr>
        <w:spacing w:after="0" w:line="80" w:lineRule="exact"/>
        <w:rPr>
          <w:sz w:val="20"/>
          <w:szCs w:val="20"/>
          <w:color w:val="auto"/>
        </w:rPr>
      </w:pPr>
    </w:p>
    <w:p>
      <w:pPr>
        <w:ind w:right="80" w:firstLine="351"/>
        <w:spacing w:after="0" w:line="279" w:lineRule="auto"/>
        <w:rPr>
          <w:sz w:val="20"/>
          <w:szCs w:val="20"/>
          <w:color w:val="auto"/>
        </w:rPr>
      </w:pPr>
      <w:r>
        <w:rPr>
          <w:rFonts w:ascii="Arial" w:cs="Arial" w:eastAsia="Arial" w:hAnsi="Arial"/>
          <w:sz w:val="17"/>
          <w:szCs w:val="17"/>
          <w:color w:val="auto"/>
        </w:rPr>
        <w:t>A shareholder controller that owns 10% or more, but less than 20% of the shares as described above is defined as a 10% shareholder controller. A shareholder controller that owns 20% or more, but less than 33% of the shares as described above is defined as a 20% shareholder controller. A shareholder controller that owns 33% or more but less than 50% of the shares as described above is defined as a 33% shareholder controller. A shareholder controller that owns 50% or more of the shares as described above is defined as a 50% shareholder controller.</w:t>
      </w:r>
    </w:p>
    <w:p>
      <w:pPr>
        <w:spacing w:after="0" w:line="63" w:lineRule="exact"/>
        <w:rPr>
          <w:sz w:val="20"/>
          <w:szCs w:val="20"/>
          <w:color w:val="auto"/>
        </w:rPr>
      </w:pPr>
    </w:p>
    <w:p>
      <w:pPr>
        <w:ind w:right="80" w:firstLine="351"/>
        <w:spacing w:after="0" w:line="257" w:lineRule="auto"/>
        <w:rPr>
          <w:sz w:val="20"/>
          <w:szCs w:val="20"/>
          <w:color w:val="auto"/>
        </w:rPr>
      </w:pPr>
      <w:r>
        <w:rPr>
          <w:rFonts w:ascii="Arial" w:cs="Arial" w:eastAsia="Arial" w:hAnsi="Arial"/>
          <w:sz w:val="18"/>
          <w:szCs w:val="18"/>
          <w:color w:val="auto"/>
        </w:rPr>
        <w:t>As the shares of Carolina Re’s and JRG Re’s parent company are traded on a recognized stock exchange, a person who becomes a 10%, 20%, 33% or 50% shareholder controller of the insurer, shall, within 45 days, notify the BMA in writing that he or she has become such a controller. In addition, a person who is a shareholder controller of Carolina Re or JRG Re must serve on the BMA a notice in writing that he or she has reduced or disposed of his or her holding in the insurer where the proportion of voting rights in the insurer held by him or her will have reached or has fallen below 10%, 20%, 33% or 50% as the case may be, not later than 45 days after such disposal.</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person who contravenes the Insurance Act by failing to give notice or knowingly becomes a controller of any description before the required 45 days has elapsed is guilty of an offence and liable to a fine of $25,000 on summary conviction.</w:t>
      </w:r>
    </w:p>
    <w:p>
      <w:pPr>
        <w:spacing w:after="0" w:line="62"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BMA may file a notice of objection to any person who has become a controller of any description where it appears that such person is not or is no longer, a fit and proper person to be a controller of the registered insurer. Before issuing a notice of objection, the BMA is required to serve upon the person concerned a preliminary written notice stating the BMA’s intention to issue formal notice of objection. Upon receipt of the preliminary written notice, the person served may, within 28 days, file written representations with the BMA, which shall be taken into account by the BMA in making their final determination. Any person who continues to be a controller of any description after having received a notice of objection shall be guilty of 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offense and shall be liable on summary conviction to a fine of $25,000 (and a continuing fine of $500 per day for each day that the offense is continuing) or, if convicted on indictment, to a fine of $100,000 and/or two years in prison.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by Registered Person of Change of Controllers and Officers</w:t>
      </w:r>
    </w:p>
    <w:p>
      <w:pPr>
        <w:spacing w:after="0" w:line="11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All registered insurers are required to give written notice to the BMA of the fact that a person has become, or ceased to be, a controller or officer of the insurer within 45 days of becoming aware of such fact. An officer in relation to a registered insurer means a director, chief executive or senior executive performing duties of underwriting, actuarial, risk management, compliance, internal audit, finance or investment matters.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of Material Changes</w:t>
      </w:r>
    </w:p>
    <w:p>
      <w:pPr>
        <w:spacing w:after="0" w:line="11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All registered insurers are required to give notice to the BMA of their intention to effect a material change within the meaning of the Insurance Act. For the purposes of the Insurance Act, the following changes are material: (i) the transfer or acquisition of insurance business being part of a scheme falling under Section 25 of the Insurance Act or Section 99 of the Companies Act, (ii) the amalgamation with or acquisition of another firm, (iii) engaging in unrelated business that is retail business, (iv) the acquisition of a controlling interest in an undertaking that is engaged in non-insurance business which offers services and products to persons who are not affiliates of the insurer, (v) outsourcing all or substantially all of the company’s actuarial, risk management compliance or internal audit functions, (vi) outsourcing all or a material part of an insurer’s underwriting activity, (vii) the transfer other than by way of reinsurance of all or substantially all of a line of business, (viii) expansion into a material new line of business, (ix) the sale of an insurer, and (x) outsourcing of an officer role.</w:t>
      </w:r>
    </w:p>
    <w:p>
      <w:pPr>
        <w:spacing w:after="0" w:line="59"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No registered insurer shall take any steps to give effect to a material change unless it has first served notice on the BMA that it intends to effect such material change, and before the end of 30 days, either the BMA has notified such company in writing that it has no objection to such change or that period has lapsed without the BMA having issued a notice of objection.</w:t>
      </w:r>
    </w:p>
    <w:p>
      <w:pPr>
        <w:spacing w:after="0" w:line="7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Before issuing a notice of objection, the BMA is required to serve upon the person concerned a preliminary written notice stating the BMA’s intention to issue a formal notice of objection. Upon receipt of the preliminary written notice, the person served may, within 28 days, file written representations with the BMA which shall be taken into account by the BMA in making their final determination.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Supervision</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BMA may, in respect of an insurance group, determine whether it is appropriate for it to act as its group supervisor. An insurance group is defined as a group of companies that conducts insurance business. The BMA may make such determination where it ascertains that (i) the group is headed by a “specified insurer” (that is to say, it is headed by either a Class 3A, Class 3B or Class 4 general business insurer or a Class C, Class D or Class E long term insurer or another class of insurer designated by order of the BMA); or (ii) where the insurance group is not headed by a “specified insurer”, where it is headed by a parent company which is incorporated in Bermuda or (iii) where the parent company of the group is not a Bermuda company, in circumstances where the BMA is satisfied that the insurance group is directed and managed from Bermuda or the insurer with the largest balance sheet total is a specified insurer.</w:t>
      </w:r>
    </w:p>
    <w:p>
      <w:pPr>
        <w:spacing w:after="0" w:line="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Where the BMA determines that it should act as the group supervisor, it shall designate a specified insurer that is a member of the insurance group to be the designated insurer (the “Designated Insurer”) and it shall give to the Designated Insurer and other applicable insurance regulatory authority written notice of its intention to act as group supervisor. Before the BMA makes a final determination whether or not to act as group supervisor, it shall take into account any written representations made by the Designated Insurer submitted within such period as is specified in the notice.</w:t>
      </w:r>
    </w:p>
    <w:p>
      <w:pPr>
        <w:spacing w:after="0" w:line="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BMA may exclude any company that is a member of an insurance group from group supervision on the application of the Designated Insurer, or on its own initiative, provided the BMA is satisfied that (i) the company is situated in a country or territory where there are legal impediments to cooperation and exchange of information, (ii) the financial operations of the company have a negligible impact on insurance group operations or (iii) the inclusion of the company would be inappropriate with respect to the objectives of group supervision.</w:t>
      </w:r>
    </w:p>
    <w:p>
      <w:pPr>
        <w:spacing w:after="0" w:line="7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BMA may, on its own initiative or on the application of the relevant Designated Insurer, include within group supervision a company that is a member of the group that is not on the Register of Group Particulars (described below) if it is satisfied the financial operations of the company in question may have a material impact on the insurance group’s operations and its inclusion would be appropriate having regard to the objectives of group supervision.</w:t>
      </w:r>
    </w:p>
    <w:p>
      <w:pPr>
        <w:spacing w:after="0" w:line="3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Once the BMA has been designated as group supervisor, the Designated Insurer must ensure that the insurance group of which it is a member appoints (i) an individual approved by the BMA who is qualified as a group actuary to provide an opinion on the insurance group’s insurance technical provisions in accordance with the requirements of Schedule XIV “Group Statutory Economic Balance Sheet” of the Insurance (Prudential Standards) (Insurance Group Solvency Requirement) Rules 2011 and (ii) an auditor approved by the BMA to audit the financial statements of the group.</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20" w:firstLine="324"/>
        <w:spacing w:after="0" w:line="276" w:lineRule="auto"/>
        <w:rPr>
          <w:sz w:val="20"/>
          <w:szCs w:val="20"/>
          <w:color w:val="auto"/>
        </w:rPr>
      </w:pPr>
      <w:r>
        <w:rPr>
          <w:rFonts w:ascii="Arial" w:cs="Arial" w:eastAsia="Arial" w:hAnsi="Arial"/>
          <w:sz w:val="17"/>
          <w:szCs w:val="17"/>
          <w:color w:val="auto"/>
        </w:rPr>
        <w:t>Pursuant to its powers under the Insurance Act, the BMA will maintain a register of particulars for every insurance group (the “Register of Group Particulars”) for which it acts as the group supervisor, detailing the names and addresses of (i) the Designated Insurer; (ii) each member company of the insurance group falling within the scope of group supervision; (iii) the principal representative of the insurance group in Bermuda; (iv) other competent authorities supervising other member companies of the insurance group; and (v) the insurance group auditors. The Designated Insurer must immediately notify the BMA of any changes to the above details entered on the Register of Group Particulars.</w:t>
      </w:r>
    </w:p>
    <w:p>
      <w:pPr>
        <w:spacing w:after="0" w:line="6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group supervisor, the BMA will perform a number of supervisory functions including (i) coordinating the gathering and dissemination of relevant or essential information for going concerns and emergency situations, including the dissemination of information which is of importance for the supervisory task of other competent authorities; (ii) carrying out supervisory reviews and assessments of the insurance group; (iii) carrying out assessments of the insurance group’s compliance with the rules on solvency, risk concentration, intra-group transactions and good governance procedures; (iv) planning and coordinating through regular meetings held at least annually (or by other appropriate means) with other competent authorities, supervisory activities in respect of the insurance group, both as a going concern and in emergency situations; (v) coordinating enforcement actions that may need to be taken against the insurance group or any of its members; and (vi) planning and coordinating meetings of colleges of supervisors in order to facilitate the carrying out of the functions described above.</w:t>
      </w:r>
    </w:p>
    <w:p>
      <w:pPr>
        <w:spacing w:after="0" w:line="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BMA may, for the purposes of group supervision, make rules applying to Designated Insurers which take into account any activities of the insurance group of which they are members or of other members of the insurance group. Such rules may make provision for the assessment of the financial situation of the insurance group; the solvency position of the insurance group (including the imposition of prudential standards in relation to enhanced capital requirements, capital and solvency returns, insurance reserves and eligible capital that must be complied with by the Designated Insurers); the system of governance and risk management of the insurance group; intra-group transactions and risk concentrations; and supervisory reporting and disclosure in respect of the insurance group.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Supervision, Investigation, Intervention and Disclosure</w:t>
      </w:r>
    </w:p>
    <w:p>
      <w:pPr>
        <w:spacing w:after="0" w:line="117"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The BMA may, by notice in writing served on a registered person or a designated insurer, require the registered person or designated insurer to provide such information and/or documentation as the BMA may reasonably require with respect to matters that are likely to be material to the performance of its supervisory functions under the Insurance Act. In addition, it may require such person’s auditor, underwriter, accountant or any other person with relevant professional skill of such registered person or designated insurer to prepare a report on any aspect pertaining thereto. In the case of a report, the person so appointed shall immediately give the BMA written notice of any fact or matter of which he becomes aware or which indicates to him that any condition attaching to his registration under the Insurance Act is not or has not, or may not be or may not have, been fulfilled and that such matters are likely to be material to the performance of its functions under the Insurance Act. If it appears to the BMA to be desirable in the interests of the clients of a registered person or relevant insurance group, the BMA may also exercise these powers in relation to subsidiaries, parent companies and other affiliates of the registered person or designated insurer.</w:t>
      </w:r>
    </w:p>
    <w:p>
      <w:pPr>
        <w:spacing w:after="0" w:line="74"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If the BMA deems it necessary to protect the interests of the policyholders or potential policyholders of an insurer or insurance group, it may appoint one or more competent persons to investigate and report on the nature, conduct or state of the insurer’s or the insurance group’s business, or any aspect thereof, or the ownership or control of the insurer or insurance group. If the person so appointed thinks it necessary for the purposes of the investigation, such person may also investigate the business of any person who is or has been, at any relevant time, a member of the insurance group or of a partnership of which the person being investigated is a member. In this regard, it shall be the duty of every person who is or was a controller, officer, employee, agent, banker, auditor, accountant, barrister and attorney or insurance manager to produce to the person appointed such documentation as the appointed person may reasonably require for purposes of the investigation, and to attend and answer questions relevant to the investigation and to otherwise provide such assistance as may be necessary in connection therewith.</w:t>
      </w:r>
    </w:p>
    <w:p>
      <w:pPr>
        <w:spacing w:after="0" w:line="71"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Where the BMA suspects that a person has failed to properly register under the Insurance Act or that a registered person or designated insurer has failed to comply with a requirement of the Insurance Act or that a person is not, or is no longer, a fit and proper person to perform functions in relation to a regulated activity, it may, by notice in writing, carry out an investigation into such person (or any other person connected thereto). In connection therewith, the BMA may require every person who is or was a controller, officer, employee, agent, banker, auditor, accountant, barrister and attorney or insurance manager to make a report and produce such documents in his care, custody and control and to attend before the BMA to answer questions relevant to the BMA’s investigation and to take such actions as the BMA may direct. The BMA may also enter any premises for the purposes of carrying out its investigation and may petition the court for a warrant if it believes a person has failed to comply with a notice served on him, there are reasonable grounds for suspecting the information or documentation produced in response to such notice is incomplete, or that its directions will not be complied with or that any relevant documents would be removed, tampered with or destroyed.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If it appears to the BMA that the business of the registered insurer is being conducted in a way that there is a significant risk of the insurer becoming insolvent or being unable to meet its obligations to policyholders, or that the insurer is in breach of the Insurance Act or any conditions imposed upon its registration, or the minimum criteria stipulated in the Insurance Act is not or has not been fulfilled in respect of a registered insurer, or that a person has become a controller without providing the BMA with the appropriate notice or in contravention of a notice of objection, or the registered insurer is in breach of its ECR, or that a designated insurer is in breach of any provision of the Insurance Act or the regulations or rules applicable to it, the BMA may issue such directions as it deems desirable for safeguarding the interests of policyholders or potential policyholders of the insurer or the insurance group. The BMA may, among other things, direct an insurer, for itself and in its capacity as designated insurer of the insurance group of which it is a member, (i) not to take on any new insurance business, (ii) not to vary any insurance contract if the effect would be to increase the insurer’s liabilities, (iii) not to make certain investments,</w:t>
      </w:r>
    </w:p>
    <w:p>
      <w:pPr>
        <w:spacing w:after="0" w:line="1" w:lineRule="exact"/>
        <w:rPr>
          <w:sz w:val="20"/>
          <w:szCs w:val="20"/>
          <w:color w:val="auto"/>
        </w:rPr>
      </w:pPr>
    </w:p>
    <w:p>
      <w:pPr>
        <w:ind w:right="220" w:firstLine="8"/>
        <w:spacing w:after="0" w:line="253" w:lineRule="auto"/>
        <w:tabs>
          <w:tab w:leader="none" w:pos="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realize certain investments, (v) to maintain in or transfer to the custody of a specified bank, certain assets, (vi) not to declare or pay any dividends or other distributions or to restrict the making of such payments, (vii) to limit its premium income, (viii) not to enter into specified transactions with any specified person or persons of a specified class, (ix) to provide such written particulars relating to the financial circumstances of the insurer as the BMA thinks fit, (x) as an individual insurer only, and not in its capacity as designated insurer, to obtain the opinion of a loss reserve specialist and submit it to the BMA, and/or (xi) to remove a controller or officer.</w:t>
      </w:r>
    </w:p>
    <w:p>
      <w:pPr>
        <w:spacing w:after="0" w:line="8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BMA has the power to assist other regulatory authorities, including foreign insurance regulatory authorities, with their investigations involving insurance and reinsurance companies in Bermuda if it is satisfied that the assistance being requested is in connection with the discharge of regulatory responsibilities and that such cooperation is in the public interest. The grounds for disclosure by the BMA to a foreign regulatory authority without consent of the insurer are limited and the Insurance Act provides for sanctions for breach of the statutory duty of confidentiality.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Insurer’s Registration</w:t>
      </w:r>
    </w:p>
    <w:p>
      <w:pPr>
        <w:spacing w:after="0" w:line="11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An insurer’s registration may be cancelled by the BMA at the request of the insurer or on certain grounds specified in the Insurance Act. Failure by the insurer to comply with its obligations under the Insurance Act, or if the BMA believes that the insurer has not been carrying on business in accordance with sound insurance principles, would be examples of such grounds.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Bermuda Law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Bermuda Law Considerations</w:t>
      </w:r>
    </w:p>
    <w:p>
      <w:pPr>
        <w:spacing w:after="0" w:line="11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Although James River Group Holdings, Ltd. is incorporated in Bermuda, it is designated as a non-resident for Bermuda exchange control purposes by the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spacing w:after="0" w:line="7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spacing w:after="0" w:line="6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Each of James River Group Holdings, Ltd., Carolina Re and JRG Re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 Generally, it is not permitted without a special license granted by the Minister of Finance to insure Bermuda domestic risks or risks of persons of, in or based in Bermuda. Each of Carolina Re and JRG Re is a licensed insurer in Bermuda, and so it may carry on activities from Bermuda that are related to and in support of its insurance business.</w:t>
      </w:r>
    </w:p>
    <w:p>
      <w:pPr>
        <w:spacing w:after="0" w:line="72" w:lineRule="exact"/>
        <w:rPr>
          <w:sz w:val="20"/>
          <w:szCs w:val="20"/>
          <w:color w:val="auto"/>
        </w:rPr>
      </w:pPr>
    </w:p>
    <w:p>
      <w:pPr>
        <w:ind w:right="180" w:firstLine="351"/>
        <w:spacing w:after="0" w:line="277" w:lineRule="auto"/>
        <w:rPr>
          <w:sz w:val="20"/>
          <w:szCs w:val="20"/>
          <w:color w:val="auto"/>
        </w:rPr>
      </w:pPr>
      <w:r>
        <w:rPr>
          <w:rFonts w:ascii="Arial" w:cs="Arial" w:eastAsia="Arial" w:hAnsi="Arial"/>
          <w:sz w:val="18"/>
          <w:szCs w:val="18"/>
          <w:color w:val="auto"/>
        </w:rPr>
        <w:t>Each of James River Group Holdings, Ltd., Carolina Re and JRG Re must comply with the provisions of the Companies Act regulating the payment of dividends and making distributions from contributed surplus. A company may not declare or pay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 In addition, certain provisions of the Insurance Act will limit our ability to pay dividends.</w:t>
      </w:r>
    </w:p>
    <w:p>
      <w:pPr>
        <w:spacing w:after="0" w:line="7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w:t>
      </w:r>
    </w:p>
    <w:p>
      <w:pPr>
        <w:spacing w:after="0" w:line="2" w:lineRule="exact"/>
        <w:rPr>
          <w:sz w:val="20"/>
          <w:szCs w:val="20"/>
          <w:color w:val="auto"/>
        </w:rPr>
      </w:pPr>
    </w:p>
    <w:p>
      <w:pPr>
        <w:jc w:val="both"/>
        <w:ind w:firstLine="8"/>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 See “- Restrictions on Dividends and Distributions”.</w:t>
      </w:r>
    </w:p>
    <w:p>
      <w:pPr>
        <w:spacing w:after="0" w:line="8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spacing w:after="0" w:line="5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Substance</w:t>
      </w:r>
    </w:p>
    <w:p>
      <w:pPr>
        <w:spacing w:after="0" w:line="11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 xml:space="preserve">In December 2018, the Economic Substance Act 2018 (together with regulations promulgated thereunder, the "ESA") came into effect in Bermuda. Under the ESA, each entity resident in Bermuda that carries on a "relevant activity" is required to comply with the economic substance requirements under the ESA, unless resident for tax purposes in a jurisdiction outside Bermuda that is not on the EU list of non-cooperative jurisdictions for tax purposes. Relevant activities include, </w:t>
      </w:r>
      <w:r>
        <w:rPr>
          <w:rFonts w:ascii="Arial" w:cs="Arial" w:eastAsia="Arial" w:hAnsi="Arial"/>
          <w:sz w:val="17"/>
          <w:szCs w:val="17"/>
          <w:i w:val="1"/>
          <w:iCs w:val="1"/>
          <w:color w:val="auto"/>
        </w:rPr>
        <w:t>inter alia</w:t>
      </w:r>
      <w:r>
        <w:rPr>
          <w:rFonts w:ascii="Arial" w:cs="Arial" w:eastAsia="Arial" w:hAnsi="Arial"/>
          <w:sz w:val="17"/>
          <w:szCs w:val="17"/>
          <w:color w:val="auto"/>
        </w:rPr>
        <w:t>, insurance and holding entity activities, as each is defined in the ESA.</w:t>
      </w:r>
    </w:p>
    <w:p>
      <w:pPr>
        <w:spacing w:after="0" w:line="6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Compliance requires that the entity is managed and directed in Bermuda, core income generating activities (which in relation to insurance includes predicting and calculating risk, insuring or re-insuring against risk, providing client services and preparing regulatory reports)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relation to carrying on the relevant activity of insurance, compliance with the ESA also requires compliance with requirements in the Companies Act relating to corporate governance and the requirements of the Insurance Act and other instruments (including the code of conduct) made thereunder. The "Economic Substance Requirements for Bermuda Guidance Notes: General Principles" issued on December 24, 2019 provide that entities licensed under the Insurance Act are generally considered to operate in Bermuda with adequate substance, and the Registrar will have regard to such entity's compliance with the Insurance Act and the Companies Act in his assessment of compliance with economic substance requirements. However, insurers are still required to complete and file a declaration form, and the Registrar will also have regard to the information provided in the declaration form in making his assessment of compliance with economic substance requirements.</w:t>
      </w:r>
    </w:p>
    <w:p>
      <w:pPr>
        <w:spacing w:after="0" w:line="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Holding entities are subject to minimum economic substance requirements comprising (in the case of an exempted company), compliance with the corporate governance requirements set forth in the Companies Act and the filing of a declaration form. The ESA also requires such a holding entity to have adequate people for holding and managing equity participations and have adequate premises in Bermuda.</w:t>
      </w:r>
    </w:p>
    <w:p>
      <w:pPr>
        <w:spacing w:after="0" w:line="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entity that must satisfy economic substance requirements but fails to do so could face automatic disclosure to competent authorities in the EU of the information filed by the entity with the Bermuda Registrar of Companies in connection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the economic substance requirements and may also face financial penalties, restriction or regulation of its business activities and/or may be struck off as a registered entity in Bermuda.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Work Permit Considerations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Under Bermuda law, non-Bermudians (other than spouses of Bermudians and individuals holding permanent resident’s certificates) may not engage in any gainful occupation in Bermuda without an appropriate government work permit.</w:t>
      </w:r>
    </w:p>
    <w:p>
      <w:pPr>
        <w:spacing w:after="0" w:line="6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Standard work permits can be obtained for a one-, two-, three-, four- or five-year period. Where a standard work permit is being applied for, it is a requirement that the job must be advertised for three days (within an eight-day period) in the local newspaper in addition to the Bermuda Government Job Board. Should no Bermudian (or spouse of a Bermudian or holder of a permanent resident’s certificate) meet the minimum standards as stipulated in the advertisements, the employer may then apply for a standard work permit for the non-Bermudian. Employers must complete a Recruitment Disclosure Form, within the Standard Work Permit Application Form, and provide a summary of all applicants, including their qualifications.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spacing w:after="0" w:line="8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position for which the standard work permit is being applied is that of a Chief Executive Officer or other chief officer post, the Minister of National Security allows an automatic waiver from the requirement to advertise the job and on occasion may waive the requirement to advertise for other senior executive positions.</w:t>
      </w:r>
    </w:p>
    <w:p>
      <w:pPr>
        <w:spacing w:after="0" w:line="73"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If an employer wishes to change an employee’s job title, provided that the job description, duties, remuneration and benefits remain unchanged, the employer does not need to advertise or obtain the permission of the Minister of National Security to do this, but it must inform the Department of Immigration and pay the necessary fee after the change has occurred.</w:t>
      </w:r>
    </w:p>
    <w:p>
      <w:pPr>
        <w:spacing w:after="0" w:line="7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an employer wishes to promote an employee currently on a work permit from his current job to another within the same business, the permission of the Minister of National Security must first be obtained. The employer will need to provide evidence of internal recruitment efforts and consideration of internal Bermudian/spouse of Bermudian candidates.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temporary work permit can take up to 10 working days to process and a standard work permit can take up to four weeks to process.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Insurance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w:t>
      </w:r>
    </w:p>
    <w:p>
      <w:pPr>
        <w:spacing w:after="0" w:line="11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spacing w:after="0" w:line="8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and Falls Lake National Insurance Company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Company, this limitation is the greater of statutory net income excluding realized capital gains of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Moreover, as a condition to obtaining its license in California, Falls Lake Fire and Casualty Company provided a commitment to the California Department of Insurance that it would not pay any shareholder dividends for a five-year period commencing January 1, 2016. In addition, insurance regulators have broad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powers to prevent reduction of statutory surplus to inadequate levels and could refuse to permit the payment of dividends calculated under any applicable formula.</w:t>
      </w:r>
    </w:p>
    <w:p>
      <w:pPr>
        <w:spacing w:after="0" w:line="62" w:lineRule="exact"/>
        <w:rPr>
          <w:sz w:val="20"/>
          <w:szCs w:val="20"/>
          <w:color w:val="auto"/>
        </w:rPr>
      </w:pPr>
    </w:p>
    <w:p>
      <w:pPr>
        <w:ind w:right="260" w:firstLine="351"/>
        <w:spacing w:after="0" w:line="264" w:lineRule="auto"/>
        <w:rPr>
          <w:sz w:val="20"/>
          <w:szCs w:val="20"/>
          <w:color w:val="auto"/>
        </w:rPr>
      </w:pPr>
      <w:r>
        <w:rPr>
          <w:rFonts w:ascii="Arial" w:cs="Arial" w:eastAsia="Arial" w:hAnsi="Arial"/>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73"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spacing w:after="0" w:line="73" w:lineRule="exact"/>
        <w:rPr>
          <w:sz w:val="20"/>
          <w:szCs w:val="20"/>
          <w:color w:val="auto"/>
        </w:rPr>
      </w:pPr>
    </w:p>
    <w:p>
      <w:pPr>
        <w:ind w:right="280" w:firstLine="351"/>
        <w:spacing w:after="0" w:line="279" w:lineRule="auto"/>
        <w:rPr>
          <w:sz w:val="20"/>
          <w:szCs w:val="20"/>
          <w:color w:val="auto"/>
        </w:rPr>
      </w:pPr>
      <w:r>
        <w:rPr>
          <w:rFonts w:ascii="Arial" w:cs="Arial" w:eastAsia="Arial" w:hAnsi="Arial"/>
          <w:sz w:val="17"/>
          <w:szCs w:val="17"/>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63"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In addition, in 2012, the NAIC adopted the Risk Management and Own Risk and Solvency Assessment Model Act (the “ORSA Model Act”). The ORSA Model Act, when adopted by the various states, will require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70"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In addition to insurance holding company laws and regulations, under the organizational permit issued by the California Department of Insurance to Falls Lake Fire and Casualty Company, Falls Lake Fire and Casualty Company, as a new insurer, was required to enter into an agreement with Falls Lake National restricting the transfer of Falls Lake Fire and Casualty Company’s shares (the “Agreement Restricting Shares”) for a five-year period commencing January 1, 2016. Specifically, under the agreement, the restriction on share transfer is released automatically without further approval or consent by the California Department of Insurance, or any other party, at the following respective times: 5% at the end of the first year of the 5-year restriction period; an additional 5% at the end of the second year; an additional 10% at the end of the third year; an additional 20% at the end of the fourth year; and the remainder at the end of the fifth year. Therefore, under the organizational permit and the Agreement Restricting Shares, Falls Lake National’s ability to directly or indirectly transfer the shares of Falls Lake Fire and Casualty Company to anyone without the prior written approval of the California Department of Insurance is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limited. These laws and the similar conditions applicable to Falls Lake Fire and Casualty Company’s shares may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spacing w:after="0" w:line="64" w:lineRule="exact"/>
        <w:rPr>
          <w:sz w:val="20"/>
          <w:szCs w:val="20"/>
          <w:color w:val="auto"/>
        </w:rPr>
      </w:pPr>
    </w:p>
    <w:p>
      <w:pPr>
        <w:ind w:right="20" w:firstLine="351"/>
        <w:spacing w:after="0" w:line="302" w:lineRule="auto"/>
        <w:rPr>
          <w:sz w:val="20"/>
          <w:szCs w:val="20"/>
          <w:color w:val="auto"/>
        </w:rPr>
      </w:pPr>
      <w:r>
        <w:rPr>
          <w:rFonts w:ascii="Arial" w:cs="Arial" w:eastAsia="Arial" w:hAnsi="Arial"/>
          <w:sz w:val="16"/>
          <w:szCs w:val="16"/>
          <w:color w:val="auto"/>
        </w:rPr>
        <w:t>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4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2019, the Company’s U.S.-based insurance subsidiaries had total adjusted statutory capital of $266.7 million, which is in excess of the minimum risk-based capital requirement.</w:t>
      </w:r>
    </w:p>
    <w:p>
      <w:pPr>
        <w:spacing w:after="0" w:line="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Michigan, Mississippi, New Hampshire, New York, Ohio and South Carolina. We continue to monitor whether the other states in which we conduct business adopt the NAIC’s Insurance Data Security Model Law.</w:t>
      </w:r>
    </w:p>
    <w:p>
      <w:pPr>
        <w:spacing w:after="0" w:line="58" w:lineRule="exact"/>
        <w:rPr>
          <w:sz w:val="20"/>
          <w:szCs w:val="20"/>
          <w:color w:val="auto"/>
        </w:rPr>
      </w:pPr>
    </w:p>
    <w:p>
      <w:pPr>
        <w:ind w:right="340" w:firstLine="351"/>
        <w:spacing w:after="0" w:line="302" w:lineRule="auto"/>
        <w:rPr>
          <w:sz w:val="20"/>
          <w:szCs w:val="20"/>
          <w:color w:val="auto"/>
        </w:rPr>
      </w:pPr>
      <w:r>
        <w:rPr>
          <w:rFonts w:ascii="Arial" w:cs="Arial" w:eastAsia="Arial" w:hAnsi="Arial"/>
          <w:sz w:val="16"/>
          <w:szCs w:val="16"/>
          <w:color w:val="auto"/>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17" w:lineRule="exact"/>
        <w:rPr>
          <w:sz w:val="20"/>
          <w:szCs w:val="20"/>
          <w:color w:val="auto"/>
        </w:rPr>
      </w:pPr>
    </w:p>
    <w:p>
      <w:pPr>
        <w:ind w:right="100" w:firstLine="351"/>
        <w:spacing w:after="0" w:line="269" w:lineRule="auto"/>
        <w:rPr>
          <w:sz w:val="20"/>
          <w:szCs w:val="20"/>
          <w:color w:val="auto"/>
        </w:rPr>
      </w:pPr>
      <w:r>
        <w:rPr>
          <w:rFonts w:ascii="Arial" w:cs="Arial" w:eastAsia="Arial" w:hAnsi="Arial"/>
          <w:sz w:val="17"/>
          <w:szCs w:val="17"/>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state licensing and reinsurance for natural catastrophes. Changes to federal legislation and administrative policies in several areas, including changes in federal taxation, can also significantly impact the insurance industry and us.</w:t>
      </w:r>
    </w:p>
    <w:p>
      <w:pPr>
        <w:spacing w:after="0" w:line="62"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64" w:lineRule="exact"/>
        <w:rPr>
          <w:sz w:val="20"/>
          <w:szCs w:val="20"/>
          <w:color w:val="auto"/>
        </w:rPr>
      </w:pPr>
    </w:p>
    <w:p>
      <w:pPr>
        <w:ind w:right="80" w:firstLine="351"/>
        <w:spacing w:after="0" w:line="302" w:lineRule="auto"/>
        <w:rPr>
          <w:sz w:val="20"/>
          <w:szCs w:val="20"/>
          <w:color w:val="auto"/>
        </w:rPr>
      </w:pPr>
      <w:r>
        <w:rPr>
          <w:rFonts w:ascii="Arial" w:cs="Arial" w:eastAsia="Arial" w:hAnsi="Arial"/>
          <w:sz w:val="16"/>
          <w:szCs w:val="16"/>
          <w:color w:val="auto"/>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For each of the years ended December 31, 2019, 2018 and 2017, 100% of our gross written premiums and net earned premiums were generated from policies issued to U.S.-based insureds.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As of December 31, 2019, we had 800 employees located in the United States and Bermuda. All of our employees are full time. Our employees are not subject to any collective bargaining agreement and we are not aware of any current efforts to implement such an agreement. We believe we have good working relations with our employees.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181"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40" w:firstLine="351"/>
        <w:spacing w:after="0" w:line="239" w:lineRule="auto"/>
        <w:rPr>
          <w:sz w:val="20"/>
          <w:szCs w:val="20"/>
          <w:color w:val="auto"/>
        </w:rPr>
      </w:pPr>
      <w:r>
        <w:rPr>
          <w:rFonts w:ascii="Arial" w:cs="Arial" w:eastAsia="Arial" w:hAnsi="Arial"/>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http://www.jrgh.net, as soon as reasonably practicable after they are filed electronically with the SEC. Copies are also available, without charge, by writing to us at James River Group Holdings, Ltd., Wellesley House,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 90 Pitts Bay Road, Pembroke, HM 08, Bermuda. The information on our web site is not a part of this Annual Report.</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6" w:right="25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0" w:firstLine="351"/>
        <w:spacing w:after="0" w:line="257" w:lineRule="auto"/>
        <w:rPr>
          <w:sz w:val="20"/>
          <w:szCs w:val="20"/>
          <w:color w:val="auto"/>
        </w:rPr>
      </w:pPr>
      <w:r>
        <w:rPr>
          <w:rFonts w:ascii="Arial" w:cs="Arial" w:eastAsia="Arial" w:hAnsi="Arial"/>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59" w:lineRule="exact"/>
        <w:rPr>
          <w:sz w:val="20"/>
          <w:szCs w:val="20"/>
          <w:color w:val="auto"/>
        </w:rPr>
      </w:pPr>
    </w:p>
    <w:p>
      <w:pPr>
        <w:ind w:right="180" w:firstLine="351"/>
        <w:spacing w:after="0" w:line="257" w:lineRule="auto"/>
        <w:rPr>
          <w:sz w:val="20"/>
          <w:szCs w:val="20"/>
          <w:color w:val="auto"/>
        </w:rPr>
      </w:pPr>
      <w:r>
        <w:rPr>
          <w:rFonts w:ascii="Arial" w:cs="Arial" w:eastAsia="Arial" w:hAnsi="Arial"/>
          <w:sz w:val="18"/>
          <w:szCs w:val="18"/>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in 2019, we experienced $69.0 million of adverse development on reserves for losses and loss adjustment expenses principally relating to the 2016 and 2017 accident years for the commercial auto business in our Excess and Surplus Lines segment.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uncertainties we encounter in establishing our reserves for losses and related expenses in connection with our insurance businesses include:</w:t>
      </w:r>
    </w:p>
    <w:p>
      <w:pPr>
        <w:spacing w:after="0" w:line="156" w:lineRule="exact"/>
        <w:rPr>
          <w:sz w:val="20"/>
          <w:szCs w:val="20"/>
          <w:color w:val="auto"/>
        </w:rPr>
      </w:pPr>
    </w:p>
    <w:p>
      <w:pPr>
        <w:ind w:left="660" w:right="60" w:hanging="328"/>
        <w:spacing w:after="0" w:line="31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2019.</w:t>
      </w:r>
    </w:p>
    <w:p>
      <w:pPr>
        <w:spacing w:after="0" w:line="75" w:lineRule="exact"/>
        <w:rPr>
          <w:rFonts w:ascii="Arial" w:cs="Arial" w:eastAsia="Arial" w:hAnsi="Arial"/>
          <w:sz w:val="18"/>
          <w:szCs w:val="18"/>
          <w:color w:val="auto"/>
        </w:rPr>
      </w:pPr>
    </w:p>
    <w:p>
      <w:pPr>
        <w:ind w:left="660" w:right="200" w:hanging="328"/>
        <w:spacing w:after="0" w:line="31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68" w:lineRule="exact"/>
        <w:rPr>
          <w:rFonts w:ascii="Arial" w:cs="Arial" w:eastAsia="Arial" w:hAnsi="Arial"/>
          <w:sz w:val="18"/>
          <w:szCs w:val="18"/>
          <w:color w:val="auto"/>
        </w:rPr>
      </w:pPr>
    </w:p>
    <w:p>
      <w:pPr>
        <w:ind w:left="660" w:right="200" w:hanging="328"/>
        <w:spacing w:after="0" w:line="34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“The effect of emerging claim and coverage issues on our business is uncertain” risk factor herein.</w:t>
      </w:r>
    </w:p>
    <w:p>
      <w:pPr>
        <w:spacing w:after="0" w:line="48" w:lineRule="exact"/>
        <w:rPr>
          <w:rFonts w:ascii="Arial" w:cs="Arial" w:eastAsia="Arial" w:hAnsi="Arial"/>
          <w:sz w:val="18"/>
          <w:szCs w:val="18"/>
          <w:color w:val="auto"/>
        </w:rPr>
      </w:pPr>
    </w:p>
    <w:p>
      <w:pPr>
        <w:ind w:left="660" w:right="220" w:hanging="328"/>
        <w:spacing w:after="0" w:line="374"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25" w:lineRule="exact"/>
        <w:rPr>
          <w:rFonts w:ascii="Arial" w:cs="Arial" w:eastAsia="Arial" w:hAnsi="Arial"/>
          <w:sz w:val="17"/>
          <w:szCs w:val="17"/>
          <w:color w:val="auto"/>
        </w:rPr>
      </w:pPr>
    </w:p>
    <w:p>
      <w:pPr>
        <w:ind w:left="660" w:right="160" w:hanging="328"/>
        <w:spacing w:after="0" w:line="31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8" w:lineRule="exact"/>
        <w:rPr>
          <w:rFonts w:ascii="Arial" w:cs="Arial" w:eastAsia="Arial" w:hAnsi="Arial"/>
          <w:sz w:val="18"/>
          <w:szCs w:val="18"/>
          <w:color w:val="auto"/>
        </w:rPr>
      </w:pPr>
    </w:p>
    <w:p>
      <w:pPr>
        <w:ind w:left="660" w:right="200" w:hanging="328"/>
        <w:spacing w:after="0" w:line="39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regularly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increased lapse of time from the occurrence of an event to the reporting of the claim and the ultimate resolution or settlement of the claim.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31" w:lineRule="exact"/>
        <w:rPr>
          <w:sz w:val="20"/>
          <w:szCs w:val="20"/>
          <w:color w:val="auto"/>
        </w:rPr>
      </w:pPr>
    </w:p>
    <w:p>
      <w:pPr>
        <w:ind w:right="20" w:firstLine="351"/>
        <w:spacing w:after="0" w:line="279"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is based on estimates and judgments that are subject to significant uncertainties.</w:t>
      </w:r>
    </w:p>
    <w:p>
      <w:pPr>
        <w:spacing w:after="0" w:line="117" w:lineRule="exact"/>
        <w:rPr>
          <w:sz w:val="20"/>
          <w:szCs w:val="20"/>
          <w:color w:val="auto"/>
        </w:rPr>
      </w:pPr>
    </w:p>
    <w:p>
      <w:pPr>
        <w:ind w:right="120" w:firstLine="351"/>
        <w:spacing w:after="0" w:line="279" w:lineRule="auto"/>
        <w:rPr>
          <w:sz w:val="20"/>
          <w:szCs w:val="20"/>
          <w:color w:val="auto"/>
        </w:rPr>
      </w:pPr>
      <w:r>
        <w:rPr>
          <w:rFonts w:ascii="Arial" w:cs="Arial" w:eastAsia="Arial" w:hAnsi="Arial"/>
          <w:sz w:val="17"/>
          <w:szCs w:val="17"/>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63"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future losses that could have a material adverse effect on our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retain key management and employees or recruit other qualified personnel, we may be materially adversely affected.</w:t>
      </w:r>
    </w:p>
    <w:p>
      <w:pPr>
        <w:spacing w:after="0" w:line="12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We believe that our future success depends, in large part, on our ability to retain our experienced management team and key employees.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arrangements to our key management or employees to incentivize them to leave our Company. Furthermore, our competitors may make it more difficult for us to hire their personnel by offering excessive compensation arrangements to certain employees to induce them not to leave their current employment and bringing litigation against employees who do leave (and possibly us as well) to join us. Although we have employment agreements with all of our executive officers, we do not have employment agreements with our senior underwriters or claims personnel. We do not have key person insurance on the lives of any of our key management personnel. Our inability to attract and retain qualified personnel and the loss of services of key personnel could have a material adverse effect on our financial condition and results of operations.</w:t>
      </w:r>
    </w:p>
    <w:p>
      <w:pPr>
        <w:spacing w:after="0" w:line="5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7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Factors such as business revenue, economic conditions, the volatility and strength of the capital markets and inflation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These outcomes would reduce our underwriting profit to the extent these factors are not reflected in the rates we charge.</w:t>
      </w:r>
    </w:p>
    <w:p>
      <w:pPr>
        <w:spacing w:after="0" w:line="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underwrite a significant portion of our insurance in (i) the Excess and Surplus Lines segment in California, New York, Florida, Texas, and Massachusetts, (ii) the individual risk workers’ compensation business of the Specialty Admitted Insurance segment in North Carolina, Georgia, Virginia and South Carolina, and (iii) the fronting and program business of the Specialty Admitted Insurance segment in California, Michigan, North Carolina, New York, Pennsylvania, Georgia and New Jersey. 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economic downturn in any such state, or other states where we conduct business, could have a material adverse effect on our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our financial strength rating may result in a reduction of new or renewal business.</w:t>
      </w:r>
    </w:p>
    <w:p>
      <w:pPr>
        <w:spacing w:after="0" w:line="11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Companies, insurers and reinsurance brokers use ratings from independent ratings agencies as an important means of assessing the financial strength and quality of reinsurers. A.M. Best has assigned a financial strength rating of “A” (Excellent), which is the third highest of 13 ratings that A.M. Best issues, to each of James River Insurance, James River Casualty, Falls Lake Fire and Casualty, Falls Lake National, Stonewood Insurance and JRG Re.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10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change our business practices from our organizational business plan in a manner that no longer supports our A.M. Best’s rating;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unfavorable financial, regulatory or market trends affect us, including excess market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losses exceed our loss reserves;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have unresolved issues with government regulators;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retain our senior management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investment portfolio incurs significant losses;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A.M. Best alters its capital adequacy assessment methodology in a manner that would adversely affect our rating.</w:t>
      </w:r>
    </w:p>
    <w:p>
      <w:pPr>
        <w:spacing w:after="0" w:line="131" w:lineRule="exact"/>
        <w:rPr>
          <w:sz w:val="20"/>
          <w:szCs w:val="20"/>
          <w:color w:val="auto"/>
        </w:rPr>
      </w:pPr>
    </w:p>
    <w:p>
      <w:pPr>
        <w:ind w:firstLine="351"/>
        <w:spacing w:after="0" w:line="312" w:lineRule="auto"/>
        <w:rPr>
          <w:sz w:val="20"/>
          <w:szCs w:val="20"/>
          <w:color w:val="auto"/>
        </w:rPr>
      </w:pPr>
      <w:r>
        <w:rPr>
          <w:rFonts w:ascii="Arial" w:cs="Arial" w:eastAsia="Arial" w:hAnsi="Arial"/>
          <w:sz w:val="16"/>
          <w:szCs w:val="16"/>
          <w:color w:val="auto"/>
        </w:rPr>
        <w:t>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increase collateral required for our assumed reinsurance business, or trigger termination of assumed and/or ceded reinsurance contracts.</w:t>
      </w:r>
    </w:p>
    <w:p>
      <w:pPr>
        <w:spacing w:after="0" w:line="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addition, in view of the earnings and capital pressures recently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or reinsurance contracts. See also “Management’s Discussion and Analysis of Financial Condition and Results of Operations—Ratings.”</w:t>
      </w:r>
    </w:p>
    <w:p>
      <w:pPr>
        <w:spacing w:after="0" w:line="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distribute products through a select group of brokers and agents, several of which account for a significant portion of our business, and there can be no assurance that such relationships will continue, or if they do continue, that the relationship will be on favorable terms to us. In addition, reliance on brokers and agents subjects us to their credit risk.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distribute our products through a select group of brokers and agents. In 2019:</w:t>
      </w:r>
    </w:p>
    <w:p>
      <w:pPr>
        <w:spacing w:after="0" w:line="117" w:lineRule="exact"/>
        <w:rPr>
          <w:sz w:val="20"/>
          <w:szCs w:val="20"/>
          <w:color w:val="auto"/>
        </w:rPr>
      </w:pPr>
    </w:p>
    <w:p>
      <w:pPr>
        <w:ind w:left="660" w:right="7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Excess and Surplus Lines segment conducted business with three brokers that produced an aggregate of $686.4 million in gross written premiums, or 74.4% of that segment’s gross written premiums for the year;</w:t>
      </w:r>
    </w:p>
    <w:p>
      <w:pPr>
        <w:spacing w:after="0" w:line="62"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Specialty Admitted Insurance segment conducted business with two agencies that produced $199.6 million in gross written premiums, representing 51.5% of that segment’s gross written premiums for the year; and</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Casualty Reinsurance segment conducted business with four brokers that generated $158.0 million of gross written premiums, or 98.3% of that segment’s gross written premiums for the year.</w:t>
      </w:r>
    </w:p>
    <w:p>
      <w:pPr>
        <w:spacing w:after="0" w:line="62" w:lineRule="exact"/>
        <w:rPr>
          <w:sz w:val="20"/>
          <w:szCs w:val="20"/>
          <w:color w:val="auto"/>
        </w:rPr>
      </w:pPr>
    </w:p>
    <w:p>
      <w:pPr>
        <w:jc w:val="both"/>
        <w:ind w:right="80" w:firstLine="351"/>
        <w:spacing w:after="0" w:line="264" w:lineRule="auto"/>
        <w:rPr>
          <w:sz w:val="20"/>
          <w:szCs w:val="20"/>
          <w:color w:val="auto"/>
        </w:rPr>
      </w:pPr>
      <w:r>
        <w:rPr>
          <w:rFonts w:ascii="Arial" w:cs="Arial" w:eastAsia="Arial" w:hAnsi="Arial"/>
          <w:sz w:val="18"/>
          <w:szCs w:val="18"/>
          <w:color w:val="auto"/>
        </w:rPr>
        <w:t>We cannot assure you that the relationship with any of these brokers will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6" w:right="25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360" w:firstLine="351"/>
        <w:spacing w:after="0" w:line="342" w:lineRule="auto"/>
        <w:rPr>
          <w:sz w:val="20"/>
          <w:szCs w:val="20"/>
          <w:color w:val="auto"/>
        </w:rPr>
      </w:pPr>
      <w:r>
        <w:rPr>
          <w:rFonts w:ascii="Arial" w:cs="Arial" w:eastAsia="Arial" w:hAnsi="Arial"/>
          <w:sz w:val="16"/>
          <w:szCs w:val="16"/>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1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Certain premiums from policyholders, where the business is produced by brokers or agents, are collected directly by the brokers or agents and forwarded to our insurance subsidiaries. In certain jurisdictions, when the insured pays its policy premium to brokers or agents for payment on behalf of our insurance subsidiaries, the premiums might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spacing w:after="0" w:line="84" w:lineRule="exact"/>
        <w:rPr>
          <w:sz w:val="20"/>
          <w:szCs w:val="20"/>
          <w:color w:val="auto"/>
        </w:rPr>
      </w:pPr>
    </w:p>
    <w:p>
      <w:pPr>
        <w:ind w:right="160" w:firstLine="351"/>
        <w:spacing w:after="0" w:line="312" w:lineRule="auto"/>
        <w:rPr>
          <w:sz w:val="20"/>
          <w:szCs w:val="20"/>
          <w:color w:val="auto"/>
        </w:rPr>
      </w:pPr>
      <w:r>
        <w:rPr>
          <w:rFonts w:ascii="Arial" w:cs="Arial" w:eastAsia="Arial" w:hAnsi="Arial"/>
          <w:sz w:val="16"/>
          <w:szCs w:val="16"/>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a select group of customers for a significant portion of our business, and the loss or termination of our relationship with any of these customers, or a material reduction in business with any of these customers, could materially adversely affect our rate of growth, results of operations and financial condition.</w:t>
      </w:r>
    </w:p>
    <w:p>
      <w:pPr>
        <w:spacing w:after="0" w:line="73" w:lineRule="exact"/>
        <w:rPr>
          <w:sz w:val="20"/>
          <w:szCs w:val="20"/>
          <w:color w:val="auto"/>
        </w:rPr>
      </w:pPr>
    </w:p>
    <w:p>
      <w:pPr>
        <w:ind w:right="180" w:firstLine="351"/>
        <w:spacing w:after="0" w:line="264" w:lineRule="auto"/>
        <w:rPr>
          <w:sz w:val="20"/>
          <w:szCs w:val="20"/>
          <w:color w:val="auto"/>
        </w:rPr>
      </w:pPr>
      <w:r>
        <w:rPr>
          <w:rFonts w:ascii="Arial" w:cs="Arial" w:eastAsia="Arial" w:hAnsi="Arial"/>
          <w:sz w:val="18"/>
          <w:szCs w:val="18"/>
          <w:color w:val="auto"/>
        </w:rPr>
        <w:t>Our two largest customers accounted for approximately $374.2 million (Rasier) and $146.5 million (Atlas General Insurance Services) of our gross written premium in 2019, representing 25.4% and 10.0% of our gross written premiums in 2019, respectively. No other insured generated 10.0% or more of consolidated gross written premiums for 2019.</w:t>
      </w:r>
    </w:p>
    <w:p>
      <w:pPr>
        <w:spacing w:after="0" w:line="73"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On October 8, 2019, we delivered a notice of early cancellation, effective December 31, 2019, of all insurance policies issued to Rasier. The termination of our business with Rasier, or the loss of any other significant customers, or a significant reduction in the amount of business that we conduct with any of our significant customers, could have a material adverse effect on our results of operations.</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subject to credit risk with regard to our reinsurance counterparties, insurance companies with which we have a fronting arrangement and an indemnification arrangement we have with an insured group of companies.</w:t>
      </w:r>
    </w:p>
    <w:p>
      <w:pPr>
        <w:spacing w:after="0" w:line="6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Although reinsurance makes the assuming reinsurer liable to us to the extent of the risk ceded, we are not relieved of our primary liability to our insureds as the direct insurer. At December 31, 2019, reinsurance recoverables on unpaid losses from our three largest reinsurers was $308.9 million in the aggregate and represented 46.3% of the total balance. Additionally, prepaid reinsurance premiums ceded to three reinsurers at December 31, 2019 was $74.0 million in the aggregate, or 41.3% of the total balance of prepaid reinsurance premiums. At December 31, 2019, all of our material reinsurance recoverable amounts are from companies with A.M. Best ratings of “A-" (Excellent) or better, are collateralized by the reinsurer, or represent recoverables from a state residual market for automobile insurance, but we cannot be sure that our reinsurers will pay all reinsurance claims on a timely basis or at all. For example, reinsurers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to pay us does not lessen our contractual obligations to insureds. If a reinsurer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spacing w:after="0" w:line="65" w:lineRule="exact"/>
        <w:rPr>
          <w:sz w:val="20"/>
          <w:szCs w:val="20"/>
          <w:color w:val="auto"/>
        </w:rPr>
      </w:pPr>
    </w:p>
    <w:p>
      <w:pPr>
        <w:ind w:right="120" w:firstLine="351"/>
        <w:spacing w:after="0" w:line="273" w:lineRule="auto"/>
        <w:rPr>
          <w:sz w:val="20"/>
          <w:szCs w:val="20"/>
          <w:color w:val="auto"/>
        </w:rPr>
      </w:pPr>
      <w:r>
        <w:rPr>
          <w:rFonts w:ascii="Arial" w:cs="Arial" w:eastAsia="Arial" w:hAnsi="Arial"/>
          <w:sz w:val="17"/>
          <w:szCs w:val="17"/>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reserve for uncollectible reinsurance. See also “Business—Purchase of Reinsurance.”</w:t>
      </w:r>
    </w:p>
    <w:p>
      <w:pPr>
        <w:spacing w:after="0" w:line="70"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and in situations where we do obtain collateral for the obligations of the other insurance entity, it is possible that the collateral could be insufficient to cover all claims, either as a result of a decline in the value of the collateral, an increase in the obligations being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6" w:right="25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collateralized, or a failure of management to monitor the adequacy of the collateral held. In that event, we would be contractually entitled to recovery from the entity for which we are fronting, but it is possible that, for any of a variety of reasons, the other party could default in its obligations. See also “Business — Business Segments—Specialty Admitted Insurance Segment—Fronting &amp; Program Business.”</w:t>
      </w:r>
    </w:p>
    <w:p>
      <w:pPr>
        <w:spacing w:after="0" w:line="73" w:lineRule="exact"/>
        <w:rPr>
          <w:sz w:val="20"/>
          <w:szCs w:val="20"/>
          <w:color w:val="auto"/>
        </w:rPr>
      </w:pPr>
    </w:p>
    <w:p>
      <w:pPr>
        <w:ind w:right="40" w:firstLine="351"/>
        <w:spacing w:after="0" w:line="273" w:lineRule="auto"/>
        <w:rPr>
          <w:sz w:val="20"/>
          <w:szCs w:val="20"/>
          <w:color w:val="auto"/>
        </w:rPr>
      </w:pPr>
      <w:r>
        <w:rPr>
          <w:rFonts w:ascii="Arial" w:cs="Arial" w:eastAsia="Arial" w:hAnsi="Arial"/>
          <w:sz w:val="17"/>
          <w:szCs w:val="17"/>
          <w:color w:val="auto"/>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and may be held in the trust account or withdrawn and held on our balance sheet. If Rasier fails to reimburse us, and the collateral posted for our benefit to support their reimbursement obligations is insufficient, our financial condition and results of operations could be materially adversely affected. See also "Business — Purchase of Reinsurance — Amounts Recoverable from an Indemnifying Party."</w:t>
      </w:r>
    </w:p>
    <w:p>
      <w:pPr>
        <w:spacing w:after="0" w:line="70" w:lineRule="exact"/>
        <w:rPr>
          <w:sz w:val="20"/>
          <w:szCs w:val="20"/>
          <w:color w:val="auto"/>
        </w:rPr>
      </w:pPr>
    </w:p>
    <w:p>
      <w:pPr>
        <w:ind w:right="80" w:firstLine="351"/>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from the trust account the collateral posted and are holding the funds on our balance sheet as restricted cash equivalents pending application in accordance with the trust agreement and the indemnification agreements. In addition, while the funds withdrawn from the trust account are held by us on our balance sheet as restricted cash equivalents, we are including the interest earned on the funds in our investment income on our consolidated statement of income. The cash equivalent collateral had a balance of approximately $1,199.2 million as of December 31, 2019.</w:t>
      </w:r>
    </w:p>
    <w:p>
      <w:pPr>
        <w:spacing w:after="0" w:line="8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Rasier has notified us that it believes the withdrawal of the collateral was improper. We believe that all of our actions have been consistent with the terms of our agreements. However, in the event it were to be ultimately adjudicated that our withdrawal was not proper, or that we are not entitled to retain interest on the collateral, or both, we could be required to return the collateral to the trust account (where it would continue to be held as collateral for our benefit), or we could no longer be able to retain, and could be obligated to return, the investment income on the funds, or we could be required to both return the collateral and return investment income.</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62" w:lineRule="exact"/>
        <w:rPr>
          <w:sz w:val="20"/>
          <w:szCs w:val="20"/>
          <w:color w:val="auto"/>
        </w:rPr>
      </w:pPr>
    </w:p>
    <w:p>
      <w:pPr>
        <w:ind w:right="100" w:firstLine="351"/>
        <w:spacing w:after="0" w:line="312" w:lineRule="auto"/>
        <w:rPr>
          <w:sz w:val="20"/>
          <w:szCs w:val="20"/>
          <w:color w:val="auto"/>
        </w:rPr>
      </w:pPr>
      <w:r>
        <w:rPr>
          <w:rFonts w:ascii="Arial" w:cs="Arial" w:eastAsia="Arial" w:hAnsi="Arial"/>
          <w:sz w:val="16"/>
          <w:szCs w:val="16"/>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39"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73"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62" w:lineRule="exact"/>
        <w:rPr>
          <w:sz w:val="20"/>
          <w:szCs w:val="20"/>
          <w:color w:val="auto"/>
        </w:rPr>
      </w:pPr>
    </w:p>
    <w:p>
      <w:pPr>
        <w:ind w:right="100" w:firstLine="351"/>
        <w:spacing w:after="0" w:line="264" w:lineRule="auto"/>
        <w:rPr>
          <w:sz w:val="20"/>
          <w:szCs w:val="20"/>
          <w:color w:val="auto"/>
        </w:rPr>
      </w:pPr>
      <w:r>
        <w:rPr>
          <w:rFonts w:ascii="Arial" w:cs="Arial" w:eastAsia="Arial" w:hAnsi="Arial"/>
          <w:sz w:val="18"/>
          <w:szCs w:val="18"/>
          <w:color w:val="auto"/>
        </w:rPr>
        <w:t>We have exposure to losses arising from unpredictable natural disasters, terrorist acts, and other catastrophic events. Natural disasters, terrorist acts, and other catastrophes can cause losses in a variety of our property-casualty lines and generally result in an increase in the number of claims filed as well as the amount of compensation sought by claimants.</w:t>
      </w:r>
    </w:p>
    <w:p>
      <w:pPr>
        <w:spacing w:after="0" w:line="7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The incidence and severity of catastrophes and terrorist acts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reduce our earnings and cash flows, cause volatility in our results of operations and cash flows for any fiscal period or materially impact our financial condition.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6" w:right="25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0" w:firstLine="351"/>
        <w:spacing w:after="0" w:line="273" w:lineRule="auto"/>
        <w:rPr>
          <w:sz w:val="20"/>
          <w:szCs w:val="20"/>
          <w:color w:val="auto"/>
        </w:rPr>
      </w:pPr>
      <w:r>
        <w:rPr>
          <w:rFonts w:ascii="Arial" w:cs="Arial" w:eastAsia="Arial" w:hAnsi="Arial"/>
          <w:sz w:val="17"/>
          <w:szCs w:val="17"/>
          <w:color w:val="auto"/>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Changing climate conditions may increase the frequency and severity of catastrophic events and thereby adversely affect our financial condition and results.</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growing scientific consensus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losses from terrorism for which we are required by law to provide coverage regarding such losses.</w:t>
      </w:r>
    </w:p>
    <w:p>
      <w:pPr>
        <w:spacing w:after="0" w:line="117" w:lineRule="exact"/>
        <w:rPr>
          <w:sz w:val="20"/>
          <w:szCs w:val="20"/>
          <w:color w:val="auto"/>
        </w:rPr>
      </w:pPr>
    </w:p>
    <w:p>
      <w:pPr>
        <w:ind w:right="320" w:firstLine="351"/>
        <w:spacing w:after="0" w:line="276" w:lineRule="auto"/>
        <w:rPr>
          <w:sz w:val="20"/>
          <w:szCs w:val="20"/>
          <w:color w:val="auto"/>
        </w:rPr>
      </w:pPr>
      <w:r>
        <w:rPr>
          <w:rFonts w:ascii="Arial" w:cs="Arial" w:eastAsia="Arial" w:hAnsi="Arial"/>
          <w:sz w:val="17"/>
          <w:szCs w:val="17"/>
          <w:color w:val="auto"/>
        </w:rPr>
        <w:t>U.S. insurers are required by state and federal law to offer coverage for terrorism in certain commercial lines, including workers’ compensation. As discussed under “Business—Regulation—U.S. Insurance Regulation—Federal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emerging claim and coverage issues on our business is uncertain.</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or reinsurance contracts that are affected by the changes. As a result, the full extent of liability under our insurance or reinsurance contracts may not be known for many years after a contract is issued.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examples of unanticipated risks that affected the insurance industry are: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Asbestos liability applied to manufacturers of products and contractors who installed those products;</w:t>
      </w:r>
    </w:p>
    <w:p>
      <w:pPr>
        <w:spacing w:after="0" w:line="144" w:lineRule="exact"/>
        <w:rPr>
          <w:rFonts w:ascii="Arial" w:cs="Arial" w:eastAsia="Arial" w:hAnsi="Arial"/>
          <w:sz w:val="18"/>
          <w:szCs w:val="18"/>
          <w:color w:val="auto"/>
        </w:rPr>
      </w:pPr>
    </w:p>
    <w:p>
      <w:pPr>
        <w:ind w:left="660" w:right="20" w:hanging="328"/>
        <w:spacing w:after="0" w:line="34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Apportionment of liability for settlement assigned to subcontractors who may have been involved in mundane tasks (such as installing sheetrock in a home); and</w:t>
      </w:r>
    </w:p>
    <w:p>
      <w:pPr>
        <w:spacing w:after="0" w:line="48" w:lineRule="exact"/>
        <w:rPr>
          <w:rFonts w:ascii="Arial" w:cs="Arial" w:eastAsia="Arial" w:hAnsi="Arial"/>
          <w:sz w:val="18"/>
          <w:szCs w:val="18"/>
          <w:color w:val="auto"/>
        </w:rPr>
      </w:pPr>
    </w:p>
    <w:p>
      <w:pPr>
        <w:ind w:left="660" w:right="100" w:hanging="328"/>
        <w:spacing w:after="0" w:line="34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Court decisions, such as the 1995 </w:t>
      </w:r>
      <w:r>
        <w:rPr>
          <w:rFonts w:ascii="Arial" w:cs="Arial" w:eastAsia="Arial" w:hAnsi="Arial"/>
          <w:sz w:val="18"/>
          <w:szCs w:val="18"/>
          <w:u w:val="single" w:color="auto"/>
          <w:color w:val="auto"/>
        </w:rPr>
        <w:t>Montrose</w:t>
      </w:r>
      <w:r>
        <w:rPr>
          <w:rFonts w:ascii="Arial" w:cs="Arial" w:eastAsia="Arial" w:hAnsi="Arial"/>
          <w:sz w:val="18"/>
          <w:szCs w:val="18"/>
          <w:color w:val="auto"/>
        </w:rPr>
        <w:t xml:space="preserve"> decision in California, that read policy exclusions narrowly so as to expand coverage, thereby requiring insurers to create and write new exclusions.</w:t>
      </w:r>
    </w:p>
    <w:p>
      <w:pPr>
        <w:spacing w:after="0" w:line="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62" w:lineRule="exact"/>
        <w:rPr>
          <w:sz w:val="20"/>
          <w:szCs w:val="20"/>
          <w:color w:val="auto"/>
        </w:rPr>
      </w:pPr>
    </w:p>
    <w:p>
      <w:pPr>
        <w:ind w:right="220" w:firstLine="351"/>
        <w:spacing w:after="0" w:line="312" w:lineRule="auto"/>
        <w:rPr>
          <w:sz w:val="20"/>
          <w:szCs w:val="20"/>
          <w:color w:val="auto"/>
        </w:rPr>
      </w:pPr>
      <w:r>
        <w:rPr>
          <w:rFonts w:ascii="Arial" w:cs="Arial" w:eastAsia="Arial" w:hAnsi="Arial"/>
          <w:sz w:val="16"/>
          <w:szCs w:val="16"/>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39"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Our primary market risk exposures are to changes in interest rates and equity prices. See "Item 7A. Quantitative and Qualitative Disclosures About Market Risk.” In recent years, interest rates have been at or near historic lows. A protracted low interest rate environment would continue to place pressure on net investment income, particularly related to fixed income securities and short-term investments, which, in turn, may materially adversely affect our operating results. Future increases in interest rates could cause the values of our fixed income securities portfolios to decline, with the magnitude of the decline depending on the duration of our portfolio and the amount by which interest rates increase.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6" w:right="25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credit risk and default. Downgrades in the credit ratings of fixed maturities can have a significant negative effect on the market valuation of such securities.</w:t>
      </w:r>
    </w:p>
    <w:p>
      <w:pPr>
        <w:spacing w:after="0" w:line="14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The severe downturn in the public debt and equity markets beginning in 2008 resulted in significant realized and unrealized losses in our investment portfolio. In the event of another financial crisis, we could incur substantial realized and unrealized investment losses in future periods, which would have a material adverse impact on our financial condition, results of operations, debt and financial strength ratings, insurance subsidiaries’ capital liquidity and ability to access capital markets.</w:t>
      </w:r>
    </w:p>
    <w:p>
      <w:pPr>
        <w:spacing w:after="0" w:line="79" w:lineRule="exact"/>
        <w:rPr>
          <w:sz w:val="20"/>
          <w:szCs w:val="20"/>
          <w:color w:val="auto"/>
        </w:rPr>
      </w:pPr>
    </w:p>
    <w:p>
      <w:pPr>
        <w:jc w:val="both"/>
        <w:ind w:right="160" w:firstLine="351"/>
        <w:spacing w:after="0" w:line="312" w:lineRule="auto"/>
        <w:rPr>
          <w:sz w:val="20"/>
          <w:szCs w:val="20"/>
          <w:color w:val="auto"/>
        </w:rPr>
      </w:pPr>
      <w:r>
        <w:rPr>
          <w:rFonts w:ascii="Arial" w:cs="Arial" w:eastAsia="Arial" w:hAnsi="Arial"/>
          <w:sz w:val="16"/>
          <w:szCs w:val="16"/>
          <w:color w:val="auto"/>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spacing w:after="0" w:line="39" w:lineRule="exact"/>
        <w:rPr>
          <w:sz w:val="20"/>
          <w:szCs w:val="20"/>
          <w:color w:val="auto"/>
        </w:rPr>
      </w:pPr>
    </w:p>
    <w:p>
      <w:pPr>
        <w:ind w:right="260" w:firstLine="351"/>
        <w:spacing w:after="0" w:line="279" w:lineRule="auto"/>
        <w:rPr>
          <w:sz w:val="20"/>
          <w:szCs w:val="20"/>
          <w:color w:val="auto"/>
        </w:rPr>
      </w:pPr>
      <w:r>
        <w:rPr>
          <w:rFonts w:ascii="Arial" w:cs="Arial" w:eastAsia="Arial" w:hAnsi="Arial"/>
          <w:sz w:val="17"/>
          <w:szCs w:val="17"/>
          <w:color w:val="auto"/>
        </w:rPr>
        <w:t>We hold investments in actively-traded syndicated bank loans (13.1% of the carrying value of our invested assets as of December 31, 2019).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2019, the fair value of our investments in actively traded syndicated bank loans was $252.4 million.</w:t>
      </w:r>
    </w:p>
    <w:p>
      <w:pPr>
        <w:spacing w:after="0" w:line="63" w:lineRule="exact"/>
        <w:rPr>
          <w:sz w:val="20"/>
          <w:szCs w:val="20"/>
          <w:color w:val="auto"/>
        </w:rPr>
      </w:pPr>
    </w:p>
    <w:p>
      <w:pPr>
        <w:ind w:right="120" w:firstLine="351"/>
        <w:spacing w:after="0" w:line="279" w:lineRule="auto"/>
        <w:rPr>
          <w:sz w:val="20"/>
          <w:szCs w:val="20"/>
          <w:color w:val="auto"/>
        </w:rPr>
      </w:pPr>
      <w:r>
        <w:rPr>
          <w:rFonts w:ascii="Arial" w:cs="Arial" w:eastAsia="Arial" w:hAnsi="Arial"/>
          <w:sz w:val="17"/>
          <w:szCs w:val="17"/>
          <w:color w:val="auto"/>
        </w:rPr>
        <w:t>As of December 31, 2019, we held equity investments of $31.2 million in non-public limited liability companies that have invested in renewable energy investments. These investments were sponsored and are managed by an entity for which a current director and a recent former director serve as officers.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spacing w:after="0" w:line="63" w:lineRule="exact"/>
        <w:rPr>
          <w:sz w:val="20"/>
          <w:szCs w:val="20"/>
          <w:color w:val="auto"/>
        </w:rPr>
      </w:pPr>
    </w:p>
    <w:p>
      <w:pPr>
        <w:ind w:firstLine="351"/>
        <w:spacing w:after="0" w:line="273" w:lineRule="auto"/>
        <w:rPr>
          <w:sz w:val="20"/>
          <w:szCs w:val="20"/>
          <w:color w:val="auto"/>
        </w:rPr>
      </w:pPr>
      <w:r>
        <w:rPr>
          <w:rFonts w:ascii="Arial" w:cs="Arial" w:eastAsia="Arial" w:hAnsi="Arial"/>
          <w:sz w:val="17"/>
          <w:szCs w:val="17"/>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$30.0 million at December 31, 2019.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Arial" w:cs="Arial" w:eastAsia="Arial" w:hAnsi="Arial"/>
          <w:sz w:val="17"/>
          <w:szCs w:val="17"/>
          <w:i w:val="1"/>
          <w:iCs w:val="1"/>
          <w:color w:val="auto"/>
        </w:rPr>
        <w:t>i.e.</w:t>
      </w:r>
      <w:r>
        <w:rPr>
          <w:rFonts w:ascii="Arial" w:cs="Arial" w:eastAsia="Arial" w:hAnsi="Arial"/>
          <w:sz w:val="17"/>
          <w:szCs w:val="17"/>
          <w:color w:val="auto"/>
        </w:rPr>
        <w:t>, the carrying amount) does not reflect prices at which actual transactions would occur.</w:t>
      </w:r>
    </w:p>
    <w:p>
      <w:pPr>
        <w:spacing w:after="0" w:line="70"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BMA and various state insurance departments, as applicable.</w:t>
      </w:r>
    </w:p>
    <w:p>
      <w:pPr>
        <w:spacing w:after="0" w:line="73" w:lineRule="exact"/>
        <w:rPr>
          <w:sz w:val="20"/>
          <w:szCs w:val="20"/>
          <w:color w:val="auto"/>
        </w:rPr>
      </w:pPr>
    </w:p>
    <w:p>
      <w:pPr>
        <w:ind w:right="80" w:firstLine="351"/>
        <w:spacing w:after="0" w:line="271" w:lineRule="auto"/>
        <w:rPr>
          <w:sz w:val="20"/>
          <w:szCs w:val="20"/>
          <w:color w:val="auto"/>
        </w:rPr>
      </w:pPr>
      <w:r>
        <w:rPr>
          <w:rFonts w:ascii="Arial" w:cs="Arial" w:eastAsia="Arial" w:hAnsi="Arial"/>
          <w:sz w:val="17"/>
          <w:szCs w:val="17"/>
          <w:color w:val="auto"/>
        </w:rPr>
        <w:t>A portion of the invested assets on our balance sheet constitutes collateral withdrawn from a trust account established by Rasier in support of its reimbursement obligations under an indemnification arrangement we have with them. Rasier has notified us that it believes the withdrawal of the collateral was improper. We believe that all of our actions have been consistent with the terms of our agreements. However, in the event it were to be ultimately adjudicated that our withdrawal was not proper, or that we are not entitled to retain interest on the collateral, or both, we could be required to return the collateral to the trust account (where it would continue to be held as collateral for our benefit), or we could no longer be able to retain, and could be obligated to return, the investment income on the funds, or we could be required to both return the collateral and return investment income. See also "We are subject to credit risk with regard to our reinsurance counterparties, insurance companies with which we have a fronting arrangement and an indemnification arrangement we have with an insured group of companies" risk factor herein.</w:t>
      </w:r>
    </w:p>
    <w:p>
      <w:pPr>
        <w:spacing w:after="0" w:line="71" w:lineRule="exact"/>
        <w:rPr>
          <w:sz w:val="20"/>
          <w:szCs w:val="20"/>
          <w:color w:val="auto"/>
        </w:rPr>
      </w:pPr>
    </w:p>
    <w:p>
      <w:pPr>
        <w:ind w:right="200" w:firstLine="351"/>
        <w:spacing w:after="0" w:line="312"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additional government or market regulation which may have a material adverse impact on our business.</w:t>
      </w:r>
    </w:p>
    <w:p>
      <w:pPr>
        <w:spacing w:after="0" w:line="117" w:lineRule="exact"/>
        <w:rPr>
          <w:sz w:val="20"/>
          <w:szCs w:val="20"/>
          <w:color w:val="auto"/>
        </w:rPr>
      </w:pPr>
    </w:p>
    <w:p>
      <w:pPr>
        <w:ind w:right="40" w:firstLine="351"/>
        <w:spacing w:after="0" w:line="257" w:lineRule="auto"/>
        <w:rPr>
          <w:sz w:val="20"/>
          <w:szCs w:val="20"/>
          <w:color w:val="auto"/>
        </w:rPr>
      </w:pPr>
      <w:r>
        <w:rPr>
          <w:rFonts w:ascii="Arial" w:cs="Arial" w:eastAsia="Arial" w:hAnsi="Arial"/>
          <w:sz w:val="18"/>
          <w:szCs w:val="18"/>
          <w:color w:val="auto"/>
        </w:rPr>
        <w:t>Market disruptions like those experienced during the credit-driven financial market collapse in 2008, as well as the dramatic increase in the capital allocated to alternative asset management during recent years,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and the credit-driven equity market collapse may increase the likelihood that some increased regulation of the industry is mandated.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spacing w:after="0" w:line="7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6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The Bermuda insurance and reinsurance regulatory framework has become subject to increased scrutiny in many jurisdictions. The BMA sought “regulatory equivalency” which enables Bermuda’s commercial insurers to transact business with the European Union on a “level playing field”. In connection with its initial efforts to achieve equivalency under Solvency II, the BMA implemented and imposed additional requirements on the companies it regulates, such as JRG Re and Carolina Re. On November 26, 2015, via delegated act, the European Commission granted Bermuda’s commercial insurers full equivalence in all areas of Solvency II for an indefinite period of time. The European Commission’s act was reviewed and approved by the European Parliament and Council. On March 4, 2016, the delegated act was published in the official journal of the European Union. The grant of full equivalence came into force on March 24, 2016 and applies from January 1, 2016.</w:t>
      </w:r>
    </w:p>
    <w:p>
      <w:pPr>
        <w:spacing w:after="0" w:line="8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To date, the following states have either adopted the NAIC Insurance Data Security Model Law or similar laws that govern the cybersecurity and data protection practices of insurers, insurance agents, and other licensed entities registered under state insurance laws: Alabama, California, Connecticut, Delaware, Michigan, Mississippi, New Hampshire, New York, Ohio and South Carolina. It is not yet known whether, and to what extent, other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we may be subject to the California Consumer Privacy Act of 2018 (the "CCPA") which went into force on January 1, 2020, but may be enforced by the California Attorney General on, or around, July 1, 2020. The CCPA requires that companies subject to its jurisdictional reach provide specific disclosures regarding privacy practices and give Californians the ability to ask for access to or the deletion of their information. It also limits the ability of a company to sell data about California residents. Regulations implementing the CCPA are expected in 2020, and other states may pass similar legislation. The CCPA may impose compliance costs, and ambiguities surrounding the CCPA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spacing w:after="0" w:line="70" w:lineRule="exact"/>
        <w:rPr>
          <w:sz w:val="20"/>
          <w:szCs w:val="20"/>
          <w:color w:val="auto"/>
        </w:rPr>
      </w:pPr>
    </w:p>
    <w:p>
      <w:pPr>
        <w:ind w:right="20" w:firstLine="351"/>
        <w:spacing w:after="0" w:line="308" w:lineRule="auto"/>
        <w:rPr>
          <w:sz w:val="20"/>
          <w:szCs w:val="20"/>
          <w:color w:val="auto"/>
        </w:rPr>
      </w:pPr>
      <w:r>
        <w:rPr>
          <w:rFonts w:ascii="Arial" w:cs="Arial" w:eastAsia="Arial" w:hAnsi="Arial"/>
          <w:sz w:val="17"/>
          <w:szCs w:val="17"/>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73"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w:t>
      </w:r>
    </w:p>
    <w:p>
      <w:pPr>
        <w:spacing w:after="0" w:line="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5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color w:val="auto"/>
        </w:rPr>
        <w:t>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See also “Business—Regulation—U.S. Insurance Regulation—State Regulation.”</w:t>
      </w:r>
    </w:p>
    <w:p>
      <w:pPr>
        <w:spacing w:after="0" w:line="57" w:lineRule="exact"/>
        <w:rPr>
          <w:sz w:val="20"/>
          <w:szCs w:val="20"/>
          <w:color w:val="auto"/>
        </w:rPr>
      </w:pPr>
    </w:p>
    <w:p>
      <w:pPr>
        <w:ind w:right="60" w:firstLine="351"/>
        <w:spacing w:after="0" w:line="269" w:lineRule="auto"/>
        <w:rPr>
          <w:sz w:val="20"/>
          <w:szCs w:val="20"/>
          <w:color w:val="auto"/>
        </w:rPr>
      </w:pPr>
      <w:r>
        <w:rPr>
          <w:rFonts w:ascii="Arial" w:cs="Arial" w:eastAsia="Arial" w:hAnsi="Arial"/>
          <w:sz w:val="17"/>
          <w:szCs w:val="17"/>
          <w:color w:val="auto"/>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75"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In 2012, the NAIC also adopted the ORSA Model Act. The ORSA Model Act, when adopted by the various states, will require an insurance holding company system’s Chief Risk Officer to submit annually to its lead state insurance regulator an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7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reinsurance coverage at reasonable prices or on terms that provide us adequate protection.</w:t>
      </w:r>
    </w:p>
    <w:p>
      <w:pPr>
        <w:spacing w:after="0" w:line="117" w:lineRule="exact"/>
        <w:rPr>
          <w:sz w:val="20"/>
          <w:szCs w:val="20"/>
          <w:color w:val="auto"/>
        </w:rPr>
      </w:pPr>
    </w:p>
    <w:p>
      <w:pPr>
        <w:ind w:right="320" w:firstLine="351"/>
        <w:spacing w:after="0" w:line="264" w:lineRule="auto"/>
        <w:rPr>
          <w:sz w:val="20"/>
          <w:szCs w:val="20"/>
          <w:color w:val="auto"/>
        </w:rPr>
      </w:pPr>
      <w:r>
        <w:rPr>
          <w:rFonts w:ascii="Arial" w:cs="Arial" w:eastAsia="Arial" w:hAnsi="Arial"/>
          <w:sz w:val="18"/>
          <w:szCs w:val="18"/>
          <w:color w:val="auto"/>
        </w:rPr>
        <w:t>We purchase reinsurance in many of our lines of business to help manage our exposure to insurance and reinsurance risks that we underwrite and to reduce volatility in our results. In addition, JRG Re has managed its risk through retrocession arrangements with third-party reinsurers. A retrocession is a practice whereby a reinsurer cedes risk to one or more other reinsurers.</w:t>
      </w:r>
    </w:p>
    <w:p>
      <w:pPr>
        <w:spacing w:after="0" w:line="73"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As a result, our ability to manage volatility and avoid significant losses, expand into new markets or grow by offering insurance to new kinds of enterprises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w:t>
      </w:r>
    </w:p>
    <w:p>
      <w:pPr>
        <w:spacing w:after="0" w:line="84" w:lineRule="exact"/>
        <w:rPr>
          <w:sz w:val="20"/>
          <w:szCs w:val="20"/>
          <w:color w:val="auto"/>
        </w:rPr>
      </w:pPr>
    </w:p>
    <w:p>
      <w:pPr>
        <w:ind w:right="120" w:firstLine="351"/>
        <w:spacing w:after="0" w:line="271" w:lineRule="auto"/>
        <w:rPr>
          <w:sz w:val="20"/>
          <w:szCs w:val="20"/>
          <w:color w:val="auto"/>
        </w:rPr>
      </w:pPr>
      <w:r>
        <w:rPr>
          <w:rFonts w:ascii="Arial" w:cs="Arial" w:eastAsia="Arial" w:hAnsi="Arial"/>
          <w:sz w:val="17"/>
          <w:szCs w:val="17"/>
          <w:color w:val="auto"/>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on direct insurers that do not wholly cover the risks written by these direct insurers.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“Business—Purchase of Reinsurance.”</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62" w:lineRule="exact"/>
        <w:rPr>
          <w:sz w:val="20"/>
          <w:szCs w:val="20"/>
          <w:color w:val="auto"/>
        </w:rPr>
      </w:pPr>
    </w:p>
    <w:p>
      <w:pPr>
        <w:ind w:right="80" w:firstLine="351"/>
        <w:spacing w:after="0" w:line="279" w:lineRule="auto"/>
        <w:rPr>
          <w:sz w:val="20"/>
          <w:szCs w:val="20"/>
          <w:color w:val="auto"/>
        </w:rPr>
      </w:pPr>
      <w:r>
        <w:rPr>
          <w:rFonts w:ascii="Arial" w:cs="Arial" w:eastAsia="Arial" w:hAnsi="Arial"/>
          <w:sz w:val="17"/>
          <w:szCs w:val="17"/>
          <w:color w:val="auto"/>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63" w:lineRule="exact"/>
        <w:rPr>
          <w:sz w:val="20"/>
          <w:szCs w:val="20"/>
          <w:color w:val="auto"/>
        </w:rPr>
      </w:pPr>
    </w:p>
    <w:p>
      <w:pPr>
        <w:ind w:right="240" w:firstLine="351"/>
        <w:spacing w:after="0" w:line="342" w:lineRule="auto"/>
        <w:rPr>
          <w:sz w:val="20"/>
          <w:szCs w:val="20"/>
          <w:color w:val="auto"/>
        </w:rPr>
      </w:pPr>
      <w:r>
        <w:rPr>
          <w:rFonts w:ascii="Arial" w:cs="Arial" w:eastAsia="Arial" w:hAnsi="Arial"/>
          <w:sz w:val="16"/>
          <w:szCs w:val="16"/>
          <w:color w:val="auto"/>
        </w:rPr>
        <w:t>In addition, in the Specialty Admitted Insurance segment, MGAs and other agents have the authority to bind policies on our behalf. If any such agents exceed their authority or engage in fraudulent activities, our financial condition and results of operations could be materially adversely affected.</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73" w:lineRule="exact"/>
        <w:rPr>
          <w:sz w:val="20"/>
          <w:szCs w:val="20"/>
          <w:color w:val="auto"/>
        </w:rPr>
      </w:pPr>
    </w:p>
    <w:p>
      <w:pPr>
        <w:ind w:firstLine="351"/>
        <w:spacing w:after="0" w:line="297"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7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We rely on a combination of contractual rights and copyright, trademark, patent and trade secret laws to establish and protect our intellectual property. Although we use a broad range of measures to protect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spacing w:after="0" w:line="79"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third-party intellectual property right,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and results of operations.</w:t>
      </w:r>
    </w:p>
    <w:p>
      <w:pPr>
        <w:spacing w:after="0" w:line="64" w:lineRule="exact"/>
        <w:rPr>
          <w:sz w:val="20"/>
          <w:szCs w:val="20"/>
          <w:color w:val="auto"/>
        </w:rPr>
      </w:pPr>
    </w:p>
    <w:p>
      <w:pPr>
        <w:ind w:right="20" w:firstLine="351"/>
        <w:spacing w:after="0" w:line="269" w:lineRule="auto"/>
        <w:rPr>
          <w:sz w:val="20"/>
          <w:szCs w:val="20"/>
          <w:color w:val="auto"/>
        </w:rPr>
      </w:pPr>
      <w:r>
        <w:rPr>
          <w:rFonts w:ascii="Arial" w:cs="Arial" w:eastAsia="Arial" w:hAnsi="Arial"/>
          <w:sz w:val="17"/>
          <w:szCs w:val="17"/>
          <w:color w:val="auto"/>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materially adversely affected by significant and widespread disruption to our physical infrastructure or operating systems and those of third-party service providers that support our business.</w:t>
      </w:r>
    </w:p>
    <w:p>
      <w:pPr>
        <w:spacing w:after="0" w:line="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or reinsured’s confidential, proprietary and other information, or otherwise disrupt our or our insureds’, reinsured’s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7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or other changes effectively.</w:t>
      </w:r>
    </w:p>
    <w:p>
      <w:pPr>
        <w:spacing w:after="0" w:line="117" w:lineRule="exact"/>
        <w:rPr>
          <w:sz w:val="20"/>
          <w:szCs w:val="20"/>
          <w:color w:val="auto"/>
        </w:rPr>
      </w:pPr>
    </w:p>
    <w:p>
      <w:pPr>
        <w:ind w:right="200" w:firstLine="351"/>
        <w:spacing w:after="0" w:line="264" w:lineRule="auto"/>
        <w:rPr>
          <w:sz w:val="20"/>
          <w:szCs w:val="20"/>
          <w:color w:val="auto"/>
        </w:rPr>
      </w:pPr>
      <w:r>
        <w:rPr>
          <w:rFonts w:ascii="Arial" w:cs="Arial" w:eastAsia="Arial" w:hAnsi="Arial"/>
          <w:sz w:val="18"/>
          <w:szCs w:val="18"/>
          <w:color w:val="auto"/>
        </w:rPr>
        <w:t>We intend to continue to grow our business and may also face changes from market, legal or regulatory developments. Such growth and changes could require additional capital, systems development and skilled personnel. We cannot assure you that we will be able to meet our capital needs, expand and maintain our systems and our internal controls effectively, allocate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and charge competitive yet profitable rates to our policyholders, our business, financial condition and results of operations will be materially adversely affected.</w:t>
      </w:r>
    </w:p>
    <w:p>
      <w:pPr>
        <w:spacing w:after="0" w:line="6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spacing w:after="0" w:line="85" w:lineRule="exact"/>
        <w:rPr>
          <w:sz w:val="20"/>
          <w:szCs w:val="20"/>
          <w:color w:val="auto"/>
        </w:rPr>
      </w:pPr>
    </w:p>
    <w:p>
      <w:pPr>
        <w:ind w:right="460" w:firstLine="351"/>
        <w:spacing w:after="0" w:line="308" w:lineRule="auto"/>
        <w:rPr>
          <w:sz w:val="20"/>
          <w:szCs w:val="20"/>
          <w:color w:val="auto"/>
        </w:rPr>
      </w:pPr>
      <w:r>
        <w:rPr>
          <w:rFonts w:ascii="Arial" w:cs="Arial" w:eastAsia="Arial" w:hAnsi="Arial"/>
          <w:sz w:val="17"/>
          <w:szCs w:val="17"/>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spacing w:after="0" w:line="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insureds;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 both frequency and severity of our insureds’ losses with reasonable accuracy.</w:t>
      </w:r>
    </w:p>
    <w:p>
      <w:pPr>
        <w:spacing w:after="0" w:line="131" w:lineRule="exact"/>
        <w:rPr>
          <w:sz w:val="20"/>
          <w:szCs w:val="20"/>
          <w:color w:val="auto"/>
        </w:rPr>
      </w:pPr>
    </w:p>
    <w:p>
      <w:pPr>
        <w:ind w:right="380" w:firstLine="351"/>
        <w:spacing w:after="0" w:line="277" w:lineRule="auto"/>
        <w:rPr>
          <w:sz w:val="20"/>
          <w:szCs w:val="20"/>
          <w:color w:val="auto"/>
        </w:rPr>
      </w:pPr>
      <w:r>
        <w:rPr>
          <w:rFonts w:ascii="Arial" w:cs="Arial" w:eastAsia="Arial" w:hAnsi="Arial"/>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constraints on rate increases;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loss adjustment expenses;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court decisions, legislation or regulatory action.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insurance and reinsurance business is historically cyclical, and we may experience periods with excess underwriting capacity and unfavorable premium rates, which could materially adversely affect our business.</w:t>
      </w:r>
    </w:p>
    <w:p>
      <w:pPr>
        <w:spacing w:after="0" w:line="62"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Historically, insurers and reinsurers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during our Company’s short history. The supply of insurance and reinsurance is related to prevailing prices, the level of insured losses and the level of capital available to the industry that, in turn, may fluctuate in response to changes in rates of return on investments being earned in the insurance and reinsurance industry. As a result, the insurance and reinsurance business historically has been a cyclical industry characterized by periods of intense price competition due to excessive underwriting capacity as well as periods when shortages of capacity increased premium levels. Demand for insurance and reinsurance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and reinsurance industry.</w:t>
      </w:r>
    </w:p>
    <w:p>
      <w:pPr>
        <w:spacing w:after="0" w:line="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We cannot predict with certainty whether market conditions will improve, remain constant or deteriorate. Negative market conditions may impair our ability to underwrite insurance and reinsurance at rates we consider appropriate and commensurate relative to the risk assumed. If we cannot underwrite insurance or reinsurance at appropriate rates, our ability to transact business will be materially adversely affected. Any of these factors could lead to a material adverse effect on our business,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reinsurance business is subject to loss settlements made by ceding companies and fronting carriers, which could materially adversely affect our performance.</w:t>
      </w:r>
    </w:p>
    <w:p>
      <w:pPr>
        <w:spacing w:after="0" w:line="6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Where JRG Re enters into assumed reinsurance contracts with third parties, all loss settlements made by the ceding company will be unconditionally binding upon us, provided they are within the terms of the underlying policies and within the terms of the relevant contract. While we believe the ceding companies will settle such claims in good faith, we are bound to accept the claims settlements agreed to by the ceding companies. Under the underlying policies, each ceding company typically bears the burden of proving that a contractual exclusion applies to a loss, and there may be circumstances where the facts of a loss are insufficient to support the application of an exclusion. In such circumstances, we assume such losses under the reinsured policies, which could materially adversely affect our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have in the past varied from quarter to quarter and may not be indicative of our long-term prospects.</w:t>
      </w:r>
    </w:p>
    <w:p>
      <w:pPr>
        <w:spacing w:after="0" w:line="117" w:lineRule="exact"/>
        <w:rPr>
          <w:sz w:val="20"/>
          <w:szCs w:val="20"/>
          <w:color w:val="auto"/>
        </w:rPr>
      </w:pPr>
    </w:p>
    <w:p>
      <w:pPr>
        <w:ind w:right="100" w:firstLine="351"/>
        <w:spacing w:after="0" w:line="302" w:lineRule="auto"/>
        <w:rPr>
          <w:sz w:val="20"/>
          <w:szCs w:val="20"/>
          <w:color w:val="auto"/>
        </w:rPr>
      </w:pPr>
      <w:r>
        <w:rPr>
          <w:rFonts w:ascii="Arial" w:cs="Arial" w:eastAsia="Arial" w:hAnsi="Arial"/>
          <w:sz w:val="16"/>
          <w:szCs w:val="16"/>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4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forced to sell investments to meet our liquidity requirements.</w:t>
      </w:r>
    </w:p>
    <w:p>
      <w:pPr>
        <w:spacing w:after="0" w:line="117"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We invest the premiums we receive from our insureds and ceding companies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associates could take excessive risks, which could negatively affect our financial condition and business.</w:t>
      </w:r>
    </w:p>
    <w:p>
      <w:pPr>
        <w:spacing w:after="0" w:line="11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As an insurance enterprise, we are in the business of binding certain risks. The associates who conduct our business, including executive officers and other members of management, underwriters, sales managers, investment professionals, product managers, sales agents, and other associates, as well as MGAs,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associates incentives to take excessive risks. Associates may, however, take such risks regardless of the structure of our compensation programs and practices. Similarly, although we employ controls and procedures designed to monitor associates’ business decisions and prevent us from taking excessive risks, these controls and procedures may not be effective. If our associates take excessive risks, the impact of those risks could have a material adverse effect on our financial condition and business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in the future, which may not be available or available only on unfavorable terms.</w:t>
      </w:r>
    </w:p>
    <w:p>
      <w:pPr>
        <w:spacing w:after="0" w:line="117"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and independent rating agencies. To the extent that our existing capital is insufficient to fund our future operating requirements, cover claim losses, or satisfy ratings agencies in order to maintain a satisfactory rating, we may need to raise additional capital in the future through offerings of debt or equity securities or otherwise to:</w:t>
      </w:r>
    </w:p>
    <w:p>
      <w:pPr>
        <w:spacing w:after="0" w:line="10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 liquidity needs caused by underwriting or investment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capital lost in the event of significant reinsurance losses or adverse reserve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satisfy letters of credit or guarantee bond requirements that may be imposed by our clients or by regulators;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 rating agency or regulatory capital requirements;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color w:val="auto"/>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Additional capital raised through the issuance of debt would most likely result in creditors having rights, preferences and privileges senior or otherwise superior to those of the holders of our shares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keep pace with the technological advancements in the insurance industry, our ability to compete effectively could be impaired.</w:t>
      </w:r>
    </w:p>
    <w:p>
      <w:pPr>
        <w:spacing w:after="0" w:line="14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We are committed to developing and maintaining information technology systems that will allow our insurance subsidiaries to compete effectively. There can be no assurance that the development of current technology for future use will not result in our being competitively disadvantaged, especially with those carriers that have greater resources. If we are unable to keep pace with the advancements being made in technology, our ability to compete with other insurance companies who have advanced technological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8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62" w:lineRule="exact"/>
        <w:rPr>
          <w:sz w:val="20"/>
          <w:szCs w:val="20"/>
          <w:color w:val="auto"/>
        </w:rPr>
      </w:pPr>
    </w:p>
    <w:p>
      <w:pPr>
        <w:ind w:right="40" w:firstLine="351"/>
        <w:spacing w:after="0" w:line="302" w:lineRule="auto"/>
        <w:rPr>
          <w:sz w:val="20"/>
          <w:szCs w:val="20"/>
          <w:color w:val="auto"/>
        </w:rPr>
      </w:pPr>
      <w:r>
        <w:rPr>
          <w:rFonts w:ascii="Arial" w:cs="Arial" w:eastAsia="Arial" w:hAnsi="Arial"/>
          <w:sz w:val="16"/>
          <w:szCs w:val="16"/>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4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particular, competition in the insurance and reinsurance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and reinsurance we seek to underwrite. See also “Business—Competition.”</w:t>
      </w:r>
    </w:p>
    <w:p>
      <w:pPr>
        <w:spacing w:after="0" w:line="79"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A number of new, proposed or potential legislative or industry developments could further increase competition in our industry. These developments include:</w:t>
      </w:r>
    </w:p>
    <w:p>
      <w:pPr>
        <w:spacing w:after="0" w:line="89" w:lineRule="exact"/>
        <w:rPr>
          <w:sz w:val="20"/>
          <w:szCs w:val="20"/>
          <w:color w:val="auto"/>
        </w:rPr>
      </w:pPr>
    </w:p>
    <w:p>
      <w:pPr>
        <w:ind w:left="660" w:right="60" w:hanging="328"/>
        <w:spacing w:after="0" w:line="34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capital-raising by companies in our lines of business, which could result in new entrants to our markets and an excess of capital in the industry;</w:t>
      </w:r>
    </w:p>
    <w:p>
      <w:pPr>
        <w:spacing w:after="0" w:line="48" w:lineRule="exact"/>
        <w:rPr>
          <w:rFonts w:ascii="Arial" w:cs="Arial" w:eastAsia="Arial" w:hAnsi="Arial"/>
          <w:sz w:val="18"/>
          <w:szCs w:val="18"/>
          <w:color w:val="auto"/>
        </w:rPr>
      </w:pPr>
    </w:p>
    <w:p>
      <w:pPr>
        <w:ind w:left="660" w:right="400" w:hanging="328"/>
        <w:spacing w:after="0" w:line="34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48" w:lineRule="exact"/>
        <w:rPr>
          <w:rFonts w:ascii="Arial" w:cs="Arial" w:eastAsia="Arial" w:hAnsi="Arial"/>
          <w:sz w:val="18"/>
          <w:szCs w:val="18"/>
          <w:color w:val="auto"/>
        </w:rPr>
      </w:pPr>
    </w:p>
    <w:p>
      <w:pPr>
        <w:ind w:left="660" w:right="40" w:hanging="328"/>
        <w:spacing w:after="0" w:line="34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There is no assurance that we will be able to continue to compete successfully in the insurance or reinsurance markets. Increased competition in these markets could result in a change in the supply and/or demand for insurance or reinsurance,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62" w:lineRule="exact"/>
        <w:rPr>
          <w:sz w:val="20"/>
          <w:szCs w:val="20"/>
          <w:color w:val="auto"/>
        </w:rPr>
      </w:pPr>
    </w:p>
    <w:p>
      <w:pPr>
        <w:ind w:right="280" w:firstLine="351"/>
        <w:spacing w:after="0" w:line="279" w:lineRule="auto"/>
        <w:rPr>
          <w:sz w:val="20"/>
          <w:szCs w:val="20"/>
          <w:color w:val="auto"/>
        </w:rPr>
      </w:pPr>
      <w:r>
        <w:rPr>
          <w:rFonts w:ascii="Arial" w:cs="Arial" w:eastAsia="Arial" w:hAnsi="Arial"/>
          <w:sz w:val="17"/>
          <w:szCs w:val="17"/>
          <w:color w:val="auto"/>
        </w:rPr>
        <w:t>Most of our contracts are written for a one-year term. In our financial forecasting process, we make assumptions about the renewal of our prior year’s contracts. The insurance and reinsurance industries have historically been cyclical businesses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spacing w:after="0" w:line="63"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October 8, 2019, we delivered a notice of early cancellation, effective December 31, 2019, of all insurance policies issued to Rasier. The termination of our business with Rasier could have a material adverse effect on our results of operations. Rasier produced $374.2 million of gross written premiums, representing 40.6% of the Excess and Surplus Lines segment’s gross written premiums and 25.4% of our consolidated gross written premiums for the year ended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change our underwriting guidelines or our strategy without shareholder approval.</w:t>
      </w:r>
    </w:p>
    <w:p>
      <w:pPr>
        <w:spacing w:after="0" w:line="11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“Business” or elsewhere in this Annual Report.</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Litigation and legal proceedings against our subsidiaries could have a material adverse effect on our business, financial condition and/or results of operations.</w:t>
      </w:r>
    </w:p>
    <w:p>
      <w:pPr>
        <w:spacing w:after="0" w:line="62" w:lineRule="exact"/>
        <w:rPr>
          <w:sz w:val="20"/>
          <w:szCs w:val="20"/>
          <w:color w:val="auto"/>
        </w:rPr>
      </w:pPr>
    </w:p>
    <w:p>
      <w:pPr>
        <w:ind w:firstLine="351"/>
        <w:spacing w:after="0" w:line="279" w:lineRule="auto"/>
        <w:rPr>
          <w:sz w:val="20"/>
          <w:szCs w:val="20"/>
          <w:color w:val="auto"/>
        </w:rPr>
      </w:pPr>
      <w:r>
        <w:rPr>
          <w:rFonts w:ascii="Arial" w:cs="Arial" w:eastAsia="Arial" w:hAnsi="Arial"/>
          <w:sz w:val="17"/>
          <w:szCs w:val="17"/>
          <w:color w:val="auto"/>
        </w:rPr>
        <w:t>As an insurance and reinsurance holding company, our subsidiaries are named as defendants in various legal actions in the ordinary course of business. We believe that the outcome of presently pending matters, individually and in the aggregate, will not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practices and future pronouncements may materially affect our reported financial results.</w:t>
      </w:r>
    </w:p>
    <w:p>
      <w:pPr>
        <w:spacing w:after="0" w:line="11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Further, our U.S.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85" w:lineRule="exact"/>
        <w:rPr>
          <w:sz w:val="20"/>
          <w:szCs w:val="20"/>
          <w:color w:val="auto"/>
        </w:rPr>
      </w:pPr>
    </w:p>
    <w:p>
      <w:pPr>
        <w:ind w:right="60" w:firstLine="351"/>
        <w:spacing w:after="0" w:line="276" w:lineRule="auto"/>
        <w:rPr>
          <w:sz w:val="20"/>
          <w:szCs w:val="20"/>
          <w:color w:val="auto"/>
        </w:rPr>
      </w:pPr>
      <w:r>
        <w:rPr>
          <w:rFonts w:ascii="Arial" w:cs="Arial" w:eastAsia="Arial" w:hAnsi="Arial"/>
          <w:sz w:val="17"/>
          <w:szCs w:val="17"/>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U.S. insurance subsidiaries. Further, we cannot assure that future changes to SAP or components of SAP or the grant of permitted accounting practices to our competitors will not have a negative impact on us.</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ability to implement our business strategy could be delayed or adversely affected by Bermuda employment restrictions relating to the ability to obtain and retain work permits for key employees in Bermuda.</w:t>
      </w:r>
    </w:p>
    <w:p>
      <w:pPr>
        <w:spacing w:after="0" w:line="6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Under Bermuda law, non-Bermudians (other than spouses of Bermudians and holders of permanent residents’ certificates) may not engage in any gainful occupation in Bermuda without a valid government work permit. A work permit may be granted or renewed upon showing that, after proper public advertisement, no Bermudian, spouse of a Bermudian or a holder of a permanent resident’s certificate who meets the minimum standards reasonably required by the employer has applied for the job. A work permit is issued with an expiry date (up to five years) and no assurances can be given that any work permit will be issued or, if issued, renewed upon the expiration of the relevant term. If work permits are not obtained or are not renewed for our key employees (other than our President and Chief Operating Officer, who holds Bermudian and United States citizenship and therefore is not required to have a work permit in Bermuda or in any other jurisdiction in which we operate), we would lose their services, which could materially affect our business.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California, North Carolina, Ohio, or Virginia significantly increase the assessments our insurance companies are required to pay, our financial condition and results of operations will suffer.</w:t>
      </w:r>
    </w:p>
    <w:p>
      <w:pPr>
        <w:spacing w:after="0" w:line="62" w:lineRule="exact"/>
        <w:rPr>
          <w:sz w:val="20"/>
          <w:szCs w:val="20"/>
          <w:color w:val="auto"/>
        </w:rPr>
      </w:pPr>
    </w:p>
    <w:p>
      <w:pPr>
        <w:ind w:right="100" w:firstLine="351"/>
        <w:spacing w:after="0" w:line="271" w:lineRule="auto"/>
        <w:rPr>
          <w:sz w:val="20"/>
          <w:szCs w:val="20"/>
          <w:color w:val="auto"/>
        </w:rPr>
      </w:pPr>
      <w:r>
        <w:rPr>
          <w:rFonts w:ascii="Arial" w:cs="Arial" w:eastAsia="Arial" w:hAnsi="Arial"/>
          <w:sz w:val="17"/>
          <w:szCs w:val="17"/>
          <w:color w:val="auto"/>
        </w:rPr>
        <w:t>Our insurance companies are subject to assessments in California (the domiciliary state for Falls Lake Fire and Casualty Company), North Carolina (the domiciliary state for Stonewood Insurance), Ohio (the domiciliary state for James River Insurance and Falls Lake National) and Virginia (the domiciliary state for James River Casualty),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U.S.-based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third-party claims administrators in certain lines of business may result in higher losses and loss adjustment expenses.</w:t>
      </w:r>
    </w:p>
    <w:p>
      <w:pPr>
        <w:spacing w:after="0" w:line="117" w:lineRule="exact"/>
        <w:rPr>
          <w:sz w:val="20"/>
          <w:szCs w:val="20"/>
          <w:color w:val="auto"/>
        </w:rPr>
      </w:pPr>
    </w:p>
    <w:p>
      <w:pPr>
        <w:ind w:right="40" w:firstLine="351"/>
        <w:spacing w:after="0" w:line="302" w:lineRule="auto"/>
        <w:rPr>
          <w:sz w:val="20"/>
          <w:szCs w:val="20"/>
          <w:color w:val="auto"/>
        </w:rPr>
      </w:pPr>
      <w:r>
        <w:rPr>
          <w:rFonts w:ascii="Arial" w:cs="Arial" w:eastAsia="Arial" w:hAnsi="Arial"/>
          <w:sz w:val="16"/>
          <w:szCs w:val="16"/>
          <w:color w:val="auto"/>
        </w:rPr>
        <w:t>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 claims administrators may achieve less desirable results on claims than has historically been the case for our internal staff, which could result in significantly higher losses and loss adjustment expenses in those lines of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effect of the 2017 Tax Act may have a significant impact on the Company.</w:t>
      </w:r>
    </w:p>
    <w:p>
      <w:pPr>
        <w:spacing w:after="0" w:line="117" w:lineRule="exact"/>
        <w:rPr>
          <w:sz w:val="20"/>
          <w:szCs w:val="20"/>
          <w:color w:val="auto"/>
        </w:rPr>
      </w:pPr>
    </w:p>
    <w:p>
      <w:pPr>
        <w:ind w:right="80" w:firstLine="501"/>
        <w:spacing w:after="0" w:line="297" w:lineRule="auto"/>
        <w:rPr>
          <w:sz w:val="20"/>
          <w:szCs w:val="20"/>
          <w:color w:val="auto"/>
        </w:rPr>
      </w:pPr>
      <w:r>
        <w:rPr>
          <w:rFonts w:ascii="Arial" w:cs="Arial" w:eastAsia="Arial" w:hAnsi="Arial"/>
          <w:sz w:val="16"/>
          <w:szCs w:val="16"/>
          <w:color w:val="auto"/>
        </w:rPr>
        <w:t>The Tax Act, enacted on December 22, 2017, introduced significant changes to the Code.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(“CFC”) rules, and make it more difficult for a foreign insurance company to avoid being treated as a passive foreign investment company (“PFIC”).</w:t>
      </w:r>
    </w:p>
    <w:p>
      <w:pPr>
        <w:spacing w:after="0" w:line="5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There is continued uncertainty regarding how these and other provisions of the Tax Act will be interpreted, although guidance is proposed and final forms have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Changes to, clarifications of, or guidance under the Tax Act could add significant expense and have a material adverse effect on our results of operations. Given the complexity of the Tax Act you are strongly encouraged to consult your own tax advisor regarding its potential impact on the U.S. federal income tax consequences to you considering your particular circumstances.</w:t>
      </w:r>
    </w:p>
    <w:p>
      <w:pPr>
        <w:spacing w:after="0" w:line="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Base Erosion and Anti-Abuse Tax</w:t>
      </w:r>
      <w:r>
        <w:rPr>
          <w:rFonts w:ascii="Arial" w:cs="Arial" w:eastAsia="Arial" w:hAnsi="Arial"/>
          <w:sz w:val="16"/>
          <w:szCs w:val="16"/>
          <w:color w:val="auto"/>
        </w:rPr>
        <w:t>. The Tax Act’s BEAT provision imposes a minimum tax on “applicable taxpayers,” which are generally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part of a group with at least $500 million of applicable annual gross receipts and that make certain payments to related foreign persons, including payments that are deductible for U.S. tax purposes, payments to purchase depreciable or amortizable property, and reinsurance payments. BEAT subjects the “modified taxable income” of an applicable taxpayer to tax at a rate of 10% in 2019-2025, and 12.5% in 2026 and thereafter. In general, modified taxable income is calculated by adding back to a taxpayer’s regular taxable income the amount of certain “base erosion tax benefits” with respect to certain "base erosion payments" to foreign affiliates, as well as the “base erosion percentage” of any net operating loss deductions. BEAT applies only to the extent it exceeds a taxpayer’s regular corporate income tax liability (determined without regard to certain tax credits).</w:t>
      </w:r>
    </w:p>
    <w:p>
      <w:pPr>
        <w:spacing w:after="0" w:line="5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December 2, 2019, the U.S. Internal Revenue Service (the “IRS”) and U.S. Department of the Treasury released final regulations and additional proposed regulations regarding BEAT. The final regulations provide guidance related to the mechanics of determining, among other things, the classification as an “applicable taxpayer,” a taxpayer’s “base erosion payments,” and a taxpayer’s “modified taxable income,” as well as the application of those concepts in context of certain arrangements between domestic reinsurance companies and foreign related insurance companies. The proposed regulations address certain other outstanding BEAT issues, including guidance applicable to certain reinsurance arrangements. The final regulations are effective for our taxable years ending on or after December 17, 2018. The proposed regulations are not effective until adopted in final form, although taxpayers can rely on them for taxable years beginning after December 31, 2017. We have analyzed the final and proposed regulations and do not currently expect them to have a material impact on the Company.</w:t>
      </w:r>
    </w:p>
    <w:p>
      <w:pPr>
        <w:spacing w:after="0" w:line="8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response to the Tax Act, we made changes to our structure in 2018 to minimize the impact of BEAT that included the formation of Carolina Re, a Bermuda-domiciled, wholly owned subsidiary of James River Group, Inc. Carolina Re is a Class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3A reinsurer that made an election to be taxed as a U.S. domestic corporation under Section 953(d) of the Code, effective January 1, 2018. In addition, as of January 1, 2018, we generally discontinued ceding 70% of our U.S.-written premiums to JRG Re and instead ceded 70% of our U.S.-written premiums to Carolina Re. Carolina Re also entered into a stop loss reinsurance agreement with JRG Re. As a result of these changes, we will not be subject to BEAT if we have sufficient regular U.S. income tax liability compared to the BEAT liability. The applicability of BEAT depends on a number of factors and we may be subject to BEAT in future periods as a result of changes in interpretations, as well as additional regulatory guidance that may be issued.</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U.S. persons who own our shares may be subject to U.S. federal income taxation on our undistributed earnings and may recognize ordinary income upon disposition of shares.</w:t>
      </w:r>
    </w:p>
    <w:p>
      <w:pPr>
        <w:spacing w:after="0" w:line="6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If we are considered a PFIC as defined in Section 1297(a) of the Code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w:t>
      </w:r>
    </w:p>
    <w:p>
      <w:pPr>
        <w:spacing w:after="0" w:line="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The IRS and U.S. Department of the Treasury recently released proposed regulations, which are not effective until adopted in final form, that provide, among other things, that whether a company is engaged in the “active conduct” of an insurance business is a facts and circumstances test, but that the “active conduct” requirement is met if, and only if, the insurance company’s “active conduct percentage” is at least 50%. In general, a company’s “active conduct percentage” is determined by dividing the company’s aggregate expenses for certain insurance-related services of its officers and employees (and the officers and employees of certain affiliates) by the company’s aggregate expenses for such insurance-related services (including those paid to unaffiliated persons). The precise scope of expenses that should be taken into account in calculating the active conduct percentage is unclear. The IRS has requested comments on several aspects of the proposed regulations. It is uncertain when the proposed regulations will be finalized, and whether the provisions of any final or temporary regulations will vary from the proposed regulations.</w:t>
      </w:r>
    </w:p>
    <w:p>
      <w:pPr>
        <w:spacing w:after="0" w:line="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that we are not and have not been, and currently do not expect to become, a PFIC for U.S. federal income tax purposes. Our belief that we are not and have not been a PFIC is based, in part, on the fact that we believe that we are a QIC engaged in the active conduct of an insurance business. While not free from doubt, if the proposed regulations were finalized in their proposed form, we believe we would continue to qualify for the exception from PFIC status. However, the scope of this exception is not entirely clear, especially in its application to holding companies indirectly engaged in an insurance business, and there are no administrative pronouncements, judicial decisions or current final regulations that provide guidance as to the application of the PFIC rules to insurance companies. Additionally,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be deemed a PFIC by the IRS. If we, or one of our subsidiaries, were considered a PFIC, it could have material adverse tax consequences for an investor that is subject to U.S. federal income taxation.</w:t>
      </w:r>
    </w:p>
    <w:p>
      <w:pPr>
        <w:spacing w:after="0" w:line="7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The Tax Act eliminated the prohibition on “downward attribution” from non-U.S. persons to U.S. persons under the CFC constructive ownership rules. As a result, our U.S. subsidiaries are deemed to own all of the stock of our non-U.S. subsidiaries (other than James River Group Holdings UK Limited (“James River UK”)) for purposes of classifying those non-U.S. subsidiaries as CFCs. The legislative history under the Tax Act indicates that this change to the CFC constructive ownership rules was not intended to cause our non-U.S. subsidiaries to be treated as CFCs with respect to a 10% U.S. Shareholder that is not related to our U.S. subsidiary. However, it is not clear whether the IRS or a court would interpret the change made by the Tax Act in a manner consistent with such indicated intent.</w:t>
      </w:r>
    </w:p>
    <w:p>
      <w:pPr>
        <w:spacing w:after="0" w:line="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We cannot assure you that we are not and will not become a CFC. If you are a U.S. person, we strongly urge you to consult your own tax advisor concerning the CFC rules.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i w:val="1"/>
          <w:iCs w:val="1"/>
          <w:color w:val="auto"/>
        </w:rPr>
        <w:t>Related Person Insurance Income</w:t>
      </w:r>
      <w:r>
        <w:rPr>
          <w:rFonts w:ascii="Arial" w:cs="Arial" w:eastAsia="Arial" w:hAnsi="Arial"/>
          <w:sz w:val="17"/>
          <w:szCs w:val="17"/>
          <w:color w:val="auto"/>
        </w:rPr>
        <w:t>. If (i) our gross income attributable to insurance or reinsurance policies pursuant to which the direct or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owns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has been, or will be, met. However, we cannot assure you that this will continue to be the case. Consequently, we cannot assure you that a person who is a direct or indirect U.S. shareholder will not be required to include amounts in its income in respect of related person insurance income in any taxable year.</w:t>
      </w:r>
    </w:p>
    <w:p>
      <w:pPr>
        <w:spacing w:after="0" w:line="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Dispositions of Our Shares</w:t>
      </w:r>
      <w:r>
        <w:rPr>
          <w:rFonts w:ascii="Arial" w:cs="Arial" w:eastAsia="Arial" w:hAnsi="Arial"/>
          <w:sz w:val="18"/>
          <w:szCs w:val="18"/>
          <w:color w:val="auto"/>
        </w:rPr>
        <w:t>. If a U.S. shareholder is treated as disposing of shares in a CFC of which it is a U.S. 10% Shareholder, or of shares in a</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JRG Re and James River Group Holdings UK Limited may be subject to U.S. federal income taxation.</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and JRG Re are each incorporated under the laws of Bermuda and James River UK is incorporated under the laws of England and Wales. Carolina Re is incorporated under the laws of Bermuda, but is taxed as a U.S. domestic corporation as a result of an election under Section 953(d) of the Code.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JRG Re, as contemplated, will not cause them to be treated as engaging in a U.S. trade or business and as such, will not be subject to current U.S. federal income taxation on their net income. However, there are no definitive standards provided by the Code, regulations or court decisions as to the specific activities that constitute being engaged in the conduct of a trade or business within the United States, and any such determination is essentially factual in nature and must be made annually. The IRS could assert that our non-U.S. holding companies or JRG Re (or both) are engaged in a trade or business in the United States or, under the applicable income tax treaty, are engaged in a trade or business in the United States through a permanent establishment, and thus are subject to current U.S. federal income taxation. If our non-U.S. holding companies or JRG Re were deemed to be engaged in a trade or business in the United States (or, under the applicable income tax treaty, were deemed to be so engaged through a permanent establishment), our non-U.S. holding companies or JRG Re,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17"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A U.S. tax-exempt organization may recognize unrelated business taxable income if a portion of our subpart F insurance income is allocated to it. In general, subpart F insurance income will be allocated to a tax-exempt organization owning (or treated as owning) our shares if we are a CFC as discussed above and it is a U.S. 10% Shareholder or we earn related person insurance income and we satisfy the RPII Test.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spacing w:after="0" w:line="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become subject to U.S. withholding and information reporting requirements under the Foreign Account Tax Compliance Act (“FATCA”) provisions.</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December 13, 2018,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spacing w:after="0" w:line="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United States has entered into intergovernmental agreements between the United States and Bermuda and between the United States and the United Kingdom (the “IGAs”), which potentially modify the FATCA withholding regime described above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6" w:right="25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 respect to us and our common shares. There can be no certainty as to whether the Company, Carolina Re or JRG Re will be treated as a FFI under FATCA. We strongly urge you to consult your own tax advisor regarding the potential impact of FATCA, the IGAs and any non-U.S. legislation implementing FATCA.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may be retroactive and could subject us and/or U.S. persons who own our shares to U.S. income taxation.</w:t>
      </w:r>
    </w:p>
    <w:p>
      <w:pPr>
        <w:spacing w:after="0" w:line="11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shares or reduce the attractiveness of our products. Any such developments could materially adversely affect our results of operations.</w:t>
      </w:r>
    </w:p>
    <w:p>
      <w:pPr>
        <w:spacing w:after="0" w:line="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Tax Act, other tax laws and interpretations thereof, including with respect to whether a company is engaged in a U.S. trade or business, is a CFC, has related party insurance income, is a PFIC, or is subject to BEAT, are subject to change, possibly on a retroactive basis. There are currently only proposed regulations regarding the RPII Test and the application of the PFIC rules to an insurance company. New regulations or pronouncements interpreting or clarifying such rules may be forthcoming from the IRS or the U.S. Department of the Treasury. We are not able to predict if, when or in what form such guidance will be provided and whether such guidance will have a retroactive effect.</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reinsurance premiums paid by our U.S. subsidiaries to our non-U.S. subsidiaries do not reflect arm’s-length terms, the IRS could seek to recharacterize the payments in a way that is unfavorable to us.</w:t>
      </w:r>
    </w:p>
    <w:p>
      <w:pPr>
        <w:spacing w:after="0" w:line="6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We have in place intercompany loans from our U.S. subsidiaries to our parent company and have intercompany reinsurance agreements among consolidated entities. We believe the terms of these transactions are appropriate and reflect arm’s-length terms and are consistent with all applicable rules and regulations. However, if the U.S. Department of the Treasury or the IRS reviews our intercompany agreements and successfully asserts, under Sections 482 or 845 of the Code, that the terms do not reflect arm’s-length transactions, we may owe additional tax.</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1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believe that the dividends paid on our common shares should qualify as “qualified dividend income” as long as the common shares are listed on a national securities exchange and we are not a PFIC. Qualified dividend income received by non-corporate U.S. persons is generally eligible for long-term capital gain rates. While the Tax Act did not modify these rules,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non-U.K. companies may be subject to U.K. tax that may have a material adverse effect on our operating results.</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intend to operate in such a manner so that none of our companies other than our intermediate holding company incorporated in the United Kingdom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spacing w:after="0" w:line="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become subject to taxes in Bermuda after March 31, 2035, which may have a material adverse effect on our results of operations and your investment.</w:t>
      </w:r>
    </w:p>
    <w:p>
      <w:pPr>
        <w:spacing w:after="0" w:line="6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31, 2035, except insofar as such tax applies to persons ordinarily resident in Bermuda or to any taxes payable by us in respect of real property owned or leased by us in Bermuda. We cannot assure you that we will not be subject to any Bermuda tax after March 31, 2035.</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shares may fluctuate significantly and you could lose all or part of your investment.</w:t>
      </w:r>
    </w:p>
    <w:p>
      <w:pPr>
        <w:spacing w:after="0" w:line="117" w:lineRule="exact"/>
        <w:rPr>
          <w:sz w:val="20"/>
          <w:szCs w:val="20"/>
          <w:color w:val="auto"/>
        </w:rPr>
      </w:pPr>
    </w:p>
    <w:p>
      <w:pPr>
        <w:ind w:firstLine="351"/>
        <w:spacing w:after="0" w:line="308" w:lineRule="auto"/>
        <w:rPr>
          <w:sz w:val="20"/>
          <w:szCs w:val="20"/>
          <w:color w:val="auto"/>
        </w:rPr>
      </w:pPr>
      <w:r>
        <w:rPr>
          <w:rFonts w:ascii="Arial" w:cs="Arial" w:eastAsia="Arial" w:hAnsi="Arial"/>
          <w:sz w:val="17"/>
          <w:szCs w:val="17"/>
          <w:color w:val="auto"/>
        </w:rPr>
        <w:t>Volatility in the market price of our common shares may prevent you from being able to sell your common shares at or above the price you paid for your common shares. The market price for our common shares could fluctuate significantly for various reasons, including, without limitation:</w:t>
      </w:r>
    </w:p>
    <w:p>
      <w:pPr>
        <w:spacing w:after="0" w:line="7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or annual earnings or earnings estimates, or those of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external expectations or management guidance;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reaction to adverse loss reserve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one or more individually large clients, and its impact on our growth rate, profitability and financial condition;</w:t>
      </w:r>
    </w:p>
    <w:p>
      <w:pPr>
        <w:spacing w:after="0" w:line="157" w:lineRule="exact"/>
        <w:rPr>
          <w:rFonts w:ascii="Arial" w:cs="Arial" w:eastAsia="Arial" w:hAnsi="Arial"/>
          <w:sz w:val="18"/>
          <w:szCs w:val="18"/>
          <w:color w:val="auto"/>
        </w:rPr>
      </w:pPr>
    </w:p>
    <w:p>
      <w:pPr>
        <w:ind w:left="660" w:right="140" w:hanging="328"/>
        <w:spacing w:after="0" w:line="34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payment of dividends on our common shares, or payment of a reduced amount of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growth rates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common shares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by the investment community regarding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restructurings, significant contracts or joint ventures;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catastrophes that are perceived by investors as impacting the insurance and reinsurance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characterization of us as a PFIC;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economic and political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common shares that are publicly traded;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and issuance of common shares by us, or sales of common shares by our directors or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resolution of litigation against us.</w:t>
      </w:r>
    </w:p>
    <w:p>
      <w:pPr>
        <w:spacing w:after="0" w:line="131" w:lineRule="exact"/>
        <w:rPr>
          <w:sz w:val="20"/>
          <w:szCs w:val="20"/>
          <w:color w:val="auto"/>
        </w:rPr>
      </w:pPr>
    </w:p>
    <w:p>
      <w:pPr>
        <w:ind w:right="260" w:firstLine="351"/>
        <w:spacing w:after="0" w:line="257" w:lineRule="auto"/>
        <w:rPr>
          <w:sz w:val="20"/>
          <w:szCs w:val="20"/>
          <w:color w:val="auto"/>
        </w:rPr>
      </w:pPr>
      <w:r>
        <w:rPr>
          <w:rFonts w:ascii="Arial" w:cs="Arial" w:eastAsia="Arial" w:hAnsi="Arial"/>
          <w:sz w:val="18"/>
          <w:szCs w:val="18"/>
          <w:color w:val="auto"/>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filing of a lawsuit against us, regardless of the outcome, could have a negative effect on our business, as it could result in substantial legal costs and a diversion of management’s attention and resources.</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126" w:right="29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misleading or unfavorable research about our business, our common share price and trading volume could decline.</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Sarbanes-Oxley could have a material adverse effect on our business and common share price.</w:t>
      </w:r>
    </w:p>
    <w:p>
      <w:pPr>
        <w:spacing w:after="0" w:line="62" w:lineRule="exact"/>
        <w:rPr>
          <w:sz w:val="20"/>
          <w:szCs w:val="20"/>
          <w:color w:val="auto"/>
        </w:rPr>
      </w:pPr>
    </w:p>
    <w:p>
      <w:pPr>
        <w:ind w:right="80" w:firstLine="351"/>
        <w:spacing w:after="0" w:line="342" w:lineRule="auto"/>
        <w:rPr>
          <w:sz w:val="20"/>
          <w:szCs w:val="20"/>
          <w:color w:val="auto"/>
        </w:rPr>
      </w:pPr>
      <w:r>
        <w:rPr>
          <w:rFonts w:ascii="Arial" w:cs="Arial" w:eastAsia="Arial" w:hAnsi="Arial"/>
          <w:sz w:val="16"/>
          <w:szCs w:val="16"/>
          <w:color w:val="auto"/>
        </w:rPr>
        <w:t>As a public company with SEC reporting obligations, we are required to document and test our internal control procedures to satisfy the requirements of Section 404(b) of Sarbanes-Oxley, which require annual assessments by management of the effectiveness of our internal control over financial reporting.</w:t>
      </w:r>
    </w:p>
    <w:p>
      <w:pPr>
        <w:spacing w:after="0" w:line="16" w:lineRule="exact"/>
        <w:rPr>
          <w:sz w:val="20"/>
          <w:szCs w:val="20"/>
          <w:color w:val="auto"/>
        </w:rPr>
      </w:pPr>
    </w:p>
    <w:p>
      <w:pPr>
        <w:ind w:firstLine="351"/>
        <w:spacing w:after="0" w:line="271" w:lineRule="auto"/>
        <w:rPr>
          <w:sz w:val="20"/>
          <w:szCs w:val="20"/>
          <w:color w:val="auto"/>
        </w:rPr>
      </w:pPr>
      <w:r>
        <w:rPr>
          <w:rFonts w:ascii="Arial" w:cs="Arial" w:eastAsia="Arial" w:hAnsi="Arial"/>
          <w:sz w:val="17"/>
          <w:szCs w:val="17"/>
          <w:color w:val="auto"/>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share listing on the NASDAQ Stock Market to be suspended or terminated, which could have a negative effect on the trading price of our common shares.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bye-laws permit non-employee members of our board of directors and their affiliates to compete with us, which may result in conflicts of interest.</w:t>
      </w:r>
    </w:p>
    <w:p>
      <w:pPr>
        <w:spacing w:after="0" w:line="14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Bryan Martin, a Class I director of the Company, is an officer of D. E. Shaw &amp; Co., L.P. and its affiliates (collectively, “D. E. Shaw”). D. E. Shaw is a global investment and technology development firm, which among other things, is in the business of making investments in companies. Our bye-laws will not restrict our non-employee directors, or their affiliates, including D. E. Shaw, from acquiring and holding interests in businesses that compete directly or indirectly with us. For example, D. E. Shaw is currently engaged in the reinsurance business. Our non-employee directors and their affiliates, including D. E. Shaw,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spacing w:after="0" w:line="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62" w:lineRule="exact"/>
        <w:rPr>
          <w:sz w:val="20"/>
          <w:szCs w:val="20"/>
          <w:color w:val="auto"/>
        </w:rPr>
      </w:pPr>
    </w:p>
    <w:p>
      <w:pPr>
        <w:ind w:right="60" w:firstLine="351"/>
        <w:spacing w:after="0" w:line="297" w:lineRule="auto"/>
        <w:rPr>
          <w:sz w:val="20"/>
          <w:szCs w:val="20"/>
          <w:color w:val="auto"/>
        </w:rPr>
      </w:pPr>
      <w:r>
        <w:rPr>
          <w:rFonts w:ascii="Arial" w:cs="Arial" w:eastAsia="Arial" w:hAnsi="Arial"/>
          <w:sz w:val="16"/>
          <w:szCs w:val="16"/>
          <w:color w:val="auto"/>
        </w:rPr>
        <w:t>We are a holding company that has no substantial operations of our own and,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its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50" w:lineRule="exact"/>
        <w:rPr>
          <w:sz w:val="20"/>
          <w:szCs w:val="20"/>
          <w:color w:val="auto"/>
        </w:rPr>
      </w:pPr>
    </w:p>
    <w:p>
      <w:pPr>
        <w:ind w:firstLine="351"/>
        <w:spacing w:after="0" w:line="276"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Moreover, as a condition to obtaining its license in California, Falls Lake Fire and Casualty Company provided a commitment to the California Department of Insurance that it would not pay any shareholder dividends for a five-year period commencing January 1, 2016 without prior written approval. In addition, insurance regulators have broad powers to prevent reduction of statutory surplus to inadequate levels and could refuse to permit the payment of dividends calculated under any applicable formula. See “Business—Regulation—U.S. Insurance Regulation—State Regulation” for more information. In addition, dividends paid by our U.S. subsidiaries to our U.K. holding company are subject to a 5% withholding tax by the IRS. Under U.K. domestic law, no withholding tax is applied to dividends paid by U.K. tax resident companies.</w:t>
      </w:r>
    </w:p>
    <w:p>
      <w:pPr>
        <w:spacing w:after="0" w:line="6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$161.4 million as of December 31, 2019. See “Business—Regulation —Bermuda Insurance Regulation—Minimum Solvency Margin and Enhanced Capital Requirements” for more information.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 See “Business— Regulation—Bermuda Insurance Regulation—Restrictions on Dividends and Distributions” for more information.</w:t>
      </w:r>
    </w:p>
    <w:p>
      <w:pPr>
        <w:spacing w:after="0" w:line="67"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declare or pay dividends on our common shares in the future.</w:t>
      </w:r>
    </w:p>
    <w:p>
      <w:pPr>
        <w:spacing w:after="0" w:line="11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have paid dividends to our shareholders in each quarter since the first quarter of 2015, which was the first full quarter after completion of our IPO. The declaration, payment and amount of future dividends is subject to the discretion of our board of directors.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 See also “Item 5. Market For Registrant’s Common Equity, Related Stockholder Matters and Issuer Purchases Of Equity Securities - Dividends.” We cannot assure you that we will continue to pay dividends in the future, or that the amount of any such dividend will not decline from prior dividends we have paid.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our U.S. subsidiaries to James River UK may not be eligible for benefits under the U.S.-U.K. income tax treaty.</w:t>
      </w:r>
    </w:p>
    <w:p>
      <w:pPr>
        <w:spacing w:after="0" w:line="117" w:lineRule="exact"/>
        <w:rPr>
          <w:sz w:val="20"/>
          <w:szCs w:val="20"/>
          <w:color w:val="auto"/>
        </w:rPr>
      </w:pPr>
    </w:p>
    <w:p>
      <w:pPr>
        <w:ind w:firstLine="351"/>
        <w:spacing w:after="0" w:line="257" w:lineRule="auto"/>
        <w:rPr>
          <w:sz w:val="20"/>
          <w:szCs w:val="20"/>
          <w:color w:val="auto"/>
        </w:rPr>
      </w:pPr>
      <w:r>
        <w:rPr>
          <w:rFonts w:ascii="Arial" w:cs="Arial" w:eastAsia="Arial" w:hAnsi="Arial"/>
          <w:sz w:val="18"/>
          <w:szCs w:val="18"/>
          <w:color w:val="auto"/>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Inc., our U.S. holding company, to James River UK would be subject to the 30% withholding tax. Such a result would substantially reduce the amount of dividends that our shareholder may receive.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Future sales of our common shares, or the possibility of such sales, may cause the trading price of our common shares to decline and could impair our ability to raise capital through subsequent equity offerings.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spacing w:after="0" w:line="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spacing w:after="0" w:line="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bye-laws and provisions of Bermuda law may impede or discourage a change of control transaction, which could deprive our investors of the opportunity to receive a premium for their shares.</w:t>
      </w:r>
    </w:p>
    <w:p>
      <w:pPr>
        <w:spacing w:after="0" w:line="62"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spacing w:after="0" w:line="100" w:lineRule="exact"/>
        <w:rPr>
          <w:sz w:val="20"/>
          <w:szCs w:val="20"/>
          <w:color w:val="auto"/>
        </w:rPr>
      </w:pPr>
    </w:p>
    <w:p>
      <w:pPr>
        <w:ind w:left="660" w:right="300" w:hanging="328"/>
        <w:spacing w:after="0" w:line="37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total voting power of any U.S. person owning more than 9.5% of our common shares will be reduced to 9.5% of the total voting power of our common shares, excluding shareholders that held more than 9.5% of our common shares on the day of completion of our IPO;</w:t>
      </w: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preferred shares without shareholder approval, which could be used to dilute the ownership of a potential hostile acquirer;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shareholders may only remove directors for cause;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are advance notice requirements for shareholders with respect to director nominations and actions to be taken at annual meetings; and</w:t>
      </w:r>
    </w:p>
    <w:p>
      <w:pPr>
        <w:spacing w:after="0" w:line="142" w:lineRule="exact"/>
        <w:rPr>
          <w:rFonts w:ascii="Arial" w:cs="Arial" w:eastAsia="Arial" w:hAnsi="Arial"/>
          <w:sz w:val="17"/>
          <w:szCs w:val="17"/>
          <w:color w:val="auto"/>
        </w:rPr>
      </w:pPr>
    </w:p>
    <w:p>
      <w:pPr>
        <w:ind w:left="660" w:right="160" w:hanging="328"/>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Bermuda law, for so long as JRG Re and Carolina Re are registered under the Insurance Act, the BMA may object to a person holding more than 10%, 20%, 33% or 50% of our common shares if it appears to the BMA that the person is not or is no longer fit and proper to be such a holder (See “— There are regulatory limitations on the ownership and transfer of our common shares.” risk factor herein).</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factors could impede a merger, takeover or other business combination, which could reduce the market value of our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your common shares without your consent.</w:t>
      </w:r>
    </w:p>
    <w:p>
      <w:pPr>
        <w:spacing w:after="0" w:line="117" w:lineRule="exact"/>
        <w:rPr>
          <w:sz w:val="20"/>
          <w:szCs w:val="20"/>
          <w:color w:val="auto"/>
        </w:rPr>
      </w:pPr>
    </w:p>
    <w:p>
      <w:pPr>
        <w:ind w:right="140" w:firstLine="351"/>
        <w:spacing w:after="0" w:line="302" w:lineRule="auto"/>
        <w:rPr>
          <w:sz w:val="20"/>
          <w:szCs w:val="20"/>
          <w:color w:val="auto"/>
        </w:rPr>
      </w:pPr>
      <w:r>
        <w:rPr>
          <w:rFonts w:ascii="Arial" w:cs="Arial" w:eastAsia="Arial" w:hAnsi="Arial"/>
          <w:sz w:val="16"/>
          <w:szCs w:val="16"/>
          <w:color w:val="auto"/>
        </w:rPr>
        <w:t>Under our bye-laws and subject to Bermuda law, we have the option, but not the obligation, to require a shareholder, other than shareholders holding more than 9.5% of our common shares on the day of completion of our IPO,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law differs from the laws in effect in the United States and may afford less protection to holders of our shares.</w:t>
      </w:r>
    </w:p>
    <w:p>
      <w:pPr>
        <w:spacing w:after="0" w:line="117" w:lineRule="exact"/>
        <w:rPr>
          <w:sz w:val="20"/>
          <w:szCs w:val="20"/>
          <w:color w:val="auto"/>
        </w:rPr>
      </w:pPr>
    </w:p>
    <w:p>
      <w:pPr>
        <w:ind w:right="120" w:firstLine="351"/>
        <w:spacing w:after="0" w:line="269" w:lineRule="auto"/>
        <w:rPr>
          <w:sz w:val="20"/>
          <w:szCs w:val="20"/>
          <w:color w:val="auto"/>
        </w:rPr>
      </w:pPr>
      <w:r>
        <w:rPr>
          <w:rFonts w:ascii="Arial" w:cs="Arial" w:eastAsia="Arial" w:hAnsi="Arial"/>
          <w:sz w:val="17"/>
          <w:szCs w:val="17"/>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spacing w:after="0" w:line="7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shareholder has waived any claim or right of action against our directors or officers for any action taken by directors or officers in the performance of their duties, except for actions involving fraud or dishonesty.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11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spacing w:after="0" w:line="84"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Insurance Act requires that where the shares of the registered insurer, or the shares of its parent company, are traded on a recognized stock exchange, and a person becomes a 10%, 20%, 33% or 50% shareholder controller of the insurer, that person shall, within 45 days, notify the BMA in writing that he has become such a controller. In addition, a person who is a shareholder controller of a Class 3A or Class 3B insurer whose shares or the shares of its parent company (if any) are traded on a recognized stock exchange must serve on the BMA a notice in writing that he has reduced or disposed of his holding in the insurer where the proportion of voting rights in the insurer held by him will have reached or has fallen below 10%, 20%, 33% or 50% as the case may be, not later than 45 days after such disposal. This requirement will apply to us as long as our shares are listed on the NASDAQ Stock Market or another stock exchange recognized by the BMA. The BMA may, by written notice, object to a person holding 10%, 20%, 33% or 50% of our common shares if it appears to the BMA that the person is not fit and proper to be such a holder. The BMA may require the holder to reduce its shareholding in us and may direct, among other things, that the voting rights attaching to its shares shall not be exercisable. A person that does not comply with such a notice or direction from the BMA will be guilty of an offense.</w:t>
      </w:r>
    </w:p>
    <w:p>
      <w:pPr>
        <w:spacing w:after="0" w:line="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JRG Re and Carolina Re are also required to notify the BMA in writing in the event any person has become or has ceased to be a controller or an officer of it (an officer includes a director, chief executive or senior executive performing duties of underwriting, actuarial, risk management, compliance, internal audit, finance or investment matters).</w:t>
      </w:r>
    </w:p>
    <w:p>
      <w:pPr>
        <w:spacing w:after="0" w:line="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spacing w:after="0" w:line="8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In addition to insurance holding company laws and regulations, under the Organizational Permit issued by the California Department of Insurance to Falls Lake Fire and Casualty Company, Falls Lake Fire and Casualty Company, as a new insurer, was required to enter into an agreement with Falls Lake National restricting the transfer of Falls Lake Fire and Casualty Company’s shares for a five-year period commencing January 1, 2016. Specifically, under the agreement, the restriction on share transfer is released automatically without further approval or consent by the California Department of Insurance, or any other party, at the following respective times: 5% at the end of the first year of the 5-year restriction period; an additional 5% at the end of the second year; an additional 10% at the end of the third year; an additional 20% at the end of the fourth year; and the remainder at the end of the fifth year. Therefore, under the Organizational Permit and the Agreement Restricting Shares, Falls Lake National’s ability to directly or indirectly transfer the shares of Falls Lake Fire and Casualty Company to anyone without the prior written approval of the California Department of Insurance is limited. These laws and the similar conditions applicable to Falls Lake Fire and Casualty Company’s shares may discourage potential acquisition proposals and may delay, deter or prevent an investment in or a change of control involving us, or one or more of our regulated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lease office space in Bermuda, where our principal executive office is located and our casualty reinsurance segment is based. We also lease offices in</w:t>
      </w:r>
    </w:p>
    <w:p>
      <w:pPr>
        <w:spacing w:after="0" w:line="46" w:lineRule="exact"/>
        <w:rPr>
          <w:sz w:val="20"/>
          <w:szCs w:val="20"/>
          <w:color w:val="auto"/>
        </w:rPr>
      </w:pPr>
    </w:p>
    <w:p>
      <w:pPr>
        <w:jc w:val="both"/>
        <w:ind w:firstLine="8"/>
        <w:spacing w:after="0" w:line="25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pacing w:after="0" w:line="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00" w:firstLine="351"/>
        <w:spacing w:after="0" w:line="308" w:lineRule="auto"/>
        <w:rPr>
          <w:sz w:val="20"/>
          <w:szCs w:val="20"/>
          <w:color w:val="auto"/>
        </w:rPr>
      </w:pPr>
      <w:r>
        <w:rPr>
          <w:rFonts w:ascii="Arial" w:cs="Arial" w:eastAsia="Arial" w:hAnsi="Arial"/>
          <w:sz w:val="17"/>
          <w:szCs w:val="17"/>
          <w:color w:val="auto"/>
        </w:rPr>
        <w:t>We are party to legal proceedings which arise in the ordinary course of business. We believe that the outcome of such matters, individually and in the aggregate, will not have a material adverse effect on our consolidated financial position, results of operations or cash flows.</w:t>
      </w:r>
    </w:p>
    <w:p>
      <w:pPr>
        <w:spacing w:after="0" w:line="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6" w:right="25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980" w:right="240" w:hanging="971"/>
        <w:spacing w:after="0" w:line="344"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firstLine="351"/>
        <w:spacing w:after="0" w:line="308" w:lineRule="auto"/>
        <w:rPr>
          <w:sz w:val="20"/>
          <w:szCs w:val="20"/>
          <w:color w:val="auto"/>
        </w:rPr>
      </w:pPr>
      <w:r>
        <w:rPr>
          <w:rFonts w:ascii="Arial" w:cs="Arial" w:eastAsia="Arial" w:hAnsi="Arial"/>
          <w:sz w:val="17"/>
          <w:szCs w:val="17"/>
          <w:color w:val="auto"/>
        </w:rPr>
        <w:t>Our common shares began trading on the NASDAQ Global Select Market under the symbol “JRVR” on December 12, 2014. Prior to that time, there was no public market for our common shares. As of February 25, 2020, there were approximately 8 holders of record of our common shares.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We paid dividends of $0.30 per share in each quarter of 2019, 2018 and 2017. We also paid a special dividend of $0.50 per share in the fourth quarter of 2017.</w:t>
      </w:r>
    </w:p>
    <w:p>
      <w:pPr>
        <w:spacing w:after="0" w:line="62" w:lineRule="exact"/>
        <w:rPr>
          <w:sz w:val="20"/>
          <w:szCs w:val="20"/>
          <w:color w:val="auto"/>
        </w:rPr>
      </w:pPr>
    </w:p>
    <w:p>
      <w:pPr>
        <w:ind w:right="20" w:firstLine="351"/>
        <w:spacing w:after="0" w:line="270" w:lineRule="auto"/>
        <w:rPr>
          <w:sz w:val="20"/>
          <w:szCs w:val="20"/>
          <w:color w:val="auto"/>
        </w:rPr>
      </w:pPr>
      <w:r>
        <w:rPr>
          <w:rFonts w:ascii="Arial" w:cs="Arial" w:eastAsia="Arial" w:hAnsi="Arial"/>
          <w:sz w:val="17"/>
          <w:szCs w:val="17"/>
          <w:color w:val="auto"/>
        </w:rPr>
        <w:t>We are a holding company that has no substantial operations of our own, and we rely primarily on cash dividends or distributions from our subsidiaries to pay our operating expenses and dividends to shareholders. The payment of dividends by our insurance and reinsurance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“Risk Factors — Risks Related to Ownership of Our Common Shares—We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spacing w:after="0" w:line="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The declaration, payment and amount of future dividends is subject to the discretion of our board of directors. Our board of directors will give consideration to various risks and uncertainties, including those discussed under the headings “Risk Factors” and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(5) the effect of a dividend or dividends upon our financial strength ratings and (6) any other factors that our board of directors deems relevant.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80" w:firstLine="351"/>
        <w:spacing w:after="0" w:line="276" w:lineRule="auto"/>
        <w:rPr>
          <w:sz w:val="20"/>
          <w:szCs w:val="20"/>
          <w:color w:val="auto"/>
        </w:rPr>
      </w:pPr>
      <w:r>
        <w:rPr>
          <w:rFonts w:ascii="Arial" w:cs="Arial" w:eastAsia="Arial" w:hAnsi="Arial"/>
          <w:sz w:val="17"/>
          <w:szCs w:val="17"/>
          <w:color w:val="auto"/>
        </w:rPr>
        <w:t>The graph below compares the cumulative 5-Year total shareholder return of our common shares relative to the cumulative total returns of the Russell 2000 index and a selected peer group of six companies that includes Amerisafe Inc., Argo Group International Holdings Ltd, Kinsale Capital Group Inc., Markel Corp, RLI Corp and W. R. Berkley Corp. The companies in the peer group are weighted by market capitalization. The calculation of cumulative total shareholder return assumes an initial investment of $100 and the reinvestment of all dividends, if any, for the period from December 31, 2014 through December 31, 2019. Such returns are based on historical results and are not intended to suggest future performance.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6" w:right="25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145415</wp:posOffset>
            </wp:positionV>
            <wp:extent cx="5848985" cy="4579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4560" w:type="dxa"/>
            <w:vAlign w:val="bottom"/>
            <w:gridSpan w:val="7"/>
          </w:tcPr>
          <w:p>
            <w:pPr>
              <w:ind w:left="660"/>
              <w:spacing w:after="0"/>
              <w:rPr>
                <w:sz w:val="20"/>
                <w:szCs w:val="20"/>
                <w:color w:val="auto"/>
              </w:rPr>
            </w:pPr>
            <w:r>
              <w:rPr>
                <w:rFonts w:ascii="Arial" w:cs="Arial" w:eastAsia="Arial" w:hAnsi="Arial"/>
                <w:sz w:val="14"/>
                <w:szCs w:val="14"/>
                <w:color w:val="auto"/>
                <w:w w:val="98"/>
              </w:rPr>
              <w:t>Copyright© 2020 Russell Investment Group. All rights reserved.</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506"/>
        </w:trPr>
        <w:tc>
          <w:tcPr>
            <w:tcW w:w="3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12/14</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12/15</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12/16</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12/17</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12/18</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12/19</w:t>
            </w: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River Group Holdings, Ltd.</w:t>
            </w:r>
          </w:p>
        </w:tc>
        <w:tc>
          <w:tcPr>
            <w:tcW w:w="1960" w:type="dxa"/>
            <w:vAlign w:val="bottom"/>
            <w:tcBorders>
              <w:bottom w:val="single" w:sz="8" w:color="CCEEFF"/>
            </w:tcBorders>
            <w:gridSpan w:val="2"/>
            <w:shd w:val="clear" w:color="auto" w:fill="CCEEFF"/>
          </w:tcPr>
          <w:p>
            <w:pPr>
              <w:jc w:val="center"/>
              <w:ind w:left="734"/>
              <w:spacing w:after="0"/>
              <w:rPr>
                <w:sz w:val="20"/>
                <w:szCs w:val="20"/>
                <w:color w:val="auto"/>
              </w:rPr>
            </w:pPr>
            <w:r>
              <w:rPr>
                <w:rFonts w:ascii="Arial" w:cs="Arial" w:eastAsia="Arial" w:hAnsi="Arial"/>
                <w:sz w:val="18"/>
                <w:szCs w:val="18"/>
                <w:color w:val="auto"/>
                <w:w w:val="90"/>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155.85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205.96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194.10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224.92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Russell 2000</w:t>
            </w:r>
          </w:p>
        </w:tc>
        <w:tc>
          <w:tcPr>
            <w:tcW w:w="1960" w:type="dxa"/>
            <w:vAlign w:val="bottom"/>
            <w:gridSpan w:val="2"/>
          </w:tcPr>
          <w:p>
            <w:pPr>
              <w:jc w:val="center"/>
              <w:ind w:left="734"/>
              <w:spacing w:after="0"/>
              <w:rPr>
                <w:sz w:val="20"/>
                <w:szCs w:val="20"/>
                <w:color w:val="auto"/>
              </w:rPr>
            </w:pPr>
            <w:r>
              <w:rPr>
                <w:rFonts w:ascii="Arial" w:cs="Arial" w:eastAsia="Arial" w:hAnsi="Arial"/>
                <w:sz w:val="18"/>
                <w:szCs w:val="18"/>
                <w:color w:val="auto"/>
                <w:w w:val="90"/>
              </w:rPr>
              <w:t>100.00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95.59</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115.95</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132.94</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118.30</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148.49</w:t>
            </w:r>
          </w:p>
        </w:tc>
      </w:tr>
      <w:tr>
        <w:trPr>
          <w:trHeight w:val="27"/>
        </w:trPr>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960" w:type="dxa"/>
            <w:vAlign w:val="bottom"/>
            <w:gridSpan w:val="2"/>
            <w:shd w:val="clear" w:color="auto" w:fill="CCEEFF"/>
          </w:tcPr>
          <w:p>
            <w:pPr>
              <w:jc w:val="center"/>
              <w:ind w:left="734"/>
              <w:spacing w:after="0"/>
              <w:rPr>
                <w:sz w:val="20"/>
                <w:szCs w:val="20"/>
                <w:color w:val="auto"/>
              </w:rPr>
            </w:pPr>
            <w:r>
              <w:rPr>
                <w:rFonts w:ascii="Arial" w:cs="Arial" w:eastAsia="Arial" w:hAnsi="Arial"/>
                <w:sz w:val="18"/>
                <w:szCs w:val="18"/>
                <w:color w:val="auto"/>
                <w:w w:val="90"/>
              </w:rPr>
              <w:t>100.00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121.97</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136.11</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157.61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159.04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198.35</w:t>
            </w:r>
          </w:p>
        </w:tc>
      </w:tr>
      <w:tr>
        <w:trPr>
          <w:trHeight w:val="27"/>
        </w:trPr>
        <w:tc>
          <w:tcPr>
            <w:tcW w:w="3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6" w:right="29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ind w:right="80" w:firstLine="351"/>
        <w:spacing w:after="0" w:line="312" w:lineRule="auto"/>
        <w:rPr>
          <w:sz w:val="20"/>
          <w:szCs w:val="20"/>
          <w:color w:val="auto"/>
        </w:rPr>
      </w:pPr>
      <w:r>
        <w:rPr>
          <w:rFonts w:ascii="Arial" w:cs="Arial" w:eastAsia="Arial" w:hAnsi="Arial"/>
          <w:sz w:val="16"/>
          <w:szCs w:val="16"/>
          <w:color w:val="auto"/>
        </w:rPr>
        <w:t>The following tables present selected historical financial information of James River Group Holdings, Ltd. derived from our consolidated balance sheets as of December 31, 2019, 2018, 2017, 2016 and 2015, and the related consolidated statements of income and comprehensive income, changes in shareholders’ equity and cash flows for each of the five years in the period ended December 31, 2019, which have been audited by Ernst &amp; Young LLP.</w:t>
      </w:r>
    </w:p>
    <w:p>
      <w:pPr>
        <w:spacing w:after="0" w:line="39" w:lineRule="exact"/>
        <w:rPr>
          <w:sz w:val="20"/>
          <w:szCs w:val="20"/>
          <w:color w:val="auto"/>
        </w:rPr>
      </w:pPr>
    </w:p>
    <w:p>
      <w:pPr>
        <w:ind w:right="120" w:firstLine="351"/>
        <w:spacing w:after="0" w:line="342" w:lineRule="auto"/>
        <w:rPr>
          <w:sz w:val="20"/>
          <w:szCs w:val="20"/>
          <w:color w:val="auto"/>
        </w:rPr>
      </w:pPr>
      <w:r>
        <w:rPr>
          <w:rFonts w:ascii="Arial" w:cs="Arial" w:eastAsia="Arial" w:hAnsi="Arial"/>
          <w:sz w:val="16"/>
          <w:szCs w:val="16"/>
          <w:color w:val="auto"/>
        </w:rPr>
        <w:t>You should read this selected financial data along with the consolidated financial statements and accompanying notes included elsewhere in this Annual Report, as well as the section of this Annual Report titled “Management’s Discussion and Analysis of Financial Condition and Results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20" w:type="dxa"/>
            <w:vAlign w:val="bottom"/>
            <w:gridSpan w:val="10"/>
          </w:tcPr>
          <w:p>
            <w:pPr>
              <w:jc w:val="center"/>
              <w:ind w:right="420"/>
              <w:spacing w:after="0"/>
              <w:rPr>
                <w:sz w:val="20"/>
                <w:szCs w:val="20"/>
                <w:color w:val="auto"/>
              </w:rPr>
            </w:pPr>
            <w:r>
              <w:rPr>
                <w:rFonts w:ascii="Arial" w:cs="Arial" w:eastAsia="Arial" w:hAnsi="Arial"/>
                <w:sz w:val="14"/>
                <w:szCs w:val="14"/>
                <w:b w:val="1"/>
                <w:bCs w:val="1"/>
                <w:i w:val="1"/>
                <w:iCs w:val="1"/>
                <w:color w:val="auto"/>
                <w:w w:val="88"/>
              </w:rPr>
              <w:t>($ in thousands, except for per share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Gross written premiums</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1,470,735</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1,166,773</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1,081,905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737,398</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572,194</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Ceded written premiums</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(574,585)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(404,101)</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(315,279)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(101,162)</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written premiums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896,150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762,672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766,626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557,708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471,032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823,746</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815,398</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741,109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515,663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461,205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61,119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52,638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44,835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realized investment (losses) gains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817,625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504,921</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672,102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600,276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555,377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325,421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279,016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157,803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762,480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445,145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55,145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79,343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38,339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63,830</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43,566</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74,471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53,497</w:t>
            </w: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Adjusted net operating income</w:t>
            </w:r>
            <w:r>
              <w:rPr>
                <w:rFonts w:ascii="Arial" w:cs="Arial" w:eastAsia="Arial" w:hAnsi="Arial"/>
                <w:sz w:val="25"/>
                <w:szCs w:val="25"/>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42,934</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70,596</w:t>
            </w:r>
          </w:p>
        </w:tc>
        <w:tc>
          <w:tcPr>
            <w:tcW w:w="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47,385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61,090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outstanding - diluted</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30,673,924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30,307,101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30,273,149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29,894,378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29,334,918</w:t>
            </w:r>
          </w:p>
        </w:tc>
        <w:tc>
          <w:tcPr>
            <w:tcW w:w="0" w:type="dxa"/>
            <w:vAlign w:val="bottom"/>
          </w:tcPr>
          <w:p>
            <w:pPr>
              <w:spacing w:after="0"/>
              <w:rPr>
                <w:sz w:val="1"/>
                <w:szCs w:val="1"/>
                <w:color w:val="auto"/>
              </w:rPr>
            </w:pPr>
          </w:p>
        </w:tc>
      </w:tr>
      <w:tr>
        <w:trPr>
          <w:trHeight w:val="567"/>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65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color w:val="auto"/>
                <w:w w:val="93"/>
              </w:rPr>
              <w:t>At or for the Year Ended December 31,</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0" w:type="dxa"/>
            <w:vAlign w:val="bottom"/>
            <w:gridSpan w:val="5"/>
          </w:tcPr>
          <w:p>
            <w:pPr>
              <w:jc w:val="center"/>
              <w:ind w:right="231"/>
              <w:spacing w:after="0"/>
              <w:rPr>
                <w:sz w:val="20"/>
                <w:szCs w:val="20"/>
                <w:color w:val="auto"/>
              </w:rPr>
            </w:pPr>
            <w:r>
              <w:rPr>
                <w:rFonts w:ascii="Arial" w:cs="Arial" w:eastAsia="Arial" w:hAnsi="Arial"/>
                <w:sz w:val="14"/>
                <w:szCs w:val="14"/>
                <w:b w:val="1"/>
                <w:bCs w:val="1"/>
                <w:i w:val="1"/>
                <w:iCs w:val="1"/>
                <w:color w:val="auto"/>
                <w:w w:val="88"/>
              </w:rPr>
              <w:t>($ in thousands, except for per share amounts and ratios)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Cash and invested assets</w:t>
            </w:r>
            <w:r>
              <w:rPr>
                <w:rFonts w:ascii="Arial" w:cs="Arial" w:eastAsia="Arial" w:hAnsi="Arial"/>
                <w:sz w:val="25"/>
                <w:szCs w:val="25"/>
                <w:color w:val="auto"/>
                <w:vertAlign w:val="superscript"/>
              </w:rPr>
              <w:t>(11)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2,200,272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1,850,303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1,611,149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w w:val="94"/>
              </w:rPr>
              <w:t>1,442,114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1,350,697</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701,266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485,715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313,816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185,614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143,086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Goodwill and intangible assets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218,771</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219,368</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220,165</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220,762</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221,359</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5,024,405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3,136,776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2,756,695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4"/>
              </w:rPr>
              <w:t>2,346,533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2,055,497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6"/>
              </w:rPr>
              <w:t>Reserve for losses and loss adjustment expenses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2,045,506</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1,661,459</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1,292,349</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943,865</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785,322</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524,377</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386,473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418,114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390,563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301,104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158,300</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118,300</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98,300</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88,300</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88,300</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104,055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104,055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104,055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4,245,824</w:t>
            </w:r>
          </w:p>
        </w:tc>
        <w:tc>
          <w:tcPr>
            <w:tcW w:w="38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2,427,535</w:t>
            </w:r>
          </w:p>
        </w:tc>
        <w:tc>
          <w:tcPr>
            <w:tcW w:w="38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2,061,996</w:t>
            </w:r>
          </w:p>
        </w:tc>
        <w:tc>
          <w:tcPr>
            <w:tcW w:w="50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w w:val="94"/>
              </w:rPr>
              <w:t>1,653,312</w:t>
            </w: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1,374,459</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778,581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709,241</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694,699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693,221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681,038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GAAP Underwriting Ratios: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(6)</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Combined ratio</w:t>
            </w:r>
            <w:r>
              <w:rPr>
                <w:rFonts w:ascii="Arial" w:cs="Arial" w:eastAsia="Arial" w:hAnsi="Arial"/>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Tangible equity</w:t>
            </w:r>
            <w:r>
              <w:rPr>
                <w:rFonts w:ascii="Arial" w:cs="Arial" w:eastAsia="Arial" w:hAnsi="Arial"/>
                <w:sz w:val="25"/>
                <w:szCs w:val="25"/>
                <w:color w:val="auto"/>
                <w:vertAlign w:val="superscript"/>
              </w:rPr>
              <w:t>(8)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559,810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489,873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474,534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472,459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459,679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Tangible equity per common share outstanding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18.40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16.34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15.98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16.15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15.88</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Debt to total capitalization ratio</w:t>
            </w:r>
            <w:r>
              <w:rPr>
                <w:rFonts w:ascii="Arial" w:cs="Arial" w:eastAsia="Arial" w:hAnsi="Arial"/>
                <w:sz w:val="25"/>
                <w:szCs w:val="25"/>
                <w:color w:val="auto"/>
                <w:vertAlign w:val="superscript"/>
              </w:rPr>
              <w:t>(9)</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Regulatory capital and surplus</w:t>
            </w:r>
            <w:r>
              <w:rPr>
                <w:rFonts w:ascii="Arial" w:cs="Arial" w:eastAsia="Arial" w:hAnsi="Arial"/>
                <w:sz w:val="25"/>
                <w:szCs w:val="25"/>
                <w:color w:val="auto"/>
                <w:vertAlign w:val="superscript"/>
              </w:rPr>
              <w:t>(10)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769,363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681,161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628,877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605,298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601,436</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written premiums to shareholders' equity</w:t>
            </w:r>
            <w:r>
              <w:rPr>
                <w:rFonts w:ascii="Arial" w:cs="Arial" w:eastAsia="Arial" w:hAnsi="Arial"/>
                <w:sz w:val="18"/>
                <w:szCs w:val="18"/>
                <w:color w:val="auto"/>
                <w:vertAlign w:val="superscript"/>
              </w:rPr>
              <w:t>(3)</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1.2x</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1.1x</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1.1x</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0.8x</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835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right="160" w:hanging="332"/>
        <w:spacing w:after="0" w:line="34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received or to be received for insurance policies written or assumed by us during a specific period of time without reduction for acquisition costs, reinsurance costs or other deductions.</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written premiums ceded to (reinsured by) other insurers.</w:t>
      </w:r>
    </w:p>
    <w:p>
      <w:pPr>
        <w:spacing w:after="0" w:line="157" w:lineRule="exact"/>
        <w:rPr>
          <w:rFonts w:ascii="Arial" w:cs="Arial" w:eastAsia="Arial" w:hAnsi="Arial"/>
          <w:sz w:val="18"/>
          <w:szCs w:val="18"/>
          <w:color w:val="auto"/>
        </w:rPr>
      </w:pPr>
    </w:p>
    <w:p>
      <w:pPr>
        <w:ind w:left="340" w:right="960" w:hanging="332"/>
        <w:spacing w:after="0" w:line="34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believe this measure is useful in evaluating our operating leverage. It may not be comparable to the definition of net written premiums to shareholders' equity for other companies.</w:t>
      </w:r>
    </w:p>
    <w:p>
      <w:pPr>
        <w:spacing w:after="0" w:line="21" w:lineRule="exact"/>
        <w:rPr>
          <w:rFonts w:ascii="Arial" w:cs="Arial" w:eastAsia="Arial" w:hAnsi="Arial"/>
          <w:sz w:val="18"/>
          <w:szCs w:val="18"/>
          <w:color w:val="auto"/>
        </w:rPr>
      </w:pPr>
    </w:p>
    <w:p>
      <w:pPr>
        <w:ind w:left="340" w:right="80" w:hanging="332"/>
        <w:spacing w:after="0" w:line="270"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net operating income is a non-GAAP measure. We define adjusted net operating income as net income excluding net realized and unrealized gains and losses on investments, expenses related to due diligence costs for various merger and acquisition activities, severance costs associated with terminated employees, impairment charges on goodwill and intangible assets, gains on extinguishment of debt, expenses on a leased building we were previously deemed to own for accounting purposes, and professional services and other expenses associated with securities offerings and the payment of special dividends.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in accordance with GAAP. See “Management’s Discussion and Analysis of Financial Condition and Results of Operations—Reconciliation of Non-GAAP Measures” for a reconciliation of adjusted net operating income to net income in accordance with GAAP.</w:t>
      </w:r>
    </w:p>
    <w:p>
      <w:pPr>
        <w:spacing w:after="0" w:line="114"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loss ratio is the ratio, expressed as a percentage, of losses and loss adjustment expenses to net earned premiums, net of the effects of reinsurance.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 ratio is the ratio, expressed as a percentage, of other operating expenses to net earned premiums.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42" w:lineRule="exact"/>
        <w:rPr>
          <w:sz w:val="20"/>
          <w:szCs w:val="20"/>
          <w:color w:val="auto"/>
        </w:rPr>
      </w:pPr>
    </w:p>
    <w:p>
      <w:pPr>
        <w:ind w:left="340" w:right="660" w:hanging="332"/>
        <w:spacing w:after="0" w:line="34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combined ratio is the sum of the loss ratio and the expense ratio. A combined ratio under 100% generally indicates an underwriting profit. A combined ratio over 100% generally indicates an underwriting loss.</w:t>
      </w:r>
    </w:p>
    <w:p>
      <w:pPr>
        <w:spacing w:after="0" w:line="48" w:lineRule="exact"/>
        <w:rPr>
          <w:rFonts w:ascii="Arial" w:cs="Arial" w:eastAsia="Arial" w:hAnsi="Arial"/>
          <w:sz w:val="18"/>
          <w:szCs w:val="18"/>
          <w:color w:val="auto"/>
        </w:rPr>
      </w:pPr>
    </w:p>
    <w:p>
      <w:pPr>
        <w:jc w:val="both"/>
        <w:ind w:left="340" w:right="140" w:hanging="332"/>
        <w:spacing w:after="0" w:line="344"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Tangible equity is shareholders’ equity less goodwill and intangible assets. Tangible equity should not be viewed as a substitute for shareholders’ equity calculated in accordance with GAAP. See “Management’s Discussion and Analysis of Financial Condition and Results of Operations — Reconciliation of Non-GAAP Measures” for a reconciliation of tangible equity to shareholders’ equity in accordance with GAAP.</w:t>
      </w:r>
    </w:p>
    <w:p>
      <w:pPr>
        <w:spacing w:after="0" w:line="23" w:lineRule="exact"/>
        <w:rPr>
          <w:rFonts w:ascii="Arial" w:cs="Arial" w:eastAsia="Arial" w:hAnsi="Arial"/>
          <w:sz w:val="17"/>
          <w:szCs w:val="17"/>
          <w:color w:val="auto"/>
        </w:rPr>
      </w:pPr>
    </w:p>
    <w:p>
      <w:pPr>
        <w:ind w:left="340" w:right="22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ratio, expressed as a percentage, of total indebtedness for borrowed money to the sum of total indebtedness for borrowed money and shareholders’ equity. It does not include an adjustment for rating agency equity credit features in our outstanding junior subordinated debt.</w:t>
      </w:r>
    </w:p>
    <w:p>
      <w:pPr>
        <w:spacing w:after="0" w:line="38"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our U.S. insurance subsidiaries, the excess of assets over liabilities as determined in accordance with statutory accounting principles as determined by the NAIC. For our Bermuda reinsurers, shareholders’ equity in accordance with U.S. generally accepted accounting principles (“GAAP”).</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restricted cash equivalents.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ind w:right="300" w:firstLine="351"/>
        <w:spacing w:after="0" w:line="312" w:lineRule="auto"/>
        <w:rPr>
          <w:sz w:val="20"/>
          <w:szCs w:val="20"/>
          <w:color w:val="auto"/>
        </w:rPr>
      </w:pPr>
      <w:r>
        <w:rPr>
          <w:rFonts w:ascii="Arial" w:cs="Arial" w:eastAsia="Arial" w:hAnsi="Arial"/>
          <w:sz w:val="16"/>
          <w:szCs w:val="16"/>
          <w:i w:val="1"/>
          <w:iCs w:val="1"/>
          <w:color w:val="auto"/>
        </w:rPr>
        <w:t>The following discussion and analysis contains forward-looking statements and involves numerous risks and uncertainties, including those described under the heading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ind w:right="20" w:firstLine="351"/>
        <w:spacing w:after="0" w:line="272" w:lineRule="auto"/>
        <w:rPr>
          <w:sz w:val="20"/>
          <w:szCs w:val="20"/>
          <w:color w:val="auto"/>
        </w:rPr>
      </w:pPr>
      <w:r>
        <w:rPr>
          <w:rFonts w:ascii="Arial" w:cs="Arial" w:eastAsia="Arial" w:hAnsi="Arial"/>
          <w:sz w:val="17"/>
          <w:szCs w:val="17"/>
          <w:color w:val="auto"/>
        </w:rPr>
        <w:t>For the year ended December 31, 2019, approximately 73.2% of our group-wide gross written premiums originated from the U.S. E&amp;S lines market including business assumed by our Casualty Reinsurance segment. We also have a specialty admitted insurance business in the United States. We intend to concentrate substantially all of our underwriting in casualty insurance and reinsurance, and for the year ended December 31, 2019, we derived 97.9% of our group-wide gross written premiums from casualty insurance and reinsurance.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report our business in four segments: Excess and Surplus Lines, Specialty Admitted Insurance, Casualty Reinsurance and Corporate and Other.</w:t>
      </w:r>
    </w:p>
    <w:p>
      <w:pPr>
        <w:spacing w:after="0" w:line="140" w:lineRule="exact"/>
        <w:rPr>
          <w:sz w:val="20"/>
          <w:szCs w:val="20"/>
          <w:color w:val="auto"/>
        </w:rPr>
      </w:pPr>
    </w:p>
    <w:p>
      <w:pPr>
        <w:ind w:right="20" w:firstLine="351"/>
        <w:spacing w:after="0" w:line="270" w:lineRule="auto"/>
        <w:rPr>
          <w:sz w:val="20"/>
          <w:szCs w:val="20"/>
          <w:color w:val="auto"/>
        </w:rPr>
      </w:pPr>
      <w:r>
        <w:rPr>
          <w:rFonts w:ascii="Arial" w:cs="Arial" w:eastAsia="Arial" w:hAnsi="Arial"/>
          <w:sz w:val="17"/>
          <w:szCs w:val="17"/>
          <w:color w:val="auto"/>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2019, the average account in this segment (excluding commercial auto policies) generated annual gross written premiums of approximately $23,000. The Excess and Surplus Lines segment distributes primarily through wholesale insurance brokers. Members of our management team have participated in this market for over three decades and have long-standing relationships with the wholesale agents who place E&amp;S lines accounts. The Excess and Surplus Lines segment produced 62.7% of our gross written premiums and 76.6% of our net written premiums for the year ended December 31, 2019.</w:t>
      </w:r>
    </w:p>
    <w:p>
      <w:pPr>
        <w:spacing w:after="0" w:line="74" w:lineRule="exact"/>
        <w:rPr>
          <w:sz w:val="20"/>
          <w:szCs w:val="20"/>
          <w:color w:val="auto"/>
        </w:rPr>
      </w:pPr>
    </w:p>
    <w:p>
      <w:pPr>
        <w:jc w:val="both"/>
        <w:ind w:right="40" w:firstLine="351"/>
        <w:spacing w:after="0" w:line="288" w:lineRule="auto"/>
        <w:rPr>
          <w:sz w:val="20"/>
          <w:szCs w:val="20"/>
          <w:color w:val="auto"/>
        </w:rPr>
      </w:pPr>
      <w:r>
        <w:rPr>
          <w:rFonts w:ascii="Arial" w:cs="Arial" w:eastAsia="Arial" w:hAnsi="Arial"/>
          <w:sz w:val="16"/>
          <w:szCs w:val="16"/>
          <w:color w:val="auto"/>
        </w:rPr>
        <w:t>The Specialty Admitted Insurance segment focuses on niche classes within the standard insurance markets, such as workers’ compensation coverage for building trades, healthcare employees, light manufacturing and other light-to-medium hazard risks in select U.S. states and fronting business, where we retain a small percentage of the risk and seek to earn fee income by allowing other carriers and producers to use our licensure, ratings, expertise and infrastructure.</w:t>
      </w:r>
    </w:p>
    <w:p>
      <w:pPr>
        <w:ind w:right="100"/>
        <w:spacing w:after="0" w:line="254" w:lineRule="auto"/>
        <w:rPr>
          <w:sz w:val="20"/>
          <w:szCs w:val="20"/>
          <w:color w:val="auto"/>
        </w:rPr>
      </w:pPr>
      <w:r>
        <w:rPr>
          <w:rFonts w:ascii="Arial" w:cs="Arial" w:eastAsia="Arial" w:hAnsi="Arial"/>
          <w:sz w:val="18"/>
          <w:szCs w:val="18"/>
          <w:color w:val="auto"/>
        </w:rPr>
        <w:t>Through Falls Lake National and its subsidiaries, this segment has admitted licenses and the authority to write excess and surplus lines insurance in 50 states and the District of Columbia and distributes through a variety of sources, including independent retail agents, program administrators and MGAs. The Specialty Admitted Insurance segment produced 26.4% of our gross written premiums and 6.5% of our net written premiums for the year ended December 31, 2019.</w:t>
      </w:r>
    </w:p>
    <w:p>
      <w:pPr>
        <w:spacing w:after="0" w:line="8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The Casualty Reinsurance segment provides proportional and working layer casualty reinsurance to third parties and to our U.S.-based insurance subsidiaries. Typically, we structure our reinsurance contracts (also known as treaties) as quota share arrangements, with loss mitigating features, such as commissions that adjust based on underwriting results. We frequently include risk mitigating features in our working layer excess of loss treaties, such as paid reinstatements, which allow the ceding company to capture a greater percentage of the profits should the business prove more profitable than expected, or alternatively, with additional premiums should the business incur higher than expected losses. We believe these structures best align our interests with the interests of our cedents. On a premium volume basis, treaties with loss mitigation features including sliding scale ceding commissions represented 72.3% of the gross premiums written by our Casualty Reinsurance segment during 2019. We typically do not assume large individual risks in our Casualty Reinsurance segment, nor do we write property catastrophe reinsurance. Most of the underlying policies assumed by our Casualty Reinsurance segment have a $1.0 million per occurrence limit, and we typically assume only a portion of that exposure. We believe this structure reduces volatility in our underwriting results. We do not assume stand-alone third-party property business at our Casualty Reinsurance segment, but we do have a</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6" w:right="25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small amount of assumed business with ancillary property exposure. 79.0% of premiums written by our Casualty Reinsurance segment during 2019 were general liability accounts. The Casualty Reinsurance segment distributes through reinsurance brokers. The Casualty Reinsurance segment produced 10.9% of our gross written premiums and 16.9% of our net written premiums for the year ended December 31, 2019.</w:t>
      </w:r>
    </w:p>
    <w:p>
      <w:pPr>
        <w:spacing w:after="0" w:line="73"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The Casualty Reinsurance segment writes business through two entities, JRG Re and Carolina Re. Through December 31, 2017, we had intercompany reinsurance agreements under which we ceded 70% of the net written premiums of our U.S. subsidiaries (after taking into account third-party reinsurance) to JRG Re. Effective January 1, 2018, we generally discontinued ceding 70% of our U.S.-written premiums to JRG Re and instead ceded 70% of our U.S.-written premiums to Carolina Re, a Bermuda-domiciled, wholly-owned subsidiary of James River Group, Inc. Carolina Re is a Class 3A reinsurer that made an irrevocable election to be taxed as a U.S. domestic corporation under Section 953(d) of the Code effective January 1, 2018. Carolina Re is also the cedent on a stop loss reinsurance treaty with JRG Re. Business in the Casualty Reinsurance segment is ceded under proportional, or quota-share, reinsurance treaties that provide for an arm’s length ceding commission. We exclude the effects of intercompany reinsurance agreements from the presentation of our segment results, consistent with the way we manage the Company. At December 31, 2019, 46.6% of our invested assets were held at JRG Re, which benefits from a favorable operating environment, including an absence of corporate income or investment taxes.</w:t>
      </w:r>
    </w:p>
    <w:p>
      <w:pPr>
        <w:spacing w:after="0" w:line="59" w:lineRule="exact"/>
        <w:rPr>
          <w:sz w:val="20"/>
          <w:szCs w:val="20"/>
          <w:color w:val="auto"/>
        </w:rPr>
      </w:pPr>
    </w:p>
    <w:p>
      <w:pPr>
        <w:ind w:right="100" w:firstLine="351"/>
        <w:spacing w:after="0" w:line="277" w:lineRule="auto"/>
        <w:rPr>
          <w:sz w:val="20"/>
          <w:szCs w:val="20"/>
          <w:color w:val="auto"/>
        </w:rPr>
      </w:pPr>
      <w:r>
        <w:rPr>
          <w:rFonts w:ascii="Arial" w:cs="Arial" w:eastAsia="Arial" w:hAnsi="Arial"/>
          <w:sz w:val="18"/>
          <w:szCs w:val="18"/>
          <w:color w:val="auto"/>
        </w:rPr>
        <w:t>The Corporate and Other segment consists of the management and treasury activities of our holding companies and interest expense associated with our debt.</w:t>
      </w:r>
    </w:p>
    <w:p>
      <w:pPr>
        <w:spacing w:after="0" w:line="62"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351"/>
        <w:spacing w:after="0" w:line="272" w:lineRule="auto"/>
        <w:rPr>
          <w:sz w:val="20"/>
          <w:szCs w:val="20"/>
          <w:color w:val="auto"/>
        </w:rPr>
      </w:pPr>
      <w:r>
        <w:rPr>
          <w:rFonts w:ascii="Arial" w:cs="Arial" w:eastAsia="Arial" w:hAnsi="Arial"/>
          <w:sz w:val="17"/>
          <w:szCs w:val="17"/>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117"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we write and the limited operating experience of the fronting and program business in the Specialty Admitted Insurance segment and the commercial auto business in our Excess and Surplus lines segment. In applying this judgment, we frequently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5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9" w:lineRule="exact"/>
        <w:rPr>
          <w:sz w:val="20"/>
          <w:szCs w:val="20"/>
          <w:color w:val="auto"/>
        </w:rPr>
      </w:pPr>
    </w:p>
    <w:p>
      <w:pPr>
        <w:jc w:val="both"/>
        <w:ind w:right="160" w:firstLine="351"/>
        <w:spacing w:after="0" w:line="312" w:lineRule="auto"/>
        <w:rPr>
          <w:sz w:val="20"/>
          <w:szCs w:val="20"/>
          <w:color w:val="auto"/>
        </w:rPr>
      </w:pPr>
      <w:r>
        <w:rPr>
          <w:rFonts w:ascii="Arial" w:cs="Arial" w:eastAsia="Arial" w:hAnsi="Arial"/>
          <w:sz w:val="16"/>
          <w:szCs w:val="16"/>
          <w:color w:val="auto"/>
        </w:rPr>
        <w:t>Our Casualty Reinsurance segment generally establishes case reserves based on reports received from ceding companies or their brokers. For excess of loss contracts, we are typically notified of insurance losses on specific contracts, and we record case reserves based on the estimated ultimate losses on each claim. For proportional contracts, we typically receive aggregated claims information and record case reserves based on that information.</w:t>
      </w:r>
    </w:p>
    <w:p>
      <w:pPr>
        <w:spacing w:after="0" w:line="3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6" w:right="25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gross reserve for losses and loss adjustment expenses at December 31, 2019 was $2,045.5 million. Of this amount, 63.1% relates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IBNR. The Company’s gross reserve for losses and loss adjustment expenses by segment are summarized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Gross Reserves at December 31, 2019</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20" w:type="dxa"/>
            <w:vAlign w:val="bottom"/>
          </w:tcPr>
          <w:p>
            <w:pPr>
              <w:spacing w:after="0"/>
              <w:rPr>
                <w:sz w:val="13"/>
                <w:szCs w:val="13"/>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3"/>
                <w:szCs w:val="13"/>
                <w:color w:val="auto"/>
              </w:rPr>
            </w:pPr>
          </w:p>
        </w:tc>
        <w:tc>
          <w:tcPr>
            <w:tcW w:w="8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449,515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796,066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1,245,581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191,244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319,783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511,027</w:t>
            </w:r>
          </w:p>
        </w:tc>
        <w:tc>
          <w:tcPr>
            <w:tcW w:w="15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175,783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288,898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753,874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1,291,632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2,045,506</w:t>
            </w:r>
          </w:p>
        </w:tc>
        <w:tc>
          <w:tcPr>
            <w:tcW w:w="154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net reserve for losses and loss adjustment expenses at December 31, 2019 was $1,377.5 million. Of this amount, 60.3% relates to IBNR.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reserve for losses and loss adjustment expenses by segment are summarized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6"/>
              </w:rPr>
              <w:t>Net Reserves at December 31, 2019</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Case</w:t>
            </w:r>
          </w:p>
        </w:tc>
        <w:tc>
          <w:tcPr>
            <w:tcW w:w="26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IBNR</w:t>
            </w:r>
          </w:p>
        </w:tc>
        <w:tc>
          <w:tcPr>
            <w:tcW w:w="500" w:type="dxa"/>
            <w:vAlign w:val="bottom"/>
          </w:tcPr>
          <w:p>
            <w:pPr>
              <w:spacing w:after="0"/>
              <w:rPr>
                <w:sz w:val="13"/>
                <w:szCs w:val="13"/>
                <w:color w:val="auto"/>
              </w:rPr>
            </w:pPr>
          </w:p>
        </w:tc>
        <w:tc>
          <w:tcPr>
            <w:tcW w:w="8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w w:val="95"/>
              </w:rPr>
              <w:t>Total</w:t>
            </w:r>
          </w:p>
        </w:tc>
        <w:tc>
          <w:tcPr>
            <w:tcW w:w="154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IBNR %</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604,980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1,001,866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39,140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52,778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91,918</w:t>
            </w:r>
          </w:p>
        </w:tc>
        <w:tc>
          <w:tcPr>
            <w:tcW w:w="154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110,454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173,223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283,677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546,480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830,981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2"/>
              </w:rPr>
              <w:t>1,377,461</w:t>
            </w:r>
          </w:p>
        </w:tc>
        <w:tc>
          <w:tcPr>
            <w:tcW w:w="154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Reserve Committee consists of our Chief Actuary, Chief Executive Officer, President and Chief Operating Officer, Chief Financial Officer, and Chief Accounting Officer. Additionally, the presidents, chief financial officers, and chief actuaries of each of our three operating segments assist in the evaluations of their respective segments. The Reserve Committee meets quarterly to review the actuarial recommendations made by each chief actuary and uses its best judgment to determine the best estimate to be recorded for the reserve for losses and loss adjustment expenses on our balance sheet. The Reserve Committee believes that using judgment to supplement the actuarial recommendations is necessary to arrive at a best estimate given the nature of the business that we write and the limited operating experience of the Casualty Reinsurance segment, the fronting and program business in the Specialty Admitted Insurance segment and the commercial auto underwriting division in the Excess and Surplus Lines segment.</w:t>
      </w:r>
    </w:p>
    <w:p>
      <w:pPr>
        <w:spacing w:after="0" w:line="5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internal actuaries estimate an initial expected ultimate loss ratio for each of our product lines by accident year (or for our Casualty Reinsurance segment, on a contract by contract basis). Input from our underwriting and claims departments, including premium pricing assumptions and historical experience, are considered by our internal actuaries in estimating the initial expected loss ratios. Our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actuarial methods that we use in our reserve estimation process 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Loss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Expected Loss method multiplies earned premiums by an initial expected loss ratio.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Incurred Loss Development Method</w:t>
      </w:r>
    </w:p>
    <w:p>
      <w:pPr>
        <w:spacing w:after="0" w:line="117" w:lineRule="exact"/>
        <w:rPr>
          <w:sz w:val="20"/>
          <w:szCs w:val="20"/>
          <w:color w:val="auto"/>
        </w:rPr>
      </w:pPr>
    </w:p>
    <w:p>
      <w:pPr>
        <w:ind w:right="180" w:firstLine="351"/>
        <w:spacing w:after="0" w:line="264" w:lineRule="auto"/>
        <w:rPr>
          <w:sz w:val="20"/>
          <w:szCs w:val="20"/>
          <w:color w:val="auto"/>
        </w:rPr>
      </w:pPr>
      <w:r>
        <w:rPr>
          <w:rFonts w:ascii="Arial" w:cs="Arial" w:eastAsia="Arial" w:hAnsi="Arial"/>
          <w:sz w:val="18"/>
          <w:szCs w:val="18"/>
          <w:color w:val="auto"/>
        </w:rPr>
        <w:t>The Incurred Loss Development method uses historical loss reporting patterns to estimate future loss reporting patterns. In this method, our actuaries apply historical loss reporting patterns to develop incurred loss development factors that are applied to current reported losses to calculate expected ultimate losses.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Paid Loss Development Method</w:t>
      </w:r>
    </w:p>
    <w:p>
      <w:pPr>
        <w:spacing w:after="0" w:line="117"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Incurred Loss Development Method</w:t>
      </w:r>
    </w:p>
    <w:p>
      <w:pPr>
        <w:spacing w:after="0" w:line="117" w:lineRule="exact"/>
        <w:rPr>
          <w:sz w:val="20"/>
          <w:szCs w:val="20"/>
          <w:color w:val="auto"/>
        </w:rPr>
      </w:pPr>
    </w:p>
    <w:p>
      <w:pPr>
        <w:jc w:val="both"/>
        <w:ind w:right="220" w:firstLine="351"/>
        <w:spacing w:after="0" w:line="286" w:lineRule="auto"/>
        <w:rPr>
          <w:sz w:val="20"/>
          <w:szCs w:val="20"/>
          <w:color w:val="auto"/>
        </w:rPr>
      </w:pPr>
      <w:r>
        <w:rPr>
          <w:rFonts w:ascii="Arial" w:cs="Arial" w:eastAsia="Arial" w:hAnsi="Arial"/>
          <w:sz w:val="17"/>
          <w:szCs w:val="17"/>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 initial expected ultimate loss ratio and an estimate of the percentage of ultimate losses that are unreported at the valuation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Bornhuetter-Ferguson Paid Loss Development Method</w:t>
      </w:r>
    </w:p>
    <w:p>
      <w:pPr>
        <w:spacing w:after="0" w:line="11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w:t>
      </w:r>
    </w:p>
    <w:p>
      <w:pPr>
        <w:spacing w:after="0" w:line="7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Different reserving methods are appropriate in different situations, and our actuaries use their judgment and experience to determine the weighting of the methods detailed above to use for each accident year and each line of business and, for our Casualty Reinsurance segment, on a contract by contract basis. For example, the current accident year has very little incurred and paid loss development data on which to base reserve projections. As a result, we rely heavily on the Expected Loss Method in estimating reserves for the current accident year. We generally set our initial expected loss ratio for the current accident year consistent with our pricing assumptions.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6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actuary performs a study on each of these parameters annually and makes recommendations for the initial expected loss ratios, the incurred and paid loss development factors and the weighting of the five actuarial methods by accident year and line of business. Members of the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 Reinsurance segment given the heterogeneous nature of the various contracts, and the potential for significant changes in mix of business within individual treaties.</w:t>
      </w:r>
    </w:p>
    <w:p>
      <w:pPr>
        <w:spacing w:after="0" w:line="61" w:lineRule="exact"/>
        <w:rPr>
          <w:sz w:val="20"/>
          <w:szCs w:val="20"/>
          <w:color w:val="auto"/>
        </w:rPr>
      </w:pPr>
    </w:p>
    <w:p>
      <w:pPr>
        <w:ind w:right="20" w:firstLine="351"/>
        <w:spacing w:after="0" w:line="279" w:lineRule="auto"/>
        <w:rPr>
          <w:sz w:val="20"/>
          <w:szCs w:val="20"/>
          <w:color w:val="auto"/>
        </w:rPr>
      </w:pPr>
      <w:r>
        <w:rPr>
          <w:rFonts w:ascii="Arial" w:cs="Arial" w:eastAsia="Arial" w:hAnsi="Arial"/>
          <w:sz w:val="17"/>
          <w:szCs w:val="17"/>
          <w:color w:val="auto"/>
        </w:rPr>
        <w:t>We engage an independent internationally recognized actuarial consulting firm to review our reserves for losses and loss adjustment expenses twice each year, once prior to closing the third quarter and once for the closing of the fourth quarter. This independent actuarial consulting firm prepares its own estimate of our reserve for loss and loss adjustment expenses, and we compare their estimate to the reserve for losses and loss adjustment expenses reviewed and approved by the Reserve Committee in order to gain additional comfort on the adequacy of our reserves.</w:t>
      </w:r>
    </w:p>
    <w:p>
      <w:pPr>
        <w:spacing w:after="0" w:line="63" w:lineRule="exact"/>
        <w:rPr>
          <w:sz w:val="20"/>
          <w:szCs w:val="20"/>
          <w:color w:val="auto"/>
        </w:rPr>
      </w:pPr>
    </w:p>
    <w:p>
      <w:pPr>
        <w:jc w:val="both"/>
        <w:ind w:right="360" w:firstLine="351"/>
        <w:spacing w:after="0" w:line="264" w:lineRule="auto"/>
        <w:rPr>
          <w:sz w:val="20"/>
          <w:szCs w:val="20"/>
          <w:color w:val="auto"/>
        </w:rPr>
      </w:pPr>
      <w:r>
        <w:rPr>
          <w:rFonts w:ascii="Arial" w:cs="Arial" w:eastAsia="Arial" w:hAnsi="Arial"/>
          <w:sz w:val="18"/>
          <w:szCs w:val="18"/>
          <w:color w:val="auto"/>
        </w:rPr>
        <w:t>The table below quantifies the impact of extreme reserve deviations from our expected value at December 31, 2019. The total carried net reserve for losses and loss adjustment expenses is displayed alongside 5th, 50th and 95th percentiles of likely ultimate net reserve outcomes. The estimates of these percentiles are a result of a reserve variability analysis using a simulation approach.</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6" w:right="259" w:bottom="1440" w:gutter="0" w:footer="0" w:header="0"/>
        </w:sectPr>
      </w:pPr>
    </w:p>
    <w:bookmarkStart w:id="72" w:name="page73"/>
    <w:bookmarkEnd w:id="7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Sensitivity</w:t>
            </w:r>
          </w:p>
        </w:tc>
        <w:tc>
          <w:tcPr>
            <w:tcW w:w="28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5th Pct.</w:t>
            </w:r>
          </w:p>
        </w:tc>
        <w:tc>
          <w:tcPr>
            <w:tcW w:w="340" w:type="dxa"/>
            <w:vAlign w:val="bottom"/>
          </w:tcPr>
          <w:p>
            <w:pPr>
              <w:spacing w:after="0"/>
              <w:rPr>
                <w:sz w:val="16"/>
                <w:szCs w:val="16"/>
                <w:color w:val="auto"/>
              </w:rPr>
            </w:pPr>
          </w:p>
        </w:tc>
        <w:tc>
          <w:tcPr>
            <w:tcW w:w="1100" w:type="dxa"/>
            <w:vAlign w:val="bottom"/>
          </w:tcPr>
          <w:p>
            <w:pPr>
              <w:jc w:val="right"/>
              <w:ind w:right="359"/>
              <w:spacing w:after="0"/>
              <w:rPr>
                <w:sz w:val="20"/>
                <w:szCs w:val="20"/>
                <w:color w:val="auto"/>
              </w:rPr>
            </w:pPr>
            <w:r>
              <w:rPr>
                <w:rFonts w:ascii="Arial" w:cs="Arial" w:eastAsia="Arial" w:hAnsi="Arial"/>
                <w:sz w:val="14"/>
                <w:szCs w:val="14"/>
                <w:b w:val="1"/>
                <w:bCs w:val="1"/>
                <w:color w:val="auto"/>
              </w:rPr>
              <w:t>Carried</w:t>
            </w:r>
          </w:p>
        </w:tc>
        <w:tc>
          <w:tcPr>
            <w:tcW w:w="50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w w:val="92"/>
              </w:rPr>
              <w:t>50th Pct.</w:t>
            </w:r>
          </w:p>
        </w:tc>
        <w:tc>
          <w:tcPr>
            <w:tcW w:w="360" w:type="dxa"/>
            <w:vAlign w:val="bottom"/>
          </w:tcPr>
          <w:p>
            <w:pPr>
              <w:spacing w:after="0"/>
              <w:rPr>
                <w:sz w:val="16"/>
                <w:szCs w:val="16"/>
                <w:color w:val="auto"/>
              </w:rPr>
            </w:pPr>
          </w:p>
        </w:tc>
        <w:tc>
          <w:tcPr>
            <w:tcW w:w="1100" w:type="dxa"/>
            <w:vAlign w:val="bottom"/>
          </w:tcPr>
          <w:p>
            <w:pPr>
              <w:jc w:val="right"/>
              <w:ind w:right="336"/>
              <w:spacing w:after="0"/>
              <w:rPr>
                <w:sz w:val="20"/>
                <w:szCs w:val="20"/>
                <w:color w:val="auto"/>
              </w:rPr>
            </w:pPr>
            <w:r>
              <w:rPr>
                <w:rFonts w:ascii="Arial" w:cs="Arial" w:eastAsia="Arial" w:hAnsi="Arial"/>
                <w:sz w:val="14"/>
                <w:szCs w:val="14"/>
                <w:b w:val="1"/>
                <w:bCs w:val="1"/>
                <w:color w:val="auto"/>
              </w:rPr>
              <w:t>95th Pct.</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loss adjustment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1,279,765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1,377,461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1,386,934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1,581,394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Changes in reserves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(97,696)</w:t>
            </w:r>
          </w:p>
        </w:tc>
        <w:tc>
          <w:tcPr>
            <w:tcW w:w="3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9,473</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203,933</w:t>
            </w:r>
          </w:p>
        </w:tc>
      </w:tr>
    </w:tbl>
    <w:p>
      <w:pPr>
        <w:spacing w:after="0" w:line="121" w:lineRule="exact"/>
        <w:rPr>
          <w:sz w:val="20"/>
          <w:szCs w:val="20"/>
          <w:color w:val="auto"/>
        </w:rPr>
      </w:pPr>
    </w:p>
    <w:p>
      <w:pPr>
        <w:jc w:val="both"/>
        <w:ind w:right="460" w:firstLine="351"/>
        <w:spacing w:after="0" w:line="312" w:lineRule="auto"/>
        <w:rPr>
          <w:sz w:val="20"/>
          <w:szCs w:val="20"/>
          <w:color w:val="auto"/>
        </w:rPr>
      </w:pPr>
      <w:r>
        <w:rPr>
          <w:rFonts w:ascii="Arial" w:cs="Arial" w:eastAsia="Arial" w:hAnsi="Arial"/>
          <w:sz w:val="16"/>
          <w:szCs w:val="16"/>
          <w:color w:val="auto"/>
        </w:rPr>
        <w:t>The impact of recording the net reserve for losses and loss adjustment expenses at the highest value from the sensitivity analysis above would be to increase losses and loss adjustment expenses incurred by $203.9 million, reduce after-tax net income by $172.0 million, reduce shareholders’ equity by $172.0 million and reduce shareholders’ tangible equity by $172.0 million, in each case at or for the period ended December 31, 2019.</w:t>
      </w:r>
    </w:p>
    <w:p>
      <w:pPr>
        <w:spacing w:after="0" w:line="3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The impact of recording the net reserve for losses and loss adjustment expenses at the lowest value from the sensitivity analysis above would be to reduce losses and loss adjustment expenses incurred by $97.7 million, increase after-tax net income by $82.0 million, increase shareholders’ equity by $82.0 million, and increase tangible equity by $82.0 million, in each case at or for the year ended December 31, 2019.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spacing w:after="0" w:line="64"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Loss reserve estimates are subject to a high degree of variability due to the inherent uncertainty of ultimate claims settlement values. In recording our best estimate of our reserve for losses and loss adjustment expenses, our Reserve Committee often selects an amount that is different from the actuarial recommendation due to the inherent variation associated with our reserve estimates and the possibility that there are unforeseen or incorrectly valued liabilities in the actuarial recommendations.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 The difficulty in pinpointing actual ultimate losses and loss adjustment expenses (“LAE”) is illustrated by the fact that at December 31, 2019, 60.4% of our net reserve for losses and loss adjustment expenses in the Excess and Surplus Lines segment is for claims that have not been reported.</w:t>
      </w:r>
    </w:p>
    <w:p>
      <w:pPr>
        <w:spacing w:after="0" w:line="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89" w:lineRule="exact"/>
        <w:rPr>
          <w:sz w:val="20"/>
          <w:szCs w:val="20"/>
          <w:color w:val="auto"/>
        </w:rPr>
      </w:pPr>
    </w:p>
    <w:p>
      <w:pPr>
        <w:ind w:firstLine="351"/>
        <w:spacing w:after="0" w:line="286" w:lineRule="auto"/>
        <w:rPr>
          <w:sz w:val="20"/>
          <w:szCs w:val="20"/>
          <w:color w:val="auto"/>
        </w:rPr>
      </w:pPr>
      <w:r>
        <w:rPr>
          <w:rFonts w:ascii="Arial" w:cs="Arial" w:eastAsia="Arial" w:hAnsi="Arial"/>
          <w:sz w:val="17"/>
          <w:szCs w:val="17"/>
          <w:color w:val="auto"/>
        </w:rPr>
        <w:t>IBNR reserve estimates are inherently less precise than case reserve estimates. A 5% change in net IBNR reserves at December 31, 2019 would equate to a $41.5 million change in the reserve for losses and loss adjustment expenses at such date, a $36.4 million change in after-tax net income, a 4.7% change in shareholders’ equity and a 6.5% change in tangible equity, in each case at or for the year ended December 31, 2019.</w:t>
      </w:r>
    </w:p>
    <w:p>
      <w:pPr>
        <w:spacing w:after="0" w:line="57" w:lineRule="exact"/>
        <w:rPr>
          <w:sz w:val="20"/>
          <w:szCs w:val="20"/>
          <w:color w:val="auto"/>
        </w:rPr>
      </w:pPr>
    </w:p>
    <w:p>
      <w:pPr>
        <w:ind w:right="20" w:firstLine="351"/>
        <w:spacing w:after="0" w:line="297" w:lineRule="auto"/>
        <w:rPr>
          <w:sz w:val="20"/>
          <w:szCs w:val="20"/>
          <w:color w:val="auto"/>
        </w:rPr>
      </w:pPr>
      <w:r>
        <w:rPr>
          <w:rFonts w:ascii="Arial" w:cs="Arial" w:eastAsia="Arial" w:hAnsi="Arial"/>
          <w:sz w:val="16"/>
          <w:szCs w:val="16"/>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5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$69.0 million of adverse development was experienced in 2019 on the reserve for losses and loss adjustment expenses held at December 31, 2018. This adverse reserve development included $51.2 million of adverse development in the Excess and Surplus Lines segment, including $57.4 million of adverse development in the commercial auto line of business that was primarily related to the 2016 and 2017 accident years with Rasier. Rasier's business was new, complex, and rapidly changing,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the Company's underwriting assumptions and the related pricing of this risk did not keep pace with the insured's escalating loss trends. As a result of changes in the risk, including most recently the enactment of California Assembly Bill 5 (AB5) and its anticipated impact on the Rasier business,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 The adverse development for commercial auto was partially offset by $6.2 million of favorable development in other Excess and Surplus Lines underwriting divisions. Favorable reserve development in the Specialty Admitted Insurance segment was $5.3 million as losses on our workers’ compensation business written prior to 2018 continued to develop more favorably than we had anticipated. The Casualty Reinsurance segment experienced $23.1 million of adverse development on prior accident years primarily in accident years 2011 through 2016. This adverse development was mainly in the general liability and commercial auto lines of business.</w:t>
      </w:r>
    </w:p>
    <w:p>
      <w:pPr>
        <w:spacing w:after="0" w:line="74"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Rasier.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2017 continued to develop more favorably than we had anticipated. In addition, $8.2 million of adverse development occurred in the Casualty Reinsurance segment, with a majority of this adverse development coming primarily from accident years at least four years old and in treaties the Company has since non-renewed.</w:t>
      </w:r>
    </w:p>
    <w:p>
      <w:pPr>
        <w:spacing w:after="0" w:line="74"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color w:val="auto"/>
        </w:rPr>
        <w:t>$21.5 million of adverse development was experienced in 2017 on the reserve for losses and loss adjustment expenses held at December 31, 2016. This adverse reserve development included $20.0 million of adverse development in the Excess and Surplus Lines segment, including $38.7 million of adverse development in the commercial auto line of business that was primarily related to the 2016 contract year with Rasier. The adverse development for commercial auto was partially offset by favorable development of $18.6 million in other Excess and Surplus Lines underwriting divisions primarily from the 2014 through 2016 accident years. This favorable development occurred because our actuarial studies at December 31, 2017 for the Excess and Surplus Lines segment indicated that our loss experience on our casualty business excluding commercial auto continued to be below our initial expected ultimate loss ratios. The Company also experienced $2.7 million of favorable development on prior accident years in the Specialty Admitted Insurance segment primarily from accident years 2010 through 2015, as losses on our workers’ compensation business written prior to 2016 continued to develop more favorably than we had anticipated. The Casualty Reinsurance segment experienced $4.2 million of adverse development on prior accident years primarily from two contracts from 2010 through 2013 that had higher than expected reported losses in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and Impairment</w:t>
      </w:r>
    </w:p>
    <w:p>
      <w:pPr>
        <w:spacing w:after="0" w:line="117" w:lineRule="exact"/>
        <w:rPr>
          <w:sz w:val="20"/>
          <w:szCs w:val="20"/>
          <w:color w:val="auto"/>
        </w:rPr>
      </w:pPr>
    </w:p>
    <w:p>
      <w:pPr>
        <w:ind w:right="200" w:firstLine="351"/>
        <w:spacing w:after="0" w:line="297" w:lineRule="auto"/>
        <w:rPr>
          <w:sz w:val="20"/>
          <w:szCs w:val="20"/>
          <w:color w:val="auto"/>
        </w:rPr>
      </w:pPr>
      <w:r>
        <w:rPr>
          <w:rFonts w:ascii="Arial" w:cs="Arial" w:eastAsia="Arial" w:hAnsi="Arial"/>
          <w:sz w:val="16"/>
          <w:szCs w:val="16"/>
          <w:color w:val="auto"/>
        </w:rPr>
        <w:t>We carry fixed maturity securities classified as “available-for-sale” at fair value, and unrealized gains and losses on such securities, net of any deferred taxes, are reported as a separate component of accumulated other comprehensive income. Equity securities (except those accounted for under the equity method of accounting or those that result in consolidation of the investee) are measured at fair value with changes in fair value recognized in net income. Fixed maturity securities purchased for short-term resale are classified as “trading” and are carried at fair value with unrealized gains and losses included in earnings as a component of investment income. We do not have any securities classified as “held-to-maturity.”</w:t>
      </w:r>
    </w:p>
    <w:p>
      <w:pPr>
        <w:spacing w:after="0" w:line="50" w:lineRule="exact"/>
        <w:rPr>
          <w:sz w:val="20"/>
          <w:szCs w:val="20"/>
          <w:color w:val="auto"/>
        </w:rPr>
      </w:pPr>
    </w:p>
    <w:p>
      <w:pPr>
        <w:jc w:val="both"/>
        <w:ind w:right="660" w:firstLine="351"/>
        <w:spacing w:after="0" w:line="264" w:lineRule="auto"/>
        <w:rPr>
          <w:sz w:val="20"/>
          <w:szCs w:val="20"/>
          <w:color w:val="auto"/>
        </w:rPr>
      </w:pPr>
      <w:r>
        <w:rPr>
          <w:rFonts w:ascii="Arial" w:cs="Arial" w:eastAsia="Arial" w:hAnsi="Arial"/>
          <w:sz w:val="18"/>
          <w:szCs w:val="18"/>
          <w:color w:val="auto"/>
        </w:rPr>
        <w:t>We evaluate our available-for-sale fixed maturity securities regularly to determine whether there have been declines in value that are other-than-temporary. Our outside investment managers assist us in this evaluation. When we determine that a security has experienced an other-than-temporary impairment, the impairment loss is recognized as a realized investment loss.</w:t>
      </w:r>
    </w:p>
    <w:p>
      <w:pPr>
        <w:spacing w:after="0" w:line="7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We consider a number of factors in assessing whether an impairment is other-than-temporary, including (1) the amount and percentage that current fair value is below amortized cost, (2) the length of time that the fair value has been below amortized cost and (3) recent corporate developments or other factors that may impact an issuer’s near term prospects. In addition, we consider the credit quality ratings for the securities, with a special emphasis on securities downgraded to below investment grade. We also consider our intent to sell available-for-sale fixed maturity securities in an unrealized loss position, and if it is “more likely than not” that we will be required to sell these securities before a recovery in fair value to their amortized cost basis. As a starting point for our evaluation, we compare the fair value of each available-for-sale security to its amortized cost to identify any securities with a fair value less than amortized cost.</w:t>
      </w:r>
    </w:p>
    <w:p>
      <w:pPr>
        <w:spacing w:after="0" w:line="81" w:lineRule="exact"/>
        <w:rPr>
          <w:sz w:val="20"/>
          <w:szCs w:val="20"/>
          <w:color w:val="auto"/>
        </w:rPr>
      </w:pPr>
    </w:p>
    <w:p>
      <w:pPr>
        <w:ind w:right="260" w:firstLine="351"/>
        <w:spacing w:after="0" w:line="264" w:lineRule="auto"/>
        <w:rPr>
          <w:sz w:val="20"/>
          <w:szCs w:val="20"/>
          <w:color w:val="auto"/>
        </w:rPr>
      </w:pPr>
      <w:r>
        <w:rPr>
          <w:rFonts w:ascii="Arial" w:cs="Arial" w:eastAsia="Arial" w:hAnsi="Arial"/>
          <w:sz w:val="18"/>
          <w:szCs w:val="18"/>
          <w:color w:val="auto"/>
        </w:rPr>
        <w:t>During 2019, three fixed maturity securities from one issuer were determined to be impaired because we intended to sell the securities at a loss. The Company recorded impairment losses on these securities of $271,000. Management concluded that none of the fixed maturity securities with an unrealized loss at December 31, 2019, 2018, and 2017 experienced an other-than-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6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 xml:space="preserve">Effective January 1, 2018, with the adoption of ASU 2016-01, </w:t>
      </w:r>
      <w:r>
        <w:rPr>
          <w:rFonts w:ascii="Arial" w:cs="Arial" w:eastAsia="Arial" w:hAnsi="Arial"/>
          <w:sz w:val="17"/>
          <w:szCs w:val="17"/>
          <w:i w:val="1"/>
          <w:iCs w:val="1"/>
          <w:color w:val="auto"/>
        </w:rPr>
        <w:t>Financial Instruments - 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equity securities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are measured at fair value with changes in fair value recognized in net investment income. Prior to the adoption of ASU 2016-01, changes in the fair value of equity securities were recognized net of taxes as a component of accumulated other comprehensive income.</w:t>
      </w:r>
    </w:p>
    <w:p>
      <w:pPr>
        <w:spacing w:after="0" w:line="63" w:lineRule="exact"/>
        <w:rPr>
          <w:sz w:val="20"/>
          <w:szCs w:val="20"/>
          <w:color w:val="auto"/>
        </w:rPr>
      </w:pPr>
    </w:p>
    <w:p>
      <w:pPr>
        <w:ind w:right="60" w:firstLine="351"/>
        <w:spacing w:after="0" w:line="257" w:lineRule="auto"/>
        <w:rPr>
          <w:sz w:val="20"/>
          <w:szCs w:val="20"/>
          <w:color w:val="auto"/>
        </w:rPr>
      </w:pPr>
      <w:r>
        <w:rPr>
          <w:rFonts w:ascii="Arial" w:cs="Arial" w:eastAsia="Arial" w:hAnsi="Arial"/>
          <w:sz w:val="18"/>
          <w:szCs w:val="18"/>
          <w:color w:val="auto"/>
        </w:rPr>
        <w:t>At December 31, 2017, management concluded that one equity security, based on the severity and duration of the impairment, had experienced an other-than-temporary impairment. Accordingly, the Company recorded an impairment loss of $1.5 million in 2017. Management concluded that none of the other equity securities with an unrealized loss at December 31, 2017 experienced an other-than-temporary impairment. Management evaluated the near-term prospects of these other equity securities in relation to the severity and duration of the impairment, and management had the ability and intent to hold the securities until a recovery of their fair value.</w:t>
      </w:r>
    </w:p>
    <w:p>
      <w:pPr>
        <w:spacing w:after="0" w:line="80"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Bank loan participations held-for-investment are managed by a specialized outside investment manager and are generally stated at their outstanding unpaid principal balances net of unamortized premiums or discounts and net of any allowance for credit losses.</w:t>
      </w:r>
    </w:p>
    <w:p>
      <w:pPr>
        <w:spacing w:after="0" w:line="62"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We maintain the allowance for credit losses at a level we believe is adequate to absorb estimated probable credit losses. Our periodic evaluation of the adequacy of the allowance is based on consultations and the advice of our specialized investment manager, known and inherent risks in the portfolio, adverse situations that may affect the borrowers’ ability to repay, the estimated value of any underlying collateral, current economic conditions and other relevant factors. The Company has recorded an allowance equal to the difference between the fair value and the amortized cost of bank loans that it has determined to be impaired as a practical expedient for an estimate of probable future cash flows to be collected on those bank loans. As a starting point for our evaluation, we compare the carrying value of each loan to its fair value to identify any loans that had a fair value less than its carrying value.</w:t>
      </w:r>
    </w:p>
    <w:p>
      <w:pPr>
        <w:spacing w:after="0" w:line="57"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2019, the aggregate allowance for credit losses was $7.2 million on seven impaired loans with a total carrying value of $6.9 million and</w:t>
      </w:r>
      <w:r>
        <w:rPr>
          <w:rFonts w:ascii="Arial" w:cs="Arial" w:eastAsia="Arial" w:hAnsi="Arial"/>
          <w:sz w:val="18"/>
          <w:szCs w:val="18"/>
          <w:color w:val="231F20"/>
        </w:rPr>
        <w:t xml:space="preserve"> </w:t>
      </w:r>
      <w:r>
        <w:rPr>
          <w:rFonts w:ascii="Arial" w:cs="Arial" w:eastAsia="Arial" w:hAnsi="Arial"/>
          <w:sz w:val="18"/>
          <w:szCs w:val="18"/>
          <w:color w:val="000000"/>
        </w:rPr>
        <w:t xml:space="preserve">unpaid principal of $14.3 million. </w:t>
      </w:r>
      <w:r>
        <w:rPr>
          <w:rFonts w:ascii="Arial" w:cs="Arial" w:eastAsia="Arial" w:hAnsi="Arial"/>
          <w:sz w:val="18"/>
          <w:szCs w:val="18"/>
          <w:color w:val="231F20"/>
        </w:rPr>
        <w:t>Management concluded that none of the loans in the Company's bank loan portfolio were impaired as of</w:t>
      </w:r>
      <w:r>
        <w:rPr>
          <w:rFonts w:ascii="Arial" w:cs="Arial" w:eastAsia="Arial" w:hAnsi="Arial"/>
          <w:sz w:val="18"/>
          <w:szCs w:val="18"/>
          <w:color w:val="000000"/>
        </w:rPr>
        <w:t xml:space="preserve"> December 31, 2018</w:t>
      </w:r>
      <w:r>
        <w:rPr>
          <w:rFonts w:ascii="Arial" w:cs="Arial" w:eastAsia="Arial" w:hAnsi="Arial"/>
          <w:sz w:val="18"/>
          <w:szCs w:val="18"/>
          <w:color w:val="231F20"/>
        </w:rPr>
        <w:t>.</w:t>
      </w:r>
    </w:p>
    <w:p>
      <w:pPr>
        <w:spacing w:after="0" w:line="7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At December 31, 2017, the Company held a participation in a loan issued by a company that produces and supplies power to Puerto Rico. Management concluded that the loan was impaired and established a credit allowance on the loan of $759,000 at December 31, 2017. At December 31, 2017, the loan had a carrying value of zero and unpaid principal of $807,000. </w:t>
      </w:r>
      <w:r>
        <w:rPr>
          <w:rFonts w:ascii="Arial" w:cs="Arial" w:eastAsia="Arial" w:hAnsi="Arial"/>
          <w:sz w:val="18"/>
          <w:szCs w:val="18"/>
          <w:color w:val="231F20"/>
        </w:rPr>
        <w:t>In the first quarter of 2018, the full outstanding principal on the loan was repaid and the Company</w:t>
      </w:r>
      <w:r>
        <w:rPr>
          <w:rFonts w:ascii="Arial" w:cs="Arial" w:eastAsia="Arial" w:hAnsi="Arial"/>
          <w:sz w:val="18"/>
          <w:szCs w:val="18"/>
          <w:color w:val="auto"/>
        </w:rPr>
        <w:t xml:space="preserve"> </w:t>
      </w:r>
      <w:r>
        <w:rPr>
          <w:rFonts w:ascii="Arial" w:cs="Arial" w:eastAsia="Arial" w:hAnsi="Arial"/>
          <w:sz w:val="18"/>
          <w:szCs w:val="18"/>
          <w:color w:val="231F20"/>
        </w:rPr>
        <w:t>recognized a realized gain of $807,000 on the repayment.</w:t>
      </w:r>
    </w:p>
    <w:p>
      <w:pPr>
        <w:spacing w:after="0" w:line="79" w:lineRule="exact"/>
        <w:rPr>
          <w:sz w:val="20"/>
          <w:szCs w:val="20"/>
          <w:color w:val="auto"/>
        </w:rPr>
      </w:pPr>
    </w:p>
    <w:p>
      <w:pPr>
        <w:ind w:right="160" w:firstLine="351"/>
        <w:spacing w:after="0" w:line="276" w:lineRule="auto"/>
        <w:rPr>
          <w:sz w:val="20"/>
          <w:szCs w:val="20"/>
          <w:color w:val="auto"/>
        </w:rPr>
      </w:pPr>
      <w:r>
        <w:rPr>
          <w:rFonts w:ascii="Arial" w:cs="Arial" w:eastAsia="Arial" w:hAnsi="Arial"/>
          <w:sz w:val="17"/>
          <w:szCs w:val="17"/>
          <w:color w:val="auto"/>
        </w:rPr>
        <w:t xml:space="preserve">Fair values are measured in accordance with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64" w:lineRule="exact"/>
        <w:rPr>
          <w:sz w:val="20"/>
          <w:szCs w:val="20"/>
          <w:color w:val="auto"/>
        </w:rPr>
      </w:pPr>
    </w:p>
    <w:p>
      <w:pPr>
        <w:ind w:right="100" w:firstLine="351"/>
        <w:spacing w:after="0" w:line="273" w:lineRule="auto"/>
        <w:rPr>
          <w:sz w:val="20"/>
          <w:szCs w:val="20"/>
          <w:color w:val="auto"/>
        </w:rPr>
      </w:pPr>
      <w:r>
        <w:rPr>
          <w:rFonts w:ascii="Arial" w:cs="Arial" w:eastAsia="Arial" w:hAnsi="Arial"/>
          <w:sz w:val="17"/>
          <w:szCs w:val="17"/>
          <w:color w:val="auto"/>
        </w:rPr>
        <w:t>The fair values of fixed maturity securities and equity securities have been determined using fair value prices provided by our investment manager, who utilizes internationally recognized independent pricing services. The prices provided by the independent pricing services are generally based on observable market data in active markets (</w:t>
      </w:r>
      <w:r>
        <w:rPr>
          <w:rFonts w:ascii="Arial" w:cs="Arial" w:eastAsia="Arial" w:hAnsi="Arial"/>
          <w:sz w:val="17"/>
          <w:szCs w:val="17"/>
          <w:i w:val="1"/>
          <w:iCs w:val="1"/>
          <w:color w:val="auto"/>
        </w:rPr>
        <w:t>e.g.</w:t>
      </w:r>
      <w:r>
        <w:rPr>
          <w:rFonts w:ascii="Arial" w:cs="Arial" w:eastAsia="Arial" w:hAnsi="Arial"/>
          <w:sz w:val="17"/>
          <w:szCs w:val="17"/>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70"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The fair values of cash and cash equivalents, restricted cash equivalents, and short-term investments approximate their carrying values due to their short-term maturity.</w:t>
      </w:r>
    </w:p>
    <w:p>
      <w:pPr>
        <w:spacing w:after="0" w:line="62" w:lineRule="exact"/>
        <w:rPr>
          <w:sz w:val="20"/>
          <w:szCs w:val="20"/>
          <w:color w:val="auto"/>
        </w:rPr>
      </w:pPr>
    </w:p>
    <w:p>
      <w:pPr>
        <w:ind w:right="160" w:firstLine="351"/>
        <w:spacing w:after="0" w:line="302" w:lineRule="auto"/>
        <w:rPr>
          <w:sz w:val="20"/>
          <w:szCs w:val="20"/>
          <w:color w:val="auto"/>
        </w:rPr>
      </w:pPr>
      <w:r>
        <w:rPr>
          <w:rFonts w:ascii="Arial" w:cs="Arial" w:eastAsia="Arial" w:hAnsi="Arial"/>
          <w:sz w:val="16"/>
          <w:szCs w:val="16"/>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dealers. For investments in which the investment manager determines that only one external pricing source is appropriate or if only one external price is available, the investment is generally recorded based on such price.</w:t>
      </w:r>
    </w:p>
    <w:p>
      <w:pPr>
        <w:spacing w:after="0" w:line="6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Investments for which external sources are not available or are determined by the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2019 or 2018.</w:t>
      </w:r>
    </w:p>
    <w:p>
      <w:pPr>
        <w:spacing w:after="0" w:line="8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We review fair value prices provided by our outside investment managers for reasonableness by comparing the fair values provided by the managers to those provided by our investment custodian. We also review and monitor changes in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Reinsurance Premiums</w:t>
      </w:r>
    </w:p>
    <w:p>
      <w:pPr>
        <w:spacing w:after="0" w:line="117"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64" w:lineRule="exact"/>
        <w:rPr>
          <w:sz w:val="20"/>
          <w:szCs w:val="20"/>
          <w:color w:val="auto"/>
        </w:rPr>
      </w:pPr>
    </w:p>
    <w:p>
      <w:pPr>
        <w:ind w:right="100" w:firstLine="351"/>
        <w:spacing w:after="0" w:line="286" w:lineRule="auto"/>
        <w:rPr>
          <w:sz w:val="20"/>
          <w:szCs w:val="20"/>
          <w:color w:val="auto"/>
        </w:rPr>
      </w:pPr>
      <w:r>
        <w:rPr>
          <w:rFonts w:ascii="Arial" w:cs="Arial" w:eastAsia="Arial" w:hAnsi="Arial"/>
          <w:sz w:val="17"/>
          <w:szCs w:val="17"/>
          <w:color w:val="auto"/>
        </w:rPr>
        <w:t>Reinsurance premium estimates are reviewed by management periodically. Any adjustment to these estimates is recorded in the period in which it becomes known. The impact of any premium adjustments on net income is offset by corresponding changes to related policy acquisition costs and losses and loss adjustment expenses. For the years ended December 31, 2019, 2018, and 2017, these adjustments were immaterial.</w:t>
      </w:r>
    </w:p>
    <w:p>
      <w:pPr>
        <w:spacing w:after="0" w:line="57" w:lineRule="exact"/>
        <w:rPr>
          <w:sz w:val="20"/>
          <w:szCs w:val="20"/>
          <w:color w:val="auto"/>
        </w:rPr>
      </w:pPr>
    </w:p>
    <w:p>
      <w:pPr>
        <w:ind w:right="80" w:firstLine="351"/>
        <w:spacing w:after="0" w:line="276" w:lineRule="auto"/>
        <w:rPr>
          <w:sz w:val="20"/>
          <w:szCs w:val="20"/>
          <w:color w:val="auto"/>
        </w:rPr>
      </w:pPr>
      <w:r>
        <w:rPr>
          <w:rFonts w:ascii="Arial" w:cs="Arial" w:eastAsia="Arial" w:hAnsi="Arial"/>
          <w:sz w:val="17"/>
          <w:szCs w:val="17"/>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premiums are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64" w:lineRule="exact"/>
        <w:rPr>
          <w:sz w:val="20"/>
          <w:szCs w:val="20"/>
          <w:color w:val="auto"/>
        </w:rPr>
      </w:pPr>
    </w:p>
    <w:p>
      <w:pPr>
        <w:ind w:right="320" w:firstLine="351"/>
        <w:spacing w:after="0" w:line="342" w:lineRule="auto"/>
        <w:rPr>
          <w:sz w:val="20"/>
          <w:szCs w:val="20"/>
          <w:color w:val="auto"/>
        </w:rPr>
      </w:pPr>
      <w:r>
        <w:rPr>
          <w:rFonts w:ascii="Arial" w:cs="Arial" w:eastAsia="Arial" w:hAnsi="Arial"/>
          <w:sz w:val="16"/>
          <w:szCs w:val="16"/>
          <w:color w:val="auto"/>
        </w:rPr>
        <w:t>Certain of the Company’s reinsurance contracts include provisions that adjust premiums or acquisition expenses based upon the experience under the contracts. Premiums written and earned, as well as related acquisition expenses, are recorded based upon the projected experience under the contracts.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 xml:space="preserve">Effective January 1, 2019, the Company adopted ASU 2016-02, </w:t>
      </w:r>
      <w:r>
        <w:rPr>
          <w:rFonts w:ascii="Arial" w:cs="Arial" w:eastAsia="Arial" w:hAnsi="Arial"/>
          <w:sz w:val="16"/>
          <w:szCs w:val="16"/>
          <w:i w:val="1"/>
          <w:iCs w:val="1"/>
          <w:color w:val="231F20"/>
        </w:rPr>
        <w:t>Leases (Topic 842)</w:t>
      </w:r>
      <w:r>
        <w:rPr>
          <w:rFonts w:ascii="Arial" w:cs="Arial" w:eastAsia="Arial" w:hAnsi="Arial"/>
          <w:sz w:val="16"/>
          <w:szCs w:val="16"/>
          <w:color w:val="231F20"/>
        </w:rPr>
        <w:t xml:space="preserve">. This update requires the recognition of a right-of-use asset and a corresponding lease liability, discounted to the present value, for all leases that extend beyond 12 months. </w:t>
      </w:r>
      <w:r>
        <w:rPr>
          <w:rFonts w:ascii="Arial" w:cs="Arial" w:eastAsia="Arial" w:hAnsi="Arial"/>
          <w:sz w:val="16"/>
          <w:szCs w:val="16"/>
          <w:color w:val="000000"/>
        </w:rPr>
        <w:t>The Company adopted the new standard using a</w:t>
      </w:r>
      <w:r>
        <w:rPr>
          <w:rFonts w:ascii="Arial" w:cs="Arial" w:eastAsia="Arial" w:hAnsi="Arial"/>
          <w:sz w:val="16"/>
          <w:szCs w:val="16"/>
          <w:color w:val="231F20"/>
        </w:rPr>
        <w:t xml:space="preserve"> </w:t>
      </w:r>
      <w:r>
        <w:rPr>
          <w:rFonts w:ascii="Arial" w:cs="Arial" w:eastAsia="Arial" w:hAnsi="Arial"/>
          <w:sz w:val="16"/>
          <w:szCs w:val="16"/>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increase retained earnings by $8.3 million.</w:t>
      </w:r>
    </w:p>
    <w:p>
      <w:pPr>
        <w:spacing w:after="0" w:line="5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our current credit agreements.</w:t>
      </w:r>
    </w:p>
    <w:p>
      <w:pPr>
        <w:spacing w:after="0" w:line="3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231F20"/>
        </w:rPr>
        <w:t xml:space="preserve">In June 2016, the FASB issued ASU 2016-13, </w:t>
      </w:r>
      <w:r>
        <w:rPr>
          <w:rFonts w:ascii="Arial" w:cs="Arial" w:eastAsia="Arial" w:hAnsi="Arial"/>
          <w:sz w:val="18"/>
          <w:szCs w:val="18"/>
          <w:i w:val="1"/>
          <w:iCs w:val="1"/>
          <w:color w:val="231F20"/>
        </w:rPr>
        <w:t>Financial Instruments - Credit Losses (Topic 326): Measurement of Credit Losses on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Instruments. </w:t>
      </w:r>
      <w:r>
        <w:rPr>
          <w:rFonts w:ascii="Arial" w:cs="Arial" w:eastAsia="Arial" w:hAnsi="Arial"/>
          <w:sz w:val="18"/>
          <w:szCs w:val="18"/>
          <w:color w:val="231F20"/>
        </w:rPr>
        <w:t>Current GAAP requires the recognition of credit losses when it is probable a loss has been incurred. The update will require financial assets</w:t>
      </w:r>
      <w:r>
        <w:rPr>
          <w:rFonts w:ascii="Arial" w:cs="Arial" w:eastAsia="Arial" w:hAnsi="Arial"/>
          <w:sz w:val="18"/>
          <w:szCs w:val="18"/>
          <w:i w:val="1"/>
          <w:iCs w:val="1"/>
          <w:color w:val="231F20"/>
        </w:rPr>
        <w:t xml:space="preserve"> </w:t>
      </w:r>
      <w:r>
        <w:rPr>
          <w:rFonts w:ascii="Arial" w:cs="Arial" w:eastAsia="Arial" w:hAnsi="Arial"/>
          <w:sz w:val="18"/>
          <w:szCs w:val="18"/>
          <w:color w:val="231F20"/>
        </w:rPr>
        <w:t>measured at amortized cost, such as bank loan participations held for investment, to be presented at the net amount expected to be collected by means of an allowance for credit losses that is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reflected in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The Company will adopt the ASU on January 1, 2020 using the modified-retrospective approach, by which a cumulative-effect adjustment will be made to retained earnings as of the date of adoption.</w:t>
      </w:r>
    </w:p>
    <w:p>
      <w:pPr>
        <w:spacing w:after="0" w:line="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 xml:space="preserve">In connection with the adoption of this ASU, the Company will elect the fair value option in accounting for bank loan participations effective January 1, 2020. We will also use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to elect the fair value option to account for bank loan participations already held at the January 1, 2020 date of adoption. Under the fair value option, bank loan participations will be measured at fair value, and changes in unrealized gains and losses in bank loan participations will be reported in our income statement as net realized and unrealized gains (losses) on investments. At adoption on January 1, 2020, the Company expects to reduce the carrying value of its bank loan portfolio to fair value through an $8.4 million adjustment with a $7.8 million (net of tax) cumulative effect adjustment to reduce retained earnings.</w:t>
      </w:r>
    </w:p>
    <w:p>
      <w:pPr>
        <w:spacing w:after="0" w:line="5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231F20"/>
        </w:rPr>
        <w:t>Upon adoption of this ASU, the Company will establish an allowance for uncollectible reinsurance balances through a cumulative effect adjustment to retained earnings. Because we purchase reinsurance from financially strong reinsurers or we have collateral securing the recoverables, the effect of adoption is not expected to be material to our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for the years ended December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1,470,735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1,166,773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26.1 %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7"/>
        </w:trPr>
        <w:tc>
          <w:tcPr>
            <w:tcW w:w="654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Net retention</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896,150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762,672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654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823,746</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815,398</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1.0 %</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(672,102)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(600,276)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12.0 %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(161,399)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(187,116)</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(13.7)%</w:t>
            </w: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color w:val="auto"/>
              </w:rPr>
              <w:t>(2), (3)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75,652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61,256</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23.5 %</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investment losses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(11,553)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 %</w:t>
            </w: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51,867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70,838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7,008</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93.0 %</w:t>
            </w:r>
          </w:p>
        </w:tc>
      </w:tr>
      <w:tr>
        <w:trPr>
          <w:trHeight w:val="27"/>
        </w:trPr>
        <w:tc>
          <w:tcPr>
            <w:tcW w:w="6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38,339</w:t>
            </w: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63,830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(39.9)%</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42,934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70,596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(39.2)%</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130" w:lineRule="exact"/>
        <w:rPr>
          <w:rFonts w:ascii="Arial" w:cs="Arial" w:eastAsia="Arial" w:hAnsi="Arial"/>
          <w:sz w:val="18"/>
          <w:szCs w:val="18"/>
          <w:i w:val="1"/>
          <w:iCs w:val="1"/>
          <w:color w:val="auto"/>
        </w:rPr>
      </w:pPr>
    </w:p>
    <w:p>
      <w:pPr>
        <w:ind w:left="340" w:right="500" w:hanging="332"/>
        <w:spacing w:after="0" w:line="277" w:lineRule="auto"/>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income before tax and for additional information.</w:t>
      </w:r>
    </w:p>
    <w:p>
      <w:pPr>
        <w:spacing w:after="0" w:line="62" w:lineRule="exact"/>
        <w:rPr>
          <w:rFonts w:ascii="Arial" w:cs="Arial" w:eastAsia="Arial" w:hAnsi="Arial"/>
          <w:sz w:val="18"/>
          <w:szCs w:val="18"/>
          <w:i w:val="1"/>
          <w:iCs w:val="1"/>
          <w:color w:val="auto"/>
        </w:rPr>
      </w:pPr>
    </w:p>
    <w:p>
      <w:pPr>
        <w:ind w:left="340" w:hanging="332"/>
        <w:spacing w:after="0"/>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(loss) profit includes gross fee income of $24.9 million and $28.7 million for the years ended December 31, 2019 and 2018, respectively.</w:t>
      </w:r>
    </w:p>
    <w:p>
      <w:pPr>
        <w:spacing w:after="0" w:line="140" w:lineRule="exact"/>
        <w:rPr>
          <w:rFonts w:ascii="Arial" w:cs="Arial" w:eastAsia="Arial" w:hAnsi="Arial"/>
          <w:sz w:val="16"/>
          <w:szCs w:val="16"/>
          <w:i w:val="1"/>
          <w:iCs w:val="1"/>
          <w:color w:val="auto"/>
        </w:rPr>
      </w:pPr>
    </w:p>
    <w:p>
      <w:pPr>
        <w:ind w:left="340" w:hanging="332"/>
        <w:spacing w:after="0" w:line="277" w:lineRule="auto"/>
        <w:tabs>
          <w:tab w:leader="none" w:pos="3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income is a non-GAAP measure. See “Reconciliation of Non-GAAP Measures” for reconciliation to net income and for additional information.</w:t>
      </w:r>
    </w:p>
    <w:p>
      <w:pPr>
        <w:spacing w:after="0" w:line="62"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We had an underwriting loss of $9.8 million for the year ended December 31, 2019. This compares to an underwriting profit of $28.0 million for the prior year. On a consolidated basis, the Company recognized $69.0 million and $17.7 million of net adverse reserve development for the years ended December 31, 2019 and 2018, respectively, including $51.2 million and $15.0 million, respectively, of net adverse reserve development from the Excess and Surplus Lines segment. This adverse reserve development included $57.4 million and $20.7 million of adverse development in the commercial auto line of business that was primarily related to the 2016 and 2017 accident years with Rasier. Rasier's business was new, complex, and rapidly changing, and the Company's underwriting assumptions and the related pricing of this risk did not keep pace with the insured's escalating loss trends. As a result of changes in the risk, including most recently the enactment of California Assembly Bill 5 (AB5) and its anticipated impact on the Rasier business,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firstLine="351"/>
        <w:spacing w:after="0" w:line="277" w:lineRule="auto"/>
        <w:rPr>
          <w:sz w:val="20"/>
          <w:szCs w:val="20"/>
          <w:color w:val="auto"/>
        </w:rPr>
      </w:pPr>
      <w:r>
        <w:rPr>
          <w:rFonts w:ascii="Arial" w:cs="Arial" w:eastAsia="Arial" w:hAnsi="Arial"/>
          <w:sz w:val="18"/>
          <w:szCs w:val="18"/>
          <w:color w:val="auto"/>
        </w:rPr>
        <w:t>The results for the years ended December 31, 2019 and 2018 included certain non-operating items that are significant to the Company. These items (on a pre-tax basis) include:</w:t>
      </w:r>
    </w:p>
    <w:p>
      <w:pPr>
        <w:spacing w:after="0" w:line="62" w:lineRule="exact"/>
        <w:rPr>
          <w:sz w:val="20"/>
          <w:szCs w:val="20"/>
          <w:color w:val="auto"/>
        </w:rPr>
      </w:pPr>
    </w:p>
    <w:p>
      <w:pPr>
        <w:ind w:left="660" w:right="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realized and unrealized investment losses of $2.9 million and $5.5 million for the years ended December 31, 2019 and 2018, respectively. See “-Investing Results" for more information on these realized and unrealized investment losses.</w:t>
      </w:r>
    </w:p>
    <w:p>
      <w:pPr>
        <w:spacing w:after="0" w:line="62"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Interest expense of $1.6 million for the year ended December 31, 2018 relating to finance expenses in connection with a minority interest in a real estate partnership pursuant to which we were previously deemed an owner for accounting purposes. Effective with the Company's adoption of </w:t>
      </w:r>
      <w:r>
        <w:rPr>
          <w:rFonts w:ascii="Arial" w:cs="Arial" w:eastAsia="Arial" w:hAnsi="Arial"/>
          <w:sz w:val="18"/>
          <w:szCs w:val="18"/>
          <w:color w:val="231F20"/>
        </w:rPr>
        <w:t>ASU</w:t>
      </w:r>
      <w:r>
        <w:rPr>
          <w:rFonts w:ascii="Arial" w:cs="Arial" w:eastAsia="Arial" w:hAnsi="Arial"/>
          <w:sz w:val="18"/>
          <w:szCs w:val="18"/>
          <w:color w:val="auto"/>
        </w:rPr>
        <w:t xml:space="preserve"> </w:t>
      </w:r>
      <w:r>
        <w:rPr>
          <w:rFonts w:ascii="Arial" w:cs="Arial" w:eastAsia="Arial" w:hAnsi="Arial"/>
          <w:sz w:val="18"/>
          <w:szCs w:val="18"/>
          <w:color w:val="231F20"/>
        </w:rPr>
        <w:t xml:space="preserve">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on January 1, 2019, the Company is no longer deemed the </w:t>
      </w:r>
      <w:r>
        <w:rPr>
          <w:rFonts w:ascii="Arial" w:cs="Arial" w:eastAsia="Arial" w:hAnsi="Arial"/>
          <w:sz w:val="18"/>
          <w:szCs w:val="18"/>
          <w:color w:val="000000"/>
        </w:rPr>
        <w:t>owner for accounting purposes and there is no comparable</w:t>
      </w:r>
      <w:r>
        <w:rPr>
          <w:rFonts w:ascii="Arial" w:cs="Arial" w:eastAsia="Arial" w:hAnsi="Arial"/>
          <w:sz w:val="18"/>
          <w:szCs w:val="18"/>
          <w:color w:val="231F20"/>
        </w:rPr>
        <w:t xml:space="preserve"> </w:t>
      </w:r>
      <w:r>
        <w:rPr>
          <w:rFonts w:ascii="Arial" w:cs="Arial" w:eastAsia="Arial" w:hAnsi="Arial"/>
          <w:sz w:val="18"/>
          <w:szCs w:val="18"/>
          <w:color w:val="000000"/>
        </w:rPr>
        <w:t>expense for the year ended December 31, 2019.</w:t>
      </w:r>
    </w:p>
    <w:p>
      <w:pPr>
        <w:spacing w:after="0" w:line="79"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on investments, expenses related to due diligence costs for various merger and acquisition activities, professional service fees related to the filing of registration statements for the offering of securities, severance costs associated with terminated employees, and interest expense and other income and expenses on a leased building that we were previously deemed to own for accounting purposes. We use adjusted net operating income as an internal performance measure in the management of our 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income before taxes and net income for the years ended December 31, 2019 and 2018 reconcile to our adjusted net operating income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2019</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6"/>
              </w:rPr>
              <w:t>2018</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440" w:type="dxa"/>
            <w:vAlign w:val="bottom"/>
          </w:tcPr>
          <w:p>
            <w:pPr>
              <w:spacing w:after="0"/>
              <w:rPr>
                <w:sz w:val="12"/>
                <w:szCs w:val="12"/>
                <w:color w:val="auto"/>
              </w:rPr>
            </w:pPr>
          </w:p>
        </w:tc>
        <w:tc>
          <w:tcPr>
            <w:tcW w:w="9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as reported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51,867</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38,339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realized and unrealized losses on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Interest expense on leased building the Company was previously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deemed to own for accounting purposes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Adjusted net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42,934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79,201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70,596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Ratios</w:t>
      </w:r>
    </w:p>
    <w:p>
      <w:pPr>
        <w:spacing w:after="0" w:line="117" w:lineRule="exact"/>
        <w:rPr>
          <w:sz w:val="20"/>
          <w:szCs w:val="20"/>
          <w:color w:val="auto"/>
        </w:rPr>
      </w:pPr>
    </w:p>
    <w:p>
      <w:pPr>
        <w:ind w:right="140" w:firstLine="351"/>
        <w:spacing w:after="0" w:line="273" w:lineRule="auto"/>
        <w:rPr>
          <w:sz w:val="20"/>
          <w:szCs w:val="20"/>
          <w:color w:val="auto"/>
        </w:rPr>
      </w:pPr>
      <w:r>
        <w:rPr>
          <w:rFonts w:ascii="Arial" w:cs="Arial" w:eastAsia="Arial" w:hAnsi="Arial"/>
          <w:sz w:val="17"/>
          <w:szCs w:val="17"/>
          <w:color w:val="auto"/>
        </w:rPr>
        <w:t>The combined ratio is a measure of underwriting performance and represents the relationship of incurred losses, loss adjustment expenses and other operating expenses to net earned premiums. Our combined ratio for the year ended December 31, 2019 was 101.2%. A combined ratio of less than 100% indicates an underwriting profit, while a combined ratio greater than 100% reflects an underwriting loss. In 2019, the combined ratio included $69.0 million, or 8.4 percentage points, of net adverse reserve development on prior accident years, including $51.2 million of net adverse reserve development from the Excess and Surplus Lines segment, $5.3 million of net favorable reserve development from the Specialty Admitted Insurance segment, and $23.1 million of net adverse reserve development from the Casualty Reinsurance segment.</w:t>
      </w:r>
    </w:p>
    <w:p>
      <w:pPr>
        <w:spacing w:after="0" w:line="70" w:lineRule="exact"/>
        <w:rPr>
          <w:sz w:val="20"/>
          <w:szCs w:val="20"/>
          <w:color w:val="auto"/>
        </w:rPr>
      </w:pPr>
    </w:p>
    <w:p>
      <w:pPr>
        <w:ind w:right="60" w:firstLine="351"/>
        <w:spacing w:after="0" w:line="257" w:lineRule="auto"/>
        <w:rPr>
          <w:sz w:val="20"/>
          <w:szCs w:val="20"/>
          <w:color w:val="auto"/>
        </w:rPr>
      </w:pPr>
      <w:r>
        <w:rPr>
          <w:rFonts w:ascii="Arial" w:cs="Arial" w:eastAsia="Arial" w:hAnsi="Arial"/>
          <w:sz w:val="18"/>
          <w:szCs w:val="18"/>
          <w:color w:val="auto"/>
        </w:rPr>
        <w:t>Our combined ratio for the year ended December 31, 2018 was 96.6%. It included $17.7 million, or 2.2 percentage points, of net adverse reserve development on prior accident years, including $15.0 million of net adverse reserve development from the Excess and Surplus Lines segment (including $4.9 million, or 0.9 percentage points, of favorable reserve development on the 2017 catastrophe losses from Hurricanes Harvey, Irma, and Maria), $5.6 million of net favorable development from the Specialty Admitted Insurance segment, and $8.2 million of net adverse reserve development from the Casualty Reinsurance segment.</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Ratios</w:t>
      </w:r>
    </w:p>
    <w:p>
      <w:pPr>
        <w:spacing w:after="0" w:line="117" w:lineRule="exact"/>
        <w:rPr>
          <w:sz w:val="20"/>
          <w:szCs w:val="20"/>
          <w:color w:val="auto"/>
        </w:rPr>
      </w:pPr>
    </w:p>
    <w:p>
      <w:pPr>
        <w:ind w:right="60" w:firstLine="351"/>
        <w:spacing w:after="0" w:line="270" w:lineRule="auto"/>
        <w:rPr>
          <w:sz w:val="20"/>
          <w:szCs w:val="20"/>
          <w:color w:val="auto"/>
        </w:rPr>
      </w:pPr>
      <w:r>
        <w:rPr>
          <w:rFonts w:ascii="Arial" w:cs="Arial" w:eastAsia="Arial" w:hAnsi="Arial"/>
          <w:sz w:val="17"/>
          <w:szCs w:val="17"/>
          <w:color w:val="auto"/>
        </w:rPr>
        <w:t>Our expense ratio was 19.6% and 23.0% for the years ended December 31, 2019 and 2018, respectively. The improvement was primarily due to a 12.6% increase in the net earned premiums of the Excess and Surplus Lines segment including in lines of business which carry relatively low expenses or that have meaningful ceding commissions. Our Excess and Surplus Lines segment has significant scale and produces a lower expense ratio than our other operating segments. The Excess and Surplus Lines segment is our largest segment and makes up 75.9% of consolidated net earned premiums for the year ended December 31, 2019 (68.1% for the year ended December 31, 2018). Gross fee income for the Company declined from $28.7 million for the year ended December 31, 2018 to $24.9 million for the year ended December 31, 2019. In the Casualty Reinsurance segment, our expense ratio declined from 34.1% for the year ended December 31, 2018 to 29.2% for the year ended December 31, 2019. The Casualty Reinsurance segment typically structures its reinsurance treaties with loss mitigation features including sliding scale ceding commissions. In 2019, net adverse reserve development on treaties with such features reduced our commissions by $7.1 million or 5.0 percentage points.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Contracts and policies written on a “losses occurring” basis cover claims that may occur during the term of the contract or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922,320</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656,538</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40.5 %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374,346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3.6 %</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160,773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135,889</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1,470,735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1,166,773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26.1 %</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Excess and Surplus Lines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685,814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571,098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20.1 %</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58,637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55,840</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5.0 %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151,699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135,734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11.8 %</w:t>
            </w:r>
          </w:p>
        </w:tc>
        <w:tc>
          <w:tcPr>
            <w:tcW w:w="0" w:type="dxa"/>
            <w:vAlign w:val="bottom"/>
          </w:tcPr>
          <w:p>
            <w:pPr>
              <w:spacing w:after="0"/>
              <w:rPr>
                <w:sz w:val="1"/>
                <w:szCs w:val="1"/>
                <w:color w:val="auto"/>
              </w:rPr>
            </w:pPr>
          </w:p>
        </w:tc>
      </w:tr>
      <w:tr>
        <w:trPr>
          <w:trHeight w:val="297"/>
        </w:trPr>
        <w:tc>
          <w:tcPr>
            <w:tcW w:w="66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896,150</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762,672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17.5 %</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625,528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555,684</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55,146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43"/>
        </w:trPr>
        <w:tc>
          <w:tcPr>
            <w:tcW w:w="6660" w:type="dxa"/>
            <w:vAlign w:val="bottom"/>
          </w:tcPr>
          <w:p>
            <w:pPr>
              <w:ind w:left="20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143,880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204,568</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(29.7)%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823,746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815,398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Gross written premiums for the Excess and Surplus Lines segment (which represents 62.7% of our consolidated gross written premiums in 2019) increased 40.5% over the prior year. Excluding commercial auto policies, gross written premiums for the Excess and Surplus Lines segment increased 54.5% over the prior year. Policy submissions excluding the commercial auto divisions were 23.2% higher and 26.2% more policies were bound in 2019 than in 2018. Renewal rates for the Excess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Surplus Lines segment excluding commercial auto were up 4.5% compared to 2018. The change in gross written premiums was notable in several divisions as shown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7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Change</w:t>
            </w:r>
          </w:p>
        </w:tc>
      </w:tr>
      <w:tr>
        <w:trPr>
          <w:trHeight w:val="270"/>
        </w:trPr>
        <w:tc>
          <w:tcPr>
            <w:tcW w:w="6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405,565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322,126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25.9 %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Excess Casualty</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118,954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66,452</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79.0 %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Casualty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114.0 %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Manufacturers &amp; Contractors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105,096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79,160</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32.8 %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33.9 %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Excess Property</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31,606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16,963</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86.3 %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Allied Health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30,450</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Life Sciences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24,462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16,636</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47.0 %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33.2 %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Environmental</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10,499</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57.5 %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divisions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Excess and Surplus Lines gross written premium</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922,320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656,538</w:t>
            </w: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40.5 %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Commercial Auto division is focused on underwriting the hired and non-owned auto liability exposures for a variety of industry segments with a particular niche for insuring organizations that operate networks connecting independent contractors with customers. On October 8, 2019, the Company delivered a notice of early cancellation, effective December 31, 2019, of all insurance policies issued to its largest customer, Rasier. All insurance policies related to this customer are included in the Company’s commercial auto line of business within its Excess and Surplus Lines segment, and a majority of the insurance policies were due to expire on February 29, 2020.</w:t>
      </w:r>
    </w:p>
    <w:p>
      <w:pPr>
        <w:spacing w:after="0" w:line="8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26.4% of our 2019 consolidated gross written premiums)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6"/>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Individual risk workers’ compensation premium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63,607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55,248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Fronting and program premium</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324,035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319,098</w:t>
            </w:r>
          </w:p>
        </w:tc>
        <w:tc>
          <w:tcPr>
            <w:tcW w:w="1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1.5%</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gross written premium</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387,642</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374,346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Individual risk workers’ compensation premium growth was driven by exposure growth from higher payrolls of our insureds in a strong economy and increased submission flow.</w:t>
      </w:r>
    </w:p>
    <w:p>
      <w:pPr>
        <w:spacing w:after="0" w:line="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fronting business saw growth related to five new fronting relationships added in 2018 and 2019 that generated $120.1 million of gross written premium in the year ended December 31, 2019 compared to $34.7 million for the year ended December 31, 2018. Our largest fronted relationship, Atlas General Insurance Services, experienced a decline in production in 2019 producing $146.5 million of gross written premium for the year ended December 31, 2019 (down from $201.7 million for the year ended December 31, 2018) and representing 37.8% of the segment's gross written premium for the year ended December 31, 2019 down from 53.9% for the year ended December 31, 2018. Gross written premiums for terminated programs were $2.2 million in the year ended December 31, 2019 compared to $28.8 million for the year ended December 31, 2018.</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written premiums for the Casualty Reinsurance segment (which represents 10.9% of our consolidated gross written premiums in 2019) increased 18.3% from the prior year. The increase in gross written premium in this segment was due to new business written, higher subject business and signed lines on treaties renewed, and increases in written premiums for prior year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Retention</w:t>
      </w:r>
    </w:p>
    <w:p>
      <w:pPr>
        <w:spacing w:after="0" w:line="11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by segment is as follows:</w:t>
      </w:r>
    </w:p>
    <w:p>
      <w:pPr>
        <w:spacing w:after="0" w:line="21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60.9%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65.4%</w:t>
            </w:r>
          </w:p>
        </w:tc>
      </w:tr>
    </w:tbl>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net premium retention for the Excess and Surplus Lines segment decreased for the year ended December 31, 2019 as compared to the prior year due to growth in written premium in the Excess Casualty and Excess Property underwriting divisions, which have higher percentages of ceded premium than our other divisions, and due to the segment ceding $87.4 million of commercial auto written premium in the year ended December 31, 2019 compared to $3.8 million in the prior year.</w:t>
      </w:r>
    </w:p>
    <w:p>
      <w:pPr>
        <w:spacing w:after="0" w:line="7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net premium retention for the Specialty Admitted Insurance segment was relatively stable from 2018 to 2019. The fronting business generally has much lower net premium retention than our workers’ compensation business. The net retention on the segment’s fronting business was 9.3% and 9.6% in the years ended December 31, 2019 and 2018, respectively, while the net retention on the workers’ compensation business was 44.7% and 45.9%, respectively.</w:t>
      </w:r>
    </w:p>
    <w:p>
      <w:pPr>
        <w:spacing w:after="0" w:line="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net premium retention for the Casualty Reinsurance segment decreased for the year ended December 31, 2019 as compared to the prior year due to a new retrocessional treaty/fronting arrangement entered into during 2019 under which 100% of the premiums are ceded.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27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Specialty Admitted Insurance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Casualty Reinsurance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351"/>
        </w:trPr>
        <w:tc>
          <w:tcPr>
            <w:tcW w:w="6540" w:type="dxa"/>
            <w:vAlign w:val="bottom"/>
            <w:gridSpan w:val="2"/>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07"/>
        </w:trPr>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8"/>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24"/>
                <w:szCs w:val="24"/>
                <w:color w:val="auto"/>
              </w:rPr>
            </w:pPr>
          </w:p>
        </w:tc>
      </w:tr>
      <w:tr>
        <w:trPr>
          <w:trHeight w:val="264"/>
        </w:trPr>
        <w:tc>
          <w:tcPr>
            <w:tcW w:w="29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922,320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656,538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40.5 %</w:t>
            </w:r>
          </w:p>
        </w:tc>
      </w:tr>
      <w:tr>
        <w:trPr>
          <w:trHeight w:val="20"/>
        </w:trPr>
        <w:tc>
          <w:tcPr>
            <w:tcW w:w="2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685,814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571,098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20.1 %</w:t>
            </w:r>
          </w:p>
        </w:tc>
      </w:tr>
      <w:tr>
        <w:trPr>
          <w:trHeight w:val="23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625,528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555,684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(528,133)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(437,904)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i w:val="1"/>
                <w:iCs w:val="1"/>
                <w:color w:val="auto"/>
              </w:rPr>
              <w:t>20.6 %</w:t>
            </w: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(78,238)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(74,946)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4.4 %</w:t>
            </w:r>
          </w:p>
        </w:tc>
      </w:tr>
      <w:tr>
        <w:trPr>
          <w:trHeight w:val="304"/>
        </w:trPr>
        <w:tc>
          <w:tcPr>
            <w:tcW w:w="6540" w:type="dxa"/>
            <w:vAlign w:val="bottom"/>
            <w:tcBorders>
              <w:bottom w:val="single" w:sz="8" w:color="CCEEFF"/>
            </w:tcBorders>
            <w:gridSpan w:val="2"/>
          </w:tcPr>
          <w:p>
            <w:pPr>
              <w:ind w:left="40"/>
              <w:spacing w:after="0" w:line="264" w:lineRule="exact"/>
              <w:rPr>
                <w:sz w:val="20"/>
                <w:szCs w:val="20"/>
                <w:color w:val="auto"/>
              </w:rPr>
            </w:pPr>
            <w:r>
              <w:rPr>
                <w:rFonts w:ascii="Arial" w:cs="Arial" w:eastAsia="Arial" w:hAnsi="Arial"/>
                <w:sz w:val="18"/>
                <w:szCs w:val="18"/>
                <w:color w:val="auto"/>
              </w:rPr>
              <w:t>Underwriting profit</w:t>
            </w:r>
            <w:r>
              <w:rPr>
                <w:rFonts w:ascii="Arial" w:cs="Arial" w:eastAsia="Arial" w:hAnsi="Arial"/>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19,157</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42,834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56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(55.3)%</w:t>
            </w:r>
          </w:p>
        </w:tc>
      </w:tr>
      <w:tr>
        <w:trPr>
          <w:trHeight w:val="231"/>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92"/>
        </w:trPr>
        <w:tc>
          <w:tcPr>
            <w:tcW w:w="290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42" w:lineRule="exact"/>
        <w:rPr>
          <w:sz w:val="20"/>
          <w:szCs w:val="20"/>
          <w:color w:val="auto"/>
        </w:rPr>
      </w:pPr>
    </w:p>
    <w:p>
      <w:pPr>
        <w:ind w:left="340" w:right="120" w:hanging="332"/>
        <w:spacing w:after="0" w:line="340"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1" w:lineRule="exact"/>
        <w:rPr>
          <w:rFonts w:ascii="Arial" w:cs="Arial" w:eastAsia="Arial" w:hAnsi="Arial"/>
          <w:sz w:val="18"/>
          <w:szCs w:val="18"/>
          <w:i w:val="1"/>
          <w:iCs w:val="1"/>
          <w:color w:val="auto"/>
        </w:rPr>
      </w:pPr>
    </w:p>
    <w:p>
      <w:pPr>
        <w:ind w:left="340" w:hanging="332"/>
        <w:spacing w:after="0"/>
        <w:tabs>
          <w:tab w:leader="none" w:pos="34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results include gross fee income of $9.1 million and $13.9 million for the years ended December 31, 2019 and 2018, respectively.</w:t>
      </w:r>
    </w:p>
    <w:p>
      <w:pPr>
        <w:spacing w:after="0" w:line="14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The loss ratio of 84.4% for the year ended December 31, 2019 includes $51.2 million, or 8.2 percentage points, of net adverse development in our loss estimates for prior accident years. The loss ratio of 78.8% for the year ended December 31, 2018 includes $15.0 million, or 2.7 percentage points, of net adverse development in our loss estimates for prior accident years. The net adverse reserve development in this segment in 2019 and 2018 included $57.4 million and $20.7 million, respectively, of adverse development in the commercial auto line of business that was primarily related to the 2016 and 2017 accident years with Rasier. Rasier's business was new, complex, and rapidly changing, and the Company's underwriting assumptions and the related pricing of this risk did not keep pace with the insured's escalating loss trends. As a result of changes in the risk, including most recently the enactment of California Assembly Bill 5 (AB5) and its anticipated impact on the Rasier business,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w:t>
      </w:r>
    </w:p>
    <w:p>
      <w:pPr>
        <w:spacing w:after="0" w:line="59" w:lineRule="exact"/>
        <w:rPr>
          <w:sz w:val="20"/>
          <w:szCs w:val="20"/>
          <w:color w:val="auto"/>
        </w:rPr>
      </w:pPr>
    </w:p>
    <w:p>
      <w:pPr>
        <w:ind w:right="260" w:firstLine="351"/>
        <w:spacing w:after="0" w:line="264" w:lineRule="auto"/>
        <w:rPr>
          <w:sz w:val="20"/>
          <w:szCs w:val="20"/>
          <w:color w:val="auto"/>
        </w:rPr>
      </w:pPr>
      <w:r>
        <w:rPr>
          <w:rFonts w:ascii="Arial" w:cs="Arial" w:eastAsia="Arial" w:hAnsi="Arial"/>
          <w:sz w:val="18"/>
          <w:szCs w:val="18"/>
          <w:color w:val="auto"/>
        </w:rPr>
        <w:t>The expense ratio for this segment decreased from 13.5% in 2018 to 12.5% for 2019 as the growth in net earned premium exceeded the growth in underwriting expenses. Gross fee income contributed to a reduction in the expense ratio of 1.5 and 2.5 percentage points for the years ended December 31, 2019 and 2018, respectively.</w:t>
      </w:r>
    </w:p>
    <w:p>
      <w:pPr>
        <w:spacing w:after="0" w:line="73"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Our commercial auto business generally has a lower expense ratio and higher loss ratio than the other underwriting divisions in the segment. Commercial auto made up 51.9% of the segment’s net earned premiums for 2019 compared to 56.7% for 2018.</w:t>
      </w:r>
    </w:p>
    <w:p>
      <w:pPr>
        <w:spacing w:after="0" w:line="62"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As a result of the items discussed above, the underwriting profit of the Excess and Surplus Lines segment decreased 55.3%, from $42.8 million for the year ended December 31, 2018 to $19.2 million for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387,642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374,346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3.6 %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58,637</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55,840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5.0 %</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54,338</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55,146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(34,860)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(32,623)</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6.9 %</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(13,565)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(15,551)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(12.8)%</w:t>
            </w:r>
          </w:p>
        </w:tc>
      </w:tr>
      <w:tr>
        <w:trPr>
          <w:trHeight w:val="264"/>
        </w:trPr>
        <w:tc>
          <w:tcPr>
            <w:tcW w:w="6540" w:type="dxa"/>
            <w:vAlign w:val="bottom"/>
          </w:tcPr>
          <w:p>
            <w:pPr>
              <w:ind w:left="40"/>
              <w:spacing w:after="0" w:line="264" w:lineRule="exact"/>
              <w:rPr>
                <w:sz w:val="20"/>
                <w:szCs w:val="20"/>
                <w:color w:val="auto"/>
              </w:rPr>
            </w:pPr>
            <w:r>
              <w:rPr>
                <w:rFonts w:ascii="Arial" w:cs="Arial" w:eastAsia="Arial" w:hAnsi="Arial"/>
                <w:sz w:val="18"/>
                <w:szCs w:val="18"/>
                <w:color w:val="auto"/>
              </w:rPr>
              <w:t>Underwriting profit</w:t>
            </w:r>
            <w:r>
              <w:rPr>
                <w:rFonts w:ascii="Arial" w:cs="Arial" w:eastAsia="Arial" w:hAnsi="Arial"/>
                <w:sz w:val="25"/>
                <w:szCs w:val="25"/>
                <w:color w:val="auto"/>
                <w:vertAlign w:val="superscript"/>
              </w:rPr>
              <w:t>(1), (2)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5,913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2"/>
                <w:szCs w:val="22"/>
                <w:color w:val="auto"/>
              </w:rPr>
            </w:pP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8"/>
                <w:szCs w:val="18"/>
                <w:i w:val="1"/>
                <w:iCs w:val="1"/>
                <w:color w:val="auto"/>
              </w:rPr>
              <w:t>(15.2)%</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4260" w:type="dxa"/>
            <w:vAlign w:val="bottom"/>
          </w:tcPr>
          <w:p>
            <w:pPr>
              <w:jc w:val="right"/>
              <w:ind w:right="510"/>
              <w:spacing w:after="0"/>
              <w:rPr>
                <w:sz w:val="20"/>
                <w:szCs w:val="20"/>
                <w:color w:val="auto"/>
              </w:rPr>
            </w:pPr>
            <w:r>
              <w:rPr>
                <w:rFonts w:ascii="Arial" w:cs="Arial" w:eastAsia="Arial" w:hAnsi="Arial"/>
                <w:sz w:val="18"/>
                <w:szCs w:val="18"/>
                <w:color w:val="auto"/>
              </w:rPr>
              <w:t>64.2%</w:t>
            </w:r>
          </w:p>
        </w:tc>
        <w:tc>
          <w:tcPr>
            <w:tcW w:w="2780" w:type="dxa"/>
            <w:vAlign w:val="bottom"/>
          </w:tcPr>
          <w:p>
            <w:pPr>
              <w:jc w:val="right"/>
              <w:ind w:right="1630"/>
              <w:spacing w:after="0"/>
              <w:rPr>
                <w:sz w:val="20"/>
                <w:szCs w:val="20"/>
                <w:color w:val="auto"/>
              </w:rPr>
            </w:pPr>
            <w:r>
              <w:rPr>
                <w:rFonts w:ascii="Arial" w:cs="Arial" w:eastAsia="Arial" w:hAnsi="Arial"/>
                <w:sz w:val="18"/>
                <w:szCs w:val="18"/>
                <w:color w:val="auto"/>
              </w:rPr>
              <w:t>59.2%</w:t>
            </w:r>
          </w:p>
        </w:tc>
      </w:tr>
      <w:tr>
        <w:trPr>
          <w:trHeight w:val="27"/>
        </w:trPr>
        <w:tc>
          <w:tcPr>
            <w:tcW w:w="43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42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24.9%</w:t>
            </w:r>
          </w:p>
        </w:tc>
        <w:tc>
          <w:tcPr>
            <w:tcW w:w="2780" w:type="dxa"/>
            <w:vAlign w:val="bottom"/>
            <w:tcBorders>
              <w:bottom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rPr>
              <w:t>28.2%</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4260" w:type="dxa"/>
            <w:vAlign w:val="bottom"/>
          </w:tcPr>
          <w:p>
            <w:pPr>
              <w:jc w:val="right"/>
              <w:ind w:right="510"/>
              <w:spacing w:after="0"/>
              <w:rPr>
                <w:sz w:val="20"/>
                <w:szCs w:val="20"/>
                <w:color w:val="auto"/>
              </w:rPr>
            </w:pPr>
            <w:r>
              <w:rPr>
                <w:rFonts w:ascii="Arial" w:cs="Arial" w:eastAsia="Arial" w:hAnsi="Arial"/>
                <w:sz w:val="18"/>
                <w:szCs w:val="18"/>
                <w:color w:val="auto"/>
              </w:rPr>
              <w:t>89.1%</w:t>
            </w:r>
          </w:p>
        </w:tc>
        <w:tc>
          <w:tcPr>
            <w:tcW w:w="2780" w:type="dxa"/>
            <w:vAlign w:val="bottom"/>
          </w:tcPr>
          <w:p>
            <w:pPr>
              <w:jc w:val="right"/>
              <w:ind w:right="1630"/>
              <w:spacing w:after="0"/>
              <w:rPr>
                <w:sz w:val="20"/>
                <w:szCs w:val="20"/>
                <w:color w:val="auto"/>
              </w:rPr>
            </w:pPr>
            <w:r>
              <w:rPr>
                <w:rFonts w:ascii="Arial" w:cs="Arial" w:eastAsia="Arial" w:hAnsi="Arial"/>
                <w:sz w:val="18"/>
                <w:szCs w:val="18"/>
                <w:color w:val="auto"/>
              </w:rPr>
              <w:t>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right="120" w:hanging="332"/>
        <w:spacing w:after="0" w:line="34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spacing w:after="0" w:line="6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includes fee income of $15.8 million and $14.8 million for the years ended December 31, 2019 and 2018, respectively.</w:t>
      </w:r>
    </w:p>
    <w:p>
      <w:pPr>
        <w:spacing w:after="0" w:line="1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The loss ratio for the year ended December 31, 2019 of 64.2% included $5.3 million, or 9.7 percentage points, of net favorable development on prior accident years. The loss ratio for the year ended December 31, 2018 of 59.2% included $5.6 million, or 10.1 percentage points, of net favorable development on prior accident years. The favorable development in both 2019 and 2018 reflects the fact that actual loss emergence of the workers’ compensation book for prior accident years has been better than expected.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expense ratio of the Specialty Admitted Insurance segment was 24.9% for the year ended December 31, 2019 compared to the prior year ratio of 28.2%. The expense ratio declined in 2019 for this segment due to gross fee income primarily from the fronting business which increased 7.2% for the year ended December 31, 2019 compared to the prior year and to growth in ceding commissions received on the 50% third-party quota share reinsurance coverage purchased on individual risk workers' compensation business effective October 1, 2017.</w:t>
      </w:r>
    </w:p>
    <w:p>
      <w:pPr>
        <w:spacing w:after="0" w:line="7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As a result of the items discussed above, the underwriting profit of the Specialty Admitted Insurance segment decreased 15.2%, from $7.0 million for the year ended December 31, 2018 to $5.9 million for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160,773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135,889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151,699</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135,734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11.8 %</w:t>
            </w: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143,880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204,568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(29.7)%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(109,109)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(129,749)</w:t>
            </w:r>
          </w:p>
        </w:tc>
        <w:tc>
          <w:tcPr>
            <w:tcW w:w="1680" w:type="dxa"/>
            <w:vAlign w:val="bottom"/>
            <w:gridSpan w:val="2"/>
          </w:tcPr>
          <w:p>
            <w:pPr>
              <w:jc w:val="right"/>
              <w:spacing w:after="0"/>
              <w:rPr>
                <w:sz w:val="20"/>
                <w:szCs w:val="20"/>
                <w:color w:val="auto"/>
              </w:rPr>
            </w:pPr>
            <w:r>
              <w:rPr>
                <w:rFonts w:ascii="Arial" w:cs="Arial" w:eastAsia="Arial" w:hAnsi="Arial"/>
                <w:sz w:val="18"/>
                <w:szCs w:val="18"/>
                <w:i w:val="1"/>
                <w:iCs w:val="1"/>
                <w:color w:val="auto"/>
              </w:rPr>
              <w:t>(15.9)%</w:t>
            </w: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(69,716)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(39.9)%</w:t>
            </w:r>
          </w:p>
        </w:tc>
      </w:tr>
      <w:tr>
        <w:trPr>
          <w:trHeight w:val="264"/>
        </w:trPr>
        <w:tc>
          <w:tcPr>
            <w:tcW w:w="6540" w:type="dxa"/>
            <w:vAlign w:val="bottom"/>
          </w:tcPr>
          <w:p>
            <w:pPr>
              <w:ind w:left="40"/>
              <w:spacing w:after="0" w:line="264" w:lineRule="exact"/>
              <w:rPr>
                <w:sz w:val="20"/>
                <w:szCs w:val="20"/>
                <w:color w:val="auto"/>
              </w:rPr>
            </w:pPr>
            <w:r>
              <w:rPr>
                <w:rFonts w:ascii="Arial" w:cs="Arial" w:eastAsia="Arial" w:hAnsi="Arial"/>
                <w:sz w:val="18"/>
                <w:szCs w:val="18"/>
                <w:color w:val="auto"/>
              </w:rPr>
              <w:t>Underwriting (loss) profit</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2"/>
                <w:szCs w:val="22"/>
                <w:color w:val="auto"/>
              </w:rPr>
            </w:pPr>
          </w:p>
        </w:tc>
        <w:tc>
          <w:tcPr>
            <w:tcW w:w="1580" w:type="dxa"/>
            <w:vAlign w:val="bottom"/>
          </w:tcPr>
          <w:p>
            <w:pPr>
              <w:jc w:val="right"/>
              <w:ind w:right="159"/>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Loss ratio</w:t>
            </w:r>
          </w:p>
        </w:tc>
        <w:tc>
          <w:tcPr>
            <w:tcW w:w="4320" w:type="dxa"/>
            <w:vAlign w:val="bottom"/>
          </w:tcPr>
          <w:p>
            <w:pPr>
              <w:jc w:val="right"/>
              <w:ind w:right="510"/>
              <w:spacing w:after="0"/>
              <w:rPr>
                <w:sz w:val="20"/>
                <w:szCs w:val="20"/>
                <w:color w:val="auto"/>
              </w:rPr>
            </w:pPr>
            <w:r>
              <w:rPr>
                <w:rFonts w:ascii="Arial" w:cs="Arial" w:eastAsia="Arial" w:hAnsi="Arial"/>
                <w:sz w:val="18"/>
                <w:szCs w:val="18"/>
                <w:color w:val="auto"/>
              </w:rPr>
              <w:t>75.8%</w:t>
            </w:r>
          </w:p>
        </w:tc>
        <w:tc>
          <w:tcPr>
            <w:tcW w:w="2780" w:type="dxa"/>
            <w:vAlign w:val="bottom"/>
          </w:tcPr>
          <w:p>
            <w:pPr>
              <w:jc w:val="right"/>
              <w:ind w:right="1630"/>
              <w:spacing w:after="0"/>
              <w:rPr>
                <w:sz w:val="20"/>
                <w:szCs w:val="20"/>
                <w:color w:val="auto"/>
              </w:rPr>
            </w:pPr>
            <w:r>
              <w:rPr>
                <w:rFonts w:ascii="Arial" w:cs="Arial" w:eastAsia="Arial" w:hAnsi="Arial"/>
                <w:sz w:val="18"/>
                <w:szCs w:val="18"/>
                <w:color w:val="auto"/>
              </w:rPr>
              <w:t>63.4%</w:t>
            </w:r>
          </w:p>
        </w:tc>
      </w:tr>
      <w:tr>
        <w:trPr>
          <w:trHeight w:val="27"/>
        </w:trPr>
        <w:tc>
          <w:tcPr>
            <w:tcW w:w="43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ratio</w:t>
            </w:r>
          </w:p>
        </w:tc>
        <w:tc>
          <w:tcPr>
            <w:tcW w:w="43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29.2%</w:t>
            </w:r>
          </w:p>
        </w:tc>
        <w:tc>
          <w:tcPr>
            <w:tcW w:w="2780" w:type="dxa"/>
            <w:vAlign w:val="bottom"/>
            <w:tcBorders>
              <w:bottom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rPr>
              <w:t>34.1%</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Combined ratio</w:t>
            </w:r>
          </w:p>
        </w:tc>
        <w:tc>
          <w:tcPr>
            <w:tcW w:w="4320" w:type="dxa"/>
            <w:vAlign w:val="bottom"/>
          </w:tcPr>
          <w:p>
            <w:pPr>
              <w:jc w:val="right"/>
              <w:ind w:right="510"/>
              <w:spacing w:after="0"/>
              <w:rPr>
                <w:sz w:val="20"/>
                <w:szCs w:val="20"/>
                <w:color w:val="auto"/>
              </w:rPr>
            </w:pPr>
            <w:r>
              <w:rPr>
                <w:rFonts w:ascii="Arial" w:cs="Arial" w:eastAsia="Arial" w:hAnsi="Arial"/>
                <w:sz w:val="18"/>
                <w:szCs w:val="18"/>
                <w:color w:val="auto"/>
              </w:rPr>
              <w:t>105.0%</w:t>
            </w:r>
          </w:p>
        </w:tc>
        <w:tc>
          <w:tcPr>
            <w:tcW w:w="2780" w:type="dxa"/>
            <w:vAlign w:val="bottom"/>
          </w:tcPr>
          <w:p>
            <w:pPr>
              <w:jc w:val="right"/>
              <w:ind w:right="1630"/>
              <w:spacing w:after="0"/>
              <w:rPr>
                <w:sz w:val="20"/>
                <w:szCs w:val="20"/>
                <w:color w:val="auto"/>
              </w:rPr>
            </w:pPr>
            <w:r>
              <w:rPr>
                <w:rFonts w:ascii="Arial" w:cs="Arial" w:eastAsia="Arial" w:hAnsi="Arial"/>
                <w:sz w:val="18"/>
                <w:szCs w:val="18"/>
                <w:color w:val="auto"/>
              </w:rPr>
              <w:t>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35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right="400" w:hanging="332"/>
        <w:spacing w:after="0" w:line="34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Underwriting (Loss) Profit is a non-GAAP Measure. See “Reconciliation of Non-GAAP Measures” for a reconciliation to income before tax and for additional information.</w:t>
      </w:r>
    </w:p>
    <w:p>
      <w:pPr>
        <w:spacing w:after="0" w:line="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loss ratio of 75.8% for the year ended December 31, 2019 includes $23.1 million, or 16.0 percentage points, of net adverse development in our loss estimates for prior accident years. The 2019 net adverse development was primarily in accident years 2011 through 2016. This adverse development was mainly in the general liability and commercial auto lines of business. The loss ratio of 63.4% for the year ended December 31, 2018 includes $8.2 million, or 4.0 percentage points, of net adverse development in our loss estimates for prior accident years. The 2018 net adverse reserve development was primarily related to losses from risk profiles and treaty structures that we no longer underwrite.</w:t>
      </w:r>
    </w:p>
    <w:p>
      <w:pPr>
        <w:spacing w:after="0" w:line="6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expense ratio of the Casualty Reinsurance segment declined from 34.1% for the year ended December 31, 2018 to 29.2% for the year ended December 31, 2019. The Casualty Reinsurance segment typically structures its reinsurance treaties with loss mitigation features including sliding scale ceding commissions. In 2019, net adverse reserve development on treaties with such features reduced our commissions by $7.1 million or 5.0 percentage points.</w:t>
      </w:r>
    </w:p>
    <w:p>
      <w:pPr>
        <w:spacing w:after="0" w:line="39"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As a result of the items discussed above, the Casualty Reinsurance segment had an underwriting loss of $7.2 million for the year ended December 31, 2019 compared to an underwriting profit of $5.1 million for the year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17" w:lineRule="exact"/>
        <w:rPr>
          <w:sz w:val="20"/>
          <w:szCs w:val="20"/>
          <w:color w:val="auto"/>
        </w:rPr>
      </w:pPr>
    </w:p>
    <w:p>
      <w:pPr>
        <w:jc w:val="both"/>
        <w:ind w:right="40" w:firstLine="351"/>
        <w:spacing w:after="0" w:line="264" w:lineRule="auto"/>
        <w:rPr>
          <w:sz w:val="20"/>
          <w:szCs w:val="20"/>
          <w:color w:val="auto"/>
        </w:rPr>
      </w:pPr>
      <w:r>
        <w:rPr>
          <w:rFonts w:ascii="Arial" w:cs="Arial" w:eastAsia="Arial" w:hAnsi="Arial"/>
          <w:sz w:val="18"/>
          <w:szCs w:val="18"/>
          <w:color w:val="auto"/>
        </w:rPr>
        <w:t>In addition to the underwriting, acquisition and insurance expenses of the Excess and Surplus Lines segment, the Specialty Admitted Insurance segment and the Casualty Reinsurance segment discussed previously, other operating expenses for the Company also includes the expenses of the Corporate and Other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7"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our internal quota share, rating agencies and strategic initiatives. These costs vary from period-to-period based on the status of these initiatives.</w:t>
      </w:r>
    </w:p>
    <w:p>
      <w:pPr>
        <w:spacing w:after="0" w:line="129" w:lineRule="exact"/>
        <w:rPr>
          <w:sz w:val="20"/>
          <w:szCs w:val="20"/>
          <w:color w:val="auto"/>
        </w:rPr>
      </w:pPr>
    </w:p>
    <w:p>
      <w:pPr>
        <w:ind w:right="580" w:firstLine="351"/>
        <w:spacing w:after="0" w:line="264" w:lineRule="auto"/>
        <w:rPr>
          <w:sz w:val="20"/>
          <w:szCs w:val="20"/>
          <w:color w:val="auto"/>
        </w:rPr>
      </w:pPr>
      <w:r>
        <w:rPr>
          <w:rFonts w:ascii="Arial" w:cs="Arial" w:eastAsia="Arial" w:hAnsi="Arial"/>
          <w:sz w:val="18"/>
          <w:szCs w:val="18"/>
          <w:color w:val="auto"/>
        </w:rPr>
        <w:t>For the years ended December 31, 2019 and 2018, the total operating expenses of the Corporate and Other segment were $27.7 million and $26.9 million, representing a 2.8% increase over the prior year. The increases were driven by compensation costs, including stock compensation expenses, associated with increases in headcount.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Results</w:t>
      </w:r>
    </w:p>
    <w:p>
      <w:pPr>
        <w:spacing w:after="0" w:line="117" w:lineRule="exact"/>
        <w:rPr>
          <w:sz w:val="20"/>
          <w:szCs w:val="20"/>
          <w:color w:val="auto"/>
        </w:rPr>
      </w:pPr>
    </w:p>
    <w:p>
      <w:pPr>
        <w:ind w:right="440" w:firstLine="351"/>
        <w:spacing w:after="0" w:line="277" w:lineRule="auto"/>
        <w:rPr>
          <w:sz w:val="20"/>
          <w:szCs w:val="20"/>
          <w:color w:val="auto"/>
        </w:rPr>
      </w:pPr>
      <w:r>
        <w:rPr>
          <w:rFonts w:ascii="Arial" w:cs="Arial" w:eastAsia="Arial" w:hAnsi="Arial"/>
          <w:sz w:val="18"/>
          <w:szCs w:val="18"/>
          <w:color w:val="auto"/>
        </w:rPr>
        <w:t>Net investment income was $75.7 million for the year ended December 31, 2019 compared to $61.3 million in the prior year. The change in our net investment income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6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Renewable energy LLCs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(26.7)%</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Other private investments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2,191</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85.9 %</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21.1 %</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All other net investment income</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69,398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56,091</w:t>
            </w:r>
          </w:p>
        </w:tc>
        <w:tc>
          <w:tcPr>
            <w:tcW w:w="1720" w:type="dxa"/>
            <w:vAlign w:val="bottom"/>
            <w:gridSpan w:val="2"/>
          </w:tcPr>
          <w:p>
            <w:pPr>
              <w:jc w:val="right"/>
              <w:spacing w:after="0"/>
              <w:rPr>
                <w:sz w:val="20"/>
                <w:szCs w:val="20"/>
                <w:color w:val="auto"/>
              </w:rPr>
            </w:pPr>
            <w:r>
              <w:rPr>
                <w:rFonts w:ascii="Arial" w:cs="Arial" w:eastAsia="Arial" w:hAnsi="Arial"/>
                <w:sz w:val="18"/>
                <w:szCs w:val="18"/>
                <w:i w:val="1"/>
                <w:iCs w:val="1"/>
                <w:color w:val="auto"/>
              </w:rPr>
              <w:t>23.7 %</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investment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75,652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61,256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23.5 %</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private investments generated income of $6.3 million and $5.2 million for the years ended December 31, 2019 and 2018, respectively. Excluding private investments, our net investment income increased by 23.7% over the prior year. The higher net investment income in 2019 as compared to 2018 was primarily from fixed maturities, bank loans, and cash, cash equivalents and short-term investments driven by the asset growth in our portfolio.</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39,875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19,772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18,279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5,165</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Gross investment income</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80,373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65,490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(4,721)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75,652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61,256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investment returns:</w:t>
      </w:r>
    </w:p>
    <w:p>
      <w:pPr>
        <w:spacing w:after="0" w:line="27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Annualized gross investment yield on:</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Average cash and invested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fixed maturity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351"/>
        <w:spacing w:after="0" w:line="276" w:lineRule="auto"/>
        <w:rPr>
          <w:sz w:val="20"/>
          <w:szCs w:val="20"/>
          <w:color w:val="auto"/>
        </w:rPr>
      </w:pPr>
      <w:r>
        <w:rPr>
          <w:rFonts w:ascii="Arial" w:cs="Arial" w:eastAsia="Arial" w:hAnsi="Arial"/>
          <w:sz w:val="17"/>
          <w:szCs w:val="17"/>
          <w:color w:val="auto"/>
        </w:rPr>
        <w:t>Of our total cash and invested assets of $2,200.3 million at December 31, 2019 (excluding restricted cash equivalents), $206.9 million represents the cash and cash equivalents portion of the portfolio. The majority of the portfolio, or $1,433.6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$260.9 million of bank loan participations, $80.7 million of equity securities, $156.9 million of short-term investments, and $61.2 million of other invested assets.</w:t>
      </w:r>
    </w:p>
    <w:p>
      <w:pPr>
        <w:spacing w:after="0" w:line="64"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The $260.9 million of bank loan participations in our investment portfolio are classified as held-for-investment and reported at amortized cost, net of any allowance for credit losses. Changes in this credit allowance are included in realized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gains or losses. These bank loan participations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December 31, 2019 and 2018, the fair value of these securities was $252.4 million and $250.7 million, respectively.</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invests selectively in private debt and equity opportunities. These investments comprise the Company’s other invested assets and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primarily focused in renewable energy, limited partnerships, and bank holding companies. Equity interests in various renewable energy LLCs generated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of $2.2 million and $3.0 million for the years ended December 31, 2019 and 2018, respectively. The LLCs are managed by an entity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one of our directors and one of our recent former directors serve as officers, and the Company’s Executive Chairman and Chief Executive Officer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invested in certain of these LLCs. These investments had a carrying value of $31.2 million at December 31, 2019. Investments in loans for renewable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projects had investment income $1.3 million in each of the years ended December 31, 2019 and 2018. One of our directors and one of our recent former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are officers of the entities that issued the loans. The Company has invested in several limited partnerships that invest in concentrated portfolios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publicly-traded small cap equities, loans of middle market private equity sponsored companies, and equity tranches of collateralized loan obligations (CLOs).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these partnerships was $2.4 million in 2019 compared to $566,000 in 2018. Together, these limited partnerships had a carrying value of $16.7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2019. Income from the Company’s investments in renewable energy LLCs and limited partnerships is recognized under the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of accounting. The Company also holds $4.5 million of subordinated notes issued by a bank holding company. Interest income from the notes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$343,000 in each of the years ended December 31, 2019 and 2018. The Company’s Executive Chairman and Chief Executive Officer was previously the Lead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 of the bank holding company and an investor in the bank holding company.</w:t>
      </w:r>
    </w:p>
    <w:p>
      <w:pPr>
        <w:spacing w:after="0" w:line="1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year ended December 31, 2019, the Company recognized net realized and unrealized investment losses of $2.9 million, including $8.9 million of net realized investment losses from an increase in our bank loan credit allowance, $1.1 million of net realized investment losses on the sale of bank loan securities, $6.3 million of gains for the change in the fair value of equity securities, and $1.4 million of net realized investment gains on the sale of fixed maturity securities.</w:t>
      </w:r>
    </w:p>
    <w:p>
      <w:pPr>
        <w:spacing w:after="0" w:line="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year ended December 31, 2018, the Company recognized net realized and unrealized investment losses of $5.5 million, including $6.0 million of losses for the change in fair value of equity securities, $554,000 of net realized investment losses on the sale of fixed maturity securities, $858,000 of net realized investment losses from an increase in our bank loan credit allowance, and net realized investment gains of $2.0 million on the sale of bank loan securities.</w:t>
      </w:r>
    </w:p>
    <w:p>
      <w:pPr>
        <w:spacing w:after="0" w:line="7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 conjunction with its outside investment managers, the Company performs quarterly reviews of all securities within its investment portfolio to determine whether any impairment has occurred.</w:t>
      </w:r>
    </w:p>
    <w:p>
      <w:pPr>
        <w:spacing w:after="0" w:line="6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During 2019, three fixed maturity securities from one issuer were determined to be impaired because we intended to sell the securities at a loss. The Company recorded impairment losses on these securities of $271,000. Management concluded that none of the fixed maturity securities with an unrealized loss at December 31, 2019 or 2018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80" w:lineRule="exact"/>
        <w:rPr>
          <w:sz w:val="20"/>
          <w:szCs w:val="20"/>
          <w:color w:val="auto"/>
        </w:rPr>
      </w:pPr>
    </w:p>
    <w:p>
      <w:pPr>
        <w:ind w:right="60" w:firstLine="351"/>
        <w:spacing w:after="0" w:line="302" w:lineRule="auto"/>
        <w:rPr>
          <w:sz w:val="20"/>
          <w:szCs w:val="20"/>
          <w:color w:val="auto"/>
        </w:rPr>
      </w:pPr>
      <w:r>
        <w:rPr>
          <w:rFonts w:ascii="Arial" w:cs="Arial" w:eastAsia="Arial" w:hAnsi="Arial"/>
          <w:sz w:val="16"/>
          <w:szCs w:val="16"/>
          <w:color w:val="231F20"/>
        </w:rPr>
        <w:t xml:space="preserve">Management concluded that </w:t>
      </w:r>
      <w:r>
        <w:rPr>
          <w:rFonts w:ascii="Arial" w:cs="Arial" w:eastAsia="Arial" w:hAnsi="Arial"/>
          <w:sz w:val="16"/>
          <w:szCs w:val="16"/>
          <w:color w:val="000000"/>
        </w:rPr>
        <w:t>seven</w:t>
      </w:r>
      <w:r>
        <w:rPr>
          <w:rFonts w:ascii="Arial" w:cs="Arial" w:eastAsia="Arial" w:hAnsi="Arial"/>
          <w:sz w:val="16"/>
          <w:szCs w:val="16"/>
          <w:color w:val="231F20"/>
        </w:rPr>
        <w:t xml:space="preserve"> loans from six issuers </w:t>
      </w:r>
      <w:r>
        <w:rPr>
          <w:rFonts w:ascii="Arial" w:cs="Arial" w:eastAsia="Arial" w:hAnsi="Arial"/>
          <w:sz w:val="16"/>
          <w:szCs w:val="16"/>
          <w:color w:val="000000"/>
        </w:rPr>
        <w:t>in the Company's bank loan portfolio were impaired at December 31, 2019. At December 31,</w:t>
      </w:r>
      <w:r>
        <w:rPr>
          <w:rFonts w:ascii="Arial" w:cs="Arial" w:eastAsia="Arial" w:hAnsi="Arial"/>
          <w:sz w:val="16"/>
          <w:szCs w:val="16"/>
          <w:color w:val="231F20"/>
        </w:rPr>
        <w:t xml:space="preserve"> </w:t>
      </w:r>
      <w:r>
        <w:rPr>
          <w:rFonts w:ascii="Arial" w:cs="Arial" w:eastAsia="Arial" w:hAnsi="Arial"/>
          <w:sz w:val="16"/>
          <w:szCs w:val="16"/>
          <w:color w:val="000000"/>
        </w:rPr>
        <w:t>2019, the impaired loans had a carrying value of $6.9 million, unpaid principal of $14.3 million</w:t>
      </w:r>
      <w:r>
        <w:rPr>
          <w:rFonts w:ascii="Arial" w:cs="Arial" w:eastAsia="Arial" w:hAnsi="Arial"/>
          <w:sz w:val="16"/>
          <w:szCs w:val="16"/>
          <w:color w:val="231F20"/>
        </w:rPr>
        <w:t>, and an allowance for credit losses of $7.2 million, $5.1</w:t>
      </w:r>
      <w:r>
        <w:rPr>
          <w:rFonts w:ascii="Arial" w:cs="Arial" w:eastAsia="Arial" w:hAnsi="Arial"/>
          <w:sz w:val="16"/>
          <w:szCs w:val="16"/>
          <w:color w:val="000000"/>
        </w:rPr>
        <w:t xml:space="preserve"> </w:t>
      </w:r>
      <w:r>
        <w:rPr>
          <w:rFonts w:ascii="Arial" w:cs="Arial" w:eastAsia="Arial" w:hAnsi="Arial"/>
          <w:sz w:val="16"/>
          <w:szCs w:val="16"/>
          <w:color w:val="231F20"/>
        </w:rPr>
        <w:t>million of which related to two loans from one issuer who is experiencing liquidity concerns resulting from revenue declines and poor growth prospects in its most profitable segment. Management concluded that none of the loans in the Company's bank loan portfolio were impaired as of December 31, 2018.</w:t>
      </w:r>
    </w:p>
    <w:p>
      <w:pPr>
        <w:spacing w:after="0" w:line="4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 xml:space="preserve">At December 31, 2017, the Company held a participation in a loan with unpaid principal of </w:t>
      </w:r>
      <w:r>
        <w:rPr>
          <w:rFonts w:ascii="Arial" w:cs="Arial" w:eastAsia="Arial" w:hAnsi="Arial"/>
          <w:sz w:val="18"/>
          <w:szCs w:val="18"/>
          <w:color w:val="231F20"/>
        </w:rPr>
        <w:t>$807,000</w:t>
      </w:r>
      <w:r>
        <w:rPr>
          <w:rFonts w:ascii="Arial" w:cs="Arial" w:eastAsia="Arial" w:hAnsi="Arial"/>
          <w:sz w:val="18"/>
          <w:szCs w:val="18"/>
          <w:color w:val="auto"/>
        </w:rPr>
        <w:t xml:space="preserve"> issued by a company that produces and supplies power to Puerto Rico. Management concluded that an allowance for credit losses should be established on the loan at December 31, 2017 to reduce its carrying value to zero. </w:t>
      </w:r>
      <w:r>
        <w:rPr>
          <w:rFonts w:ascii="Arial" w:cs="Arial" w:eastAsia="Arial" w:hAnsi="Arial"/>
          <w:sz w:val="18"/>
          <w:szCs w:val="18"/>
          <w:color w:val="231F20"/>
        </w:rPr>
        <w:t>In the first quarter of 2018, the full outstanding principal on the loan was repaid and the Company recognized a realized gain of</w:t>
      </w:r>
      <w:r>
        <w:rPr>
          <w:rFonts w:ascii="Arial" w:cs="Arial" w:eastAsia="Arial" w:hAnsi="Arial"/>
          <w:sz w:val="18"/>
          <w:szCs w:val="18"/>
          <w:color w:val="auto"/>
        </w:rPr>
        <w:t xml:space="preserve"> </w:t>
      </w:r>
      <w:r>
        <w:rPr>
          <w:rFonts w:ascii="Arial" w:cs="Arial" w:eastAsia="Arial" w:hAnsi="Arial"/>
          <w:sz w:val="18"/>
          <w:szCs w:val="18"/>
          <w:color w:val="231F20"/>
        </w:rPr>
        <w:t>$807,000 on the repayment.</w:t>
      </w:r>
    </w:p>
    <w:p>
      <w:pPr>
        <w:spacing w:after="0" w:line="7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At December 31, 2019, our available-for-sale fixed maturity securities had net unrealized gains of $35.1 million representing 2.5% of the amortized cost of the portfolio. Additionally, at December 31, 2019, 99.6% of our fixed maturity security portfolio was rated “BBB-” or better (“investment grade”) by Standard &amp; Poor’s or had an equivalent rating from another nationally recognized statistical rating organization. The average duration of our investment portfolio was 3.3 years at December 31, 2019.</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338" w:lineRule="exact"/>
        <w:rPr>
          <w:sz w:val="20"/>
          <w:szCs w:val="20"/>
          <w:color w:val="auto"/>
        </w:rPr>
      </w:pPr>
    </w:p>
    <w:tbl>
      <w:tblPr>
        <w:tblLayout w:type="fixed"/>
        <w:tblInd w:w="3540" w:type="dxa"/>
        <w:tblCellMar>
          <w:top w:w="0" w:type="dxa"/>
          <w:left w:w="0" w:type="dxa"/>
          <w:bottom w:w="0" w:type="dxa"/>
          <w:right w:w="0" w:type="dxa"/>
        </w:tblCellMar>
      </w:tblPr>
      <w:tr>
        <w:trPr>
          <w:trHeight w:val="192"/>
        </w:trPr>
        <w:tc>
          <w:tcPr>
            <w:tcW w:w="1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Cost or</w:t>
            </w:r>
          </w:p>
        </w:tc>
        <w:tc>
          <w:tcPr>
            <w:tcW w:w="158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of Total</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Cost or</w:t>
            </w:r>
          </w:p>
        </w:tc>
        <w:tc>
          <w:tcPr>
            <w:tcW w:w="1580" w:type="dxa"/>
            <w:vAlign w:val="bottom"/>
          </w:tcPr>
          <w:p>
            <w:pPr>
              <w:spacing w:after="0"/>
              <w:rPr>
                <w:sz w:val="13"/>
                <w:szCs w:val="13"/>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Cost</w:t>
            </w:r>
          </w:p>
        </w:tc>
        <w:tc>
          <w:tcPr>
            <w:tcW w:w="1580" w:type="dxa"/>
            <w:vAlign w:val="bottom"/>
            <w:vMerge w:val="continue"/>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Cost</w:t>
            </w:r>
          </w:p>
        </w:tc>
        <w:tc>
          <w:tcPr>
            <w:tcW w:w="1580" w:type="dxa"/>
            <w:vAlign w:val="bottom"/>
            <w:vMerge w:val="continue"/>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7620</wp:posOffset>
            </wp:positionV>
            <wp:extent cx="50082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14" w:lineRule="exact"/>
        <w:rPr>
          <w:sz w:val="20"/>
          <w:szCs w:val="20"/>
          <w:color w:val="auto"/>
        </w:rPr>
      </w:pPr>
    </w:p>
    <w:p>
      <w:pPr>
        <w:ind w:left="700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 available-for-sale: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State and municipal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159,894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167,101</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11.7%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147,160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149,295</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12.6%</w:t>
            </w: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17.2%</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611,304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632,221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44.1%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534,024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524,768</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44.3%</w:t>
            </w: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mortgage and asset-backed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197,025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16.6%</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U.S. Treasury securities and obligations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540" w:type="dxa"/>
            <w:vAlign w:val="bottom"/>
          </w:tcPr>
          <w:p>
            <w:pPr>
              <w:ind w:left="340"/>
              <w:spacing w:after="0"/>
              <w:rPr>
                <w:sz w:val="20"/>
                <w:szCs w:val="20"/>
                <w:color w:val="auto"/>
              </w:rPr>
            </w:pPr>
            <w:r>
              <w:rPr>
                <w:rFonts w:ascii="Arial" w:cs="Arial" w:eastAsia="Arial" w:hAnsi="Arial"/>
                <w:sz w:val="16"/>
                <w:szCs w:val="16"/>
                <w:color w:val="auto"/>
              </w:rPr>
              <w:t>guaranteed by the U.S. government</w:t>
            </w:r>
          </w:p>
        </w:tc>
        <w:tc>
          <w:tcPr>
            <w:tcW w:w="3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114,477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115,667</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107,803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107,193</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9.1%</w:t>
            </w: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Redeemable preferred stock</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0.2%</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 fixed maturity securities, available-for-sale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1,398,533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1,433,626</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1,199,409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1,184,202</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i w:val="1"/>
                <w:iCs w:val="1"/>
                <w:color w:val="auto"/>
              </w:rPr>
              <w:t>100.0%</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composition of the Company’s portfolio of fixed maturity securities by rating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ind w:left="4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8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3"/>
          </w:tcPr>
          <w:p>
            <w:pPr>
              <w:jc w:val="right"/>
              <w:ind w:right="980"/>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245,999</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AA</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548,402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503,034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BBB</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130,888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BBB and unrated</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5,303</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1,433,626</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351"/>
        <w:spacing w:after="0" w:line="277" w:lineRule="auto"/>
        <w:rPr>
          <w:sz w:val="20"/>
          <w:szCs w:val="20"/>
          <w:color w:val="auto"/>
        </w:rPr>
      </w:pPr>
      <w:r>
        <w:rPr>
          <w:rFonts w:ascii="Arial" w:cs="Arial" w:eastAsia="Arial" w:hAnsi="Arial"/>
          <w:sz w:val="18"/>
          <w:szCs w:val="18"/>
          <w:color w:val="auto"/>
        </w:rPr>
        <w:t>At December 31, 2019, our portfolio of available-for-sale fixed maturity securities contained corporate fixed maturity securities with a fair value of $632.2 million. A summary of these securities by industry segment is shown below as of December 31,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Industry</w:t>
            </w:r>
          </w:p>
        </w:tc>
        <w:tc>
          <w:tcPr>
            <w:tcW w:w="4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3"/>
          </w:tcPr>
          <w:p>
            <w:pPr>
              <w:jc w:val="right"/>
              <w:ind w:right="972"/>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Industrials and other</w:t>
            </w:r>
          </w:p>
        </w:tc>
        <w:tc>
          <w:tcPr>
            <w:tcW w:w="4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148,838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Consumer Discretionary</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90,631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Health Care</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79,691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Staples</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78,175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632,221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340" w:firstLine="351"/>
        <w:spacing w:after="0" w:line="277" w:lineRule="auto"/>
        <w:rPr>
          <w:sz w:val="20"/>
          <w:szCs w:val="20"/>
          <w:color w:val="auto"/>
        </w:rPr>
      </w:pPr>
      <w:r>
        <w:rPr>
          <w:rFonts w:ascii="Arial" w:cs="Arial" w:eastAsia="Arial" w:hAnsi="Arial"/>
          <w:sz w:val="18"/>
          <w:szCs w:val="18"/>
          <w:color w:val="auto"/>
        </w:rPr>
        <w:t>Corporate available-for-sale fixed maturity securities include public traded securities and privately placed bonds as shown below as of December 31,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gridSpan w:val="2"/>
          </w:tcPr>
          <w:p>
            <w:pPr>
              <w:ind w:left="40"/>
              <w:spacing w:after="0"/>
              <w:rPr>
                <w:sz w:val="20"/>
                <w:szCs w:val="20"/>
                <w:color w:val="auto"/>
              </w:rPr>
            </w:pPr>
            <w:r>
              <w:rPr>
                <w:rFonts w:ascii="Arial" w:cs="Arial" w:eastAsia="Arial" w:hAnsi="Arial"/>
                <w:sz w:val="14"/>
                <w:szCs w:val="14"/>
                <w:b w:val="1"/>
                <w:bCs w:val="1"/>
                <w:color w:val="auto"/>
              </w:rPr>
              <w:t>Public/Private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8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9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56"/>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Publicly traded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579,807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Privately placed</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52,414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632,221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8"/>
              </w:rPr>
              <w:t>($ in thousands)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One year or less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81,705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82,048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one year through five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466,952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32.7%</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After five years through ten years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219,717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228,596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ten years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137,393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885,675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914,989</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63.9%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264,146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249,309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252,457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i w:val="1"/>
                <w:iCs w:val="1"/>
                <w:color w:val="auto"/>
              </w:rPr>
              <w:t>17.6%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0" w:type="dxa"/>
            <w:vAlign w:val="bottom"/>
          </w:tcPr>
          <w:p>
            <w:pPr>
              <w:spacing w:after="0"/>
              <w:rPr>
                <w:sz w:val="1"/>
                <w:szCs w:val="1"/>
                <w:color w:val="auto"/>
              </w:rPr>
            </w:pP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1,398,533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1,433,626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60" w:firstLine="351"/>
        <w:spacing w:after="0" w:line="375" w:lineRule="auto"/>
        <w:rPr>
          <w:sz w:val="20"/>
          <w:szCs w:val="20"/>
          <w:color w:val="auto"/>
        </w:rPr>
      </w:pPr>
      <w:r>
        <w:rPr>
          <w:rFonts w:ascii="Arial" w:cs="Arial" w:eastAsia="Arial" w:hAnsi="Arial"/>
          <w:sz w:val="18"/>
          <w:szCs w:val="18"/>
          <w:color w:val="auto"/>
        </w:rPr>
        <w:t xml:space="preserve">At December 31, 2019, the Company had no investments in securitizations of alternative-A mortgages or sub-prime mortgages. </w:t>
      </w:r>
      <w:r>
        <w:rPr>
          <w:rFonts w:ascii="Arial" w:cs="Arial" w:eastAsia="Arial" w:hAnsi="Arial"/>
          <w:sz w:val="18"/>
          <w:szCs w:val="18"/>
          <w:i w:val="1"/>
          <w:iCs w:val="1"/>
          <w:color w:val="auto"/>
        </w:rPr>
        <w:t>Other Expenses</w:t>
      </w:r>
    </w:p>
    <w:p>
      <w:pPr>
        <w:spacing w:after="0" w:line="1"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Other expenses of $1.1 million and $1.3 million for the years ended December 31, 2019 and 2018, respectively, were largely comprised of employee severance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20" w:firstLine="351"/>
        <w:spacing w:after="0" w:line="308" w:lineRule="auto"/>
        <w:rPr>
          <w:sz w:val="20"/>
          <w:szCs w:val="20"/>
          <w:color w:val="auto"/>
        </w:rPr>
      </w:pPr>
      <w:r>
        <w:rPr>
          <w:rFonts w:ascii="Arial" w:cs="Arial" w:eastAsia="Arial" w:hAnsi="Arial"/>
          <w:sz w:val="17"/>
          <w:szCs w:val="17"/>
          <w:color w:val="auto"/>
        </w:rPr>
        <w:t>Interest expense was $10.6 million and $11.6 million for the years ended December 31, 2019 and 2018, respectively. See “—Liquidity and Capital Resources—Sources and Uses of Funds” for information regarding our senior debt facilities and trust preferred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recorded $597,000 of amortization of intangibles for each of the years ended December 31,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Impairment</w:t>
      </w:r>
    </w:p>
    <w:p>
      <w:pPr>
        <w:spacing w:after="0" w:line="11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9" w:lineRule="exact"/>
        <w:rPr>
          <w:sz w:val="20"/>
          <w:szCs w:val="20"/>
          <w:color w:val="auto"/>
        </w:rPr>
      </w:pPr>
    </w:p>
    <w:p>
      <w:pPr>
        <w:jc w:val="both"/>
        <w:ind w:right="40" w:firstLine="351"/>
        <w:spacing w:after="0" w:line="264" w:lineRule="auto"/>
        <w:rPr>
          <w:sz w:val="20"/>
          <w:szCs w:val="20"/>
          <w:color w:val="auto"/>
        </w:rPr>
      </w:pPr>
      <w:r>
        <w:rPr>
          <w:rFonts w:ascii="Arial" w:cs="Arial" w:eastAsia="Arial" w:hAnsi="Arial"/>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73"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The Company completed its impairment tests and fair value analysis for goodwill and other intangible assets during the fourth quarter of 2019 and 2018. Falls Lake General was merged into Falls Lake National in the fourth quarter of 2018. In connection with this merger, Falls Lake General surrendered its licenses to the various state insurance departments and reduced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value of its intangible asset for "State Licenses" to $0. This caused a $200,000 impairment in 2018. No impairment was present for the year ended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color w:val="auto"/>
        </w:rPr>
        <w:t>Our effective tax rate fluctuates from period to period based on the relative mix of income reported by country and the respective tax rates imposed by each tax jurisdiction. For the years ended December 31, 2019 and 2018, our effective tax rate was 26.1% and 9.9%, respectively The effective tax rate for the year ended December 31, 2019 was elevated due to the significant adverse development in the 2016 and 2017 accident years for the commercial auto business, and the related impact on the mix of income reported by country.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 Compared to Year Ended December 31, 2017</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 discussion of our results for the year ended December 31, 2018 as compared to year ended December 31, 2017, please refer to our 2018 Form 10-K filed with the SEC on February 27,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ind w:right="20" w:firstLine="351"/>
        <w:spacing w:after="0" w:line="269"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“Regulation—U.S. Insurance Regulation—State Regulation” for additional information. 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See Item 1-“Regulation- Bermuda Insurance Regulation- Restrictions on Dividends and Distributions” for additional information. The maximum combined amount of dividends and return of capital available to us from our Bermuda insurers in 2019 is calculated to be approximately $125.6 million. However, this dividend amount is subject to annual enhanced solvency requirement calculations. Additionally, the maximum amount of dividends available to the U.S. holding company from our U.S. insurance subsidiaries during 2019 without regulatory approval is $26.7 million.</w:t>
      </w:r>
    </w:p>
    <w:p>
      <w:pPr>
        <w:spacing w:after="0" w:line="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At December 31, 2019, our Bermuda holding company had $1.5 million of cash and cash equivalent assets. At December 31, 2019, our U.S. holding company had $52.4 million of cash and invested assets, comprised of cash and cash equivalents of $4.5 million and other invested assets of $47.9 million, which are not subject to regulatory restrictions. Additionally, our U.K. intermediate holding company had no invested assets and cash of less than $10,000 at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ind w:right="400" w:firstLine="351"/>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2019:</w:t>
      </w:r>
    </w:p>
    <w:p>
      <w:pPr>
        <w:spacing w:after="0" w:line="89" w:lineRule="exact"/>
        <w:rPr>
          <w:sz w:val="20"/>
          <w:szCs w:val="20"/>
          <w:color w:val="auto"/>
        </w:rPr>
      </w:pPr>
    </w:p>
    <w:p>
      <w:pPr>
        <w:ind w:left="660" w:right="100" w:hanging="328"/>
        <w:spacing w:after="0" w:line="31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2019, the Company had $77.6 million of letters of credit issued under the secured facility.</w:t>
      </w:r>
    </w:p>
    <w:p>
      <w:pPr>
        <w:spacing w:after="0" w:line="41" w:lineRule="exact"/>
        <w:rPr>
          <w:rFonts w:ascii="Arial" w:cs="Arial" w:eastAsia="Arial" w:hAnsi="Arial"/>
          <w:sz w:val="18"/>
          <w:szCs w:val="18"/>
          <w:color w:val="auto"/>
        </w:rPr>
      </w:pPr>
    </w:p>
    <w:p>
      <w:pPr>
        <w:jc w:val="both"/>
        <w:ind w:left="660" w:right="4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at December 31, 2019 was 1.375% and is subject to change according to terms in the credit agreement. At</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125" w:right="31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2019 and 2018, the Company had a drawn balance of $133.3 million outstanding on the unsecured revolver.</w:t>
      </w:r>
    </w:p>
    <w:p>
      <w:pPr>
        <w:spacing w:after="0" w:line="11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9"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2019.</w:t>
      </w:r>
    </w:p>
    <w:p>
      <w:pPr>
        <w:spacing w:after="0" w:line="6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(the "2017 Facility") that provides the Company with a revolving line of credit of up to $100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which we are in compliance with at December 31, 2019.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At December 31, 2019, unsecured loans of $10.0 million and secured letters of credit totaling $21.9 million were outstanding on the 2017 Facility.</w:t>
      </w:r>
    </w:p>
    <w:p>
      <w:pPr>
        <w:spacing w:after="0" w:line="58" w:lineRule="exact"/>
        <w:rPr>
          <w:sz w:val="20"/>
          <w:szCs w:val="20"/>
          <w:color w:val="auto"/>
        </w:rPr>
      </w:pPr>
    </w:p>
    <w:p>
      <w:pPr>
        <w:ind w:right="160" w:firstLine="351"/>
        <w:spacing w:after="0" w:line="276" w:lineRule="auto"/>
        <w:rPr>
          <w:sz w:val="20"/>
          <w:szCs w:val="20"/>
          <w:color w:val="auto"/>
        </w:rPr>
      </w:pPr>
      <w:r>
        <w:rPr>
          <w:rFonts w:ascii="Arial" w:cs="Arial" w:eastAsia="Arial" w:hAnsi="Arial"/>
          <w:sz w:val="17"/>
          <w:szCs w:val="17"/>
          <w:color w:val="auto"/>
        </w:rPr>
        <w:t>In May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December 31, 2019, and which, among other things, restrict our ability to assume senior indebtedness secured by our U.S. holding company's common stock or its subsidiaries' capital stock or to issue shares of its subsidiaries' capital stock.</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is included in “accrued expenses” in the accompanying consolidated balance sheets.</w:t>
      </w:r>
    </w:p>
    <w:p>
      <w:pPr>
        <w:spacing w:after="0" w:line="117" w:lineRule="exact"/>
        <w:rPr>
          <w:sz w:val="20"/>
          <w:szCs w:val="20"/>
          <w:color w:val="auto"/>
        </w:rPr>
      </w:pPr>
    </w:p>
    <w:p>
      <w:pPr>
        <w:ind w:right="340" w:firstLine="351"/>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December 31, 2019 (including the Company’s repurchase of a portion of these trust preferred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James River</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8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Trust II</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ind w:left="320"/>
              <w:spacing w:after="0"/>
              <w:rPr>
                <w:sz w:val="20"/>
                <w:szCs w:val="20"/>
                <w:color w:val="auto"/>
              </w:rPr>
            </w:pPr>
            <w:r>
              <w:rPr>
                <w:rFonts w:ascii="Arial" w:cs="Arial" w:eastAsia="Arial" w:hAnsi="Arial"/>
                <w:sz w:val="14"/>
                <w:szCs w:val="14"/>
                <w:b w:val="1"/>
                <w:bCs w:val="1"/>
                <w:i w:val="1"/>
                <w:iCs w:val="1"/>
                <w:color w:val="auto"/>
              </w:rPr>
              <w:t>($ in thousands)</w:t>
            </w: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Issue date</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26, 2004</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December 15, 2004</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15, 2006</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11, 2007</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January 10, 2008</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Principal amount of trust preferred securities</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$7,000</w:t>
            </w: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$20,000</w:t>
            </w: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$54,000</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$30,000</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Principal amount of junior subordinated debt</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$7,217</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$20,619</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$55,670</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$30,928</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w w:val="98"/>
              </w:rPr>
              <w:t>Carrying amount of junior subordinated debt net</w:t>
            </w:r>
          </w:p>
        </w:tc>
        <w:tc>
          <w:tcPr>
            <w:tcW w:w="1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0"/>
              <w:spacing w:after="0"/>
              <w:rPr>
                <w:sz w:val="20"/>
                <w:szCs w:val="20"/>
                <w:color w:val="auto"/>
              </w:rPr>
            </w:pPr>
            <w:r>
              <w:rPr>
                <w:rFonts w:ascii="Arial" w:cs="Arial" w:eastAsia="Arial" w:hAnsi="Arial"/>
                <w:sz w:val="14"/>
                <w:szCs w:val="14"/>
                <w:color w:val="auto"/>
              </w:rPr>
              <w:t>of repurchases</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$7,217</w:t>
            </w: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$15,464</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$20,619</w:t>
            </w: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$44,827</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$15,928</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Maturity date of junior subordinated debt, unless</w:t>
            </w:r>
          </w:p>
        </w:tc>
        <w:tc>
          <w:tcPr>
            <w:tcW w:w="15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accelerated earlier</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24, 2034</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December 15, 2034</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June 15, 2036</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March 15, 2038</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Trust common stock</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$464</w:t>
            </w:r>
          </w:p>
        </w:tc>
        <w:tc>
          <w:tcPr>
            <w:tcW w:w="162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$1,670</w:t>
            </w:r>
          </w:p>
        </w:tc>
        <w:tc>
          <w:tcPr>
            <w:tcW w:w="162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per annum</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Three-Month</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Three-Month</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Three-Month</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LIBOR plus</w:t>
            </w: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LIBOR plus</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LIBOR plus</w:t>
            </w:r>
          </w:p>
        </w:tc>
        <w:tc>
          <w:tcPr>
            <w:tcW w:w="1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LIBOR plus</w:t>
            </w:r>
          </w:p>
        </w:tc>
        <w:tc>
          <w:tcPr>
            <w:tcW w:w="1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LIBOR plus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3.0%</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junior subordinated debt contains certain covenants with which we are in compliance as of December 31, 2019.</w:t>
      </w:r>
    </w:p>
    <w:p>
      <w:pPr>
        <w:spacing w:after="0" w:line="117" w:lineRule="exact"/>
        <w:rPr>
          <w:sz w:val="20"/>
          <w:szCs w:val="20"/>
          <w:color w:val="auto"/>
        </w:rPr>
      </w:pPr>
    </w:p>
    <w:p>
      <w:pPr>
        <w:ind w:right="120" w:firstLine="351"/>
        <w:spacing w:after="0" w:line="286" w:lineRule="auto"/>
        <w:rPr>
          <w:sz w:val="20"/>
          <w:szCs w:val="20"/>
          <w:color w:val="auto"/>
        </w:rPr>
      </w:pPr>
      <w:r>
        <w:rPr>
          <w:rFonts w:ascii="Arial" w:cs="Arial" w:eastAsia="Arial" w:hAnsi="Arial"/>
          <w:sz w:val="17"/>
          <w:szCs w:val="17"/>
          <w:color w:val="auto"/>
        </w:rPr>
        <w:t>At December 31, 2019 and December 31, 2018, the ratio of total debt outstanding, including both senior debt and junior subordinated debt, to total capitalization (defined as total debt plus total shareholders’ equity) was 25.2% and 23.9%, respectively. Having debt as part of our capital structure allows us to generate a higher return on equity and greater book value per share results than we could by using equity capital alone.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years ended December 31, 2019, 2018, and 2017 our net premium retention was 60.9%, 65.4% and 70.9%, respectively.</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Line of Business</w:t>
            </w:r>
          </w:p>
        </w:tc>
        <w:tc>
          <w:tcPr>
            <w:tcW w:w="340" w:type="dxa"/>
            <w:vAlign w:val="bottom"/>
          </w:tcPr>
          <w:p>
            <w:pPr>
              <w:spacing w:after="0"/>
              <w:rPr>
                <w:sz w:val="16"/>
                <w:szCs w:val="16"/>
                <w:color w:val="auto"/>
              </w:rPr>
            </w:pPr>
          </w:p>
        </w:tc>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 Retention</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1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29"/>
        </w:trPr>
        <w:tc>
          <w:tcPr>
            <w:tcW w:w="4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Primary Specialty Casualty, including Professional</w:t>
            </w:r>
          </w:p>
        </w:tc>
        <w:tc>
          <w:tcPr>
            <w:tcW w:w="7180" w:type="dxa"/>
            <w:vAlign w:val="bottom"/>
            <w:shd w:val="clear" w:color="auto" w:fill="CCEEFF"/>
          </w:tcPr>
          <w:p>
            <w:pPr>
              <w:spacing w:after="0"/>
              <w:rPr>
                <w:sz w:val="19"/>
                <w:szCs w:val="19"/>
                <w:color w:val="auto"/>
              </w:rPr>
            </w:pPr>
          </w:p>
        </w:tc>
      </w:tr>
      <w:tr>
        <w:trPr>
          <w:trHeight w:val="257"/>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718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Up to $1.0 million per occurrence, subject to a $1.0 million aggregate deductible.</w:t>
            </w:r>
            <w:r>
              <w:rPr>
                <w:rFonts w:ascii="Arial" w:cs="Arial" w:eastAsia="Arial" w:hAnsi="Arial"/>
                <w:sz w:val="25"/>
                <w:szCs w:val="25"/>
                <w:color w:val="auto"/>
                <w:vertAlign w:val="superscript"/>
              </w:rPr>
              <w:t>(1)</w:t>
            </w:r>
          </w:p>
        </w:tc>
      </w:tr>
      <w:tr>
        <w:trPr>
          <w:trHeight w:val="27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Primary Casualty</w:t>
            </w:r>
          </w:p>
        </w:tc>
        <w:tc>
          <w:tcPr>
            <w:tcW w:w="7180" w:type="dxa"/>
            <w:vAlign w:val="bottom"/>
          </w:tcPr>
          <w:p>
            <w:pPr>
              <w:ind w:left="20"/>
              <w:spacing w:after="0" w:line="270"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5"/>
                <w:szCs w:val="25"/>
                <w:color w:val="auto"/>
                <w:vertAlign w:val="superscript"/>
              </w:rPr>
              <w:t>(2)</w:t>
            </w:r>
          </w:p>
        </w:tc>
      </w:tr>
      <w:tr>
        <w:trPr>
          <w:trHeight w:val="270"/>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Casualty</w:t>
            </w:r>
          </w:p>
        </w:tc>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Up to $1.0 million per occurrence.</w:t>
            </w:r>
            <w:r>
              <w:rPr>
                <w:rFonts w:ascii="Arial" w:cs="Arial" w:eastAsia="Arial" w:hAnsi="Arial"/>
                <w:sz w:val="25"/>
                <w:szCs w:val="25"/>
                <w:color w:val="auto"/>
                <w:vertAlign w:val="superscript"/>
              </w:rPr>
              <w:t>(3)</w:t>
            </w:r>
          </w:p>
        </w:tc>
      </w:tr>
      <w:tr>
        <w:trPr>
          <w:trHeight w:val="341"/>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Property</w:t>
            </w:r>
          </w:p>
        </w:tc>
        <w:tc>
          <w:tcPr>
            <w:tcW w:w="7180" w:type="dxa"/>
            <w:vAlign w:val="bottom"/>
          </w:tcPr>
          <w:p>
            <w:pPr>
              <w:ind w:left="20"/>
              <w:spacing w:after="0"/>
              <w:rPr>
                <w:sz w:val="20"/>
                <w:szCs w:val="20"/>
                <w:color w:val="auto"/>
              </w:rPr>
            </w:pPr>
            <w:r>
              <w:rPr>
                <w:rFonts w:ascii="Arial" w:cs="Arial" w:eastAsia="Arial" w:hAnsi="Arial"/>
                <w:sz w:val="18"/>
                <w:szCs w:val="18"/>
                <w:color w:val="auto"/>
              </w:rPr>
              <w:t>Up to $5.0 million per event.</w:t>
            </w:r>
            <w:r>
              <w:rPr>
                <w:rFonts w:ascii="Arial" w:cs="Arial" w:eastAsia="Arial" w:hAnsi="Arial"/>
                <w:sz w:val="25"/>
                <w:szCs w:val="25"/>
                <w:color w:val="auto"/>
                <w:vertAlign w:val="superscript"/>
              </w:rPr>
              <w:t>(4)</w:t>
            </w:r>
          </w:p>
        </w:tc>
      </w:tr>
    </w:tbl>
    <w:p>
      <w:pPr>
        <w:spacing w:after="0" w:line="2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49" w:lineRule="exact"/>
        <w:rPr>
          <w:rFonts w:ascii="Arial" w:cs="Arial" w:eastAsia="Arial" w:hAnsi="Arial"/>
          <w:sz w:val="18"/>
          <w:szCs w:val="18"/>
          <w:i w:val="1"/>
          <w:iCs w:val="1"/>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60" w:lineRule="exact"/>
        <w:rPr>
          <w:rFonts w:ascii="Arial" w:cs="Arial" w:eastAsia="Arial" w:hAnsi="Arial"/>
          <w:sz w:val="17"/>
          <w:szCs w:val="17"/>
          <w:i w:val="1"/>
          <w:iCs w:val="1"/>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3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$7.1 million, including reinstatement premiums and net retentions. In addition to this retention, we would retain any losses in excess of our reinsurance coverage limits.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Effective March 1, 2019, our largest Commercial Auto ride share account was subject to an auto liability quota share reinsurance contract that contains a $10.0 million occurrence cap and an annual aggregate of 200% of subject premium.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Line of Business</w:t>
            </w:r>
          </w:p>
        </w:tc>
        <w:tc>
          <w:tcPr>
            <w:tcW w:w="460" w:type="dxa"/>
            <w:vAlign w:val="bottom"/>
          </w:tcPr>
          <w:p>
            <w:pPr>
              <w:spacing w:after="0"/>
              <w:rPr>
                <w:sz w:val="16"/>
                <w:szCs w:val="16"/>
                <w:color w:val="auto"/>
              </w:rPr>
            </w:pPr>
          </w:p>
        </w:tc>
        <w:tc>
          <w:tcPr>
            <w:tcW w:w="752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Coverage</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Casualty</w:t>
            </w:r>
          </w:p>
        </w:tc>
        <w:tc>
          <w:tcPr>
            <w:tcW w:w="75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Workers’ Compensation</w:t>
            </w:r>
          </w:p>
        </w:tc>
        <w:tc>
          <w:tcPr>
            <w:tcW w:w="75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Quota share coverage for 50% of the first $600,000.</w:t>
            </w:r>
            <w:r>
              <w:rPr>
                <w:rFonts w:ascii="Arial" w:cs="Arial" w:eastAsia="Arial" w:hAnsi="Arial"/>
                <w:sz w:val="25"/>
                <w:szCs w:val="25"/>
                <w:color w:val="auto"/>
                <w:vertAlign w:val="superscript"/>
              </w:rPr>
              <w:t>(1)(2)</w:t>
            </w:r>
          </w:p>
        </w:tc>
      </w:tr>
      <w:tr>
        <w:trPr>
          <w:trHeight w:val="257"/>
        </w:trPr>
        <w:tc>
          <w:tcPr>
            <w:tcW w:w="3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52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Excess of loss coverage for $29.4 million in excess of $600,000.</w:t>
            </w:r>
            <w:r>
              <w:rPr>
                <w:rFonts w:ascii="Arial" w:cs="Arial" w:eastAsia="Arial" w:hAnsi="Arial"/>
                <w:sz w:val="25"/>
                <w:szCs w:val="25"/>
                <w:color w:val="auto"/>
                <w:vertAlign w:val="superscript"/>
              </w:rPr>
              <w:t>(1)(2)</w:t>
            </w:r>
          </w:p>
        </w:tc>
      </w:tr>
      <w:tr>
        <w:trPr>
          <w:trHeight w:val="229"/>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Auto Programs</w:t>
            </w:r>
          </w:p>
        </w:tc>
        <w:tc>
          <w:tcPr>
            <w:tcW w:w="7520" w:type="dxa"/>
            <w:vAlign w:val="bottom"/>
          </w:tcPr>
          <w:p>
            <w:pPr>
              <w:ind w:left="20"/>
              <w:spacing w:after="0"/>
              <w:rPr>
                <w:sz w:val="20"/>
                <w:szCs w:val="20"/>
                <w:color w:val="auto"/>
              </w:rPr>
            </w:pPr>
            <w:r>
              <w:rPr>
                <w:rFonts w:ascii="Arial" w:cs="Arial" w:eastAsia="Arial" w:hAnsi="Arial"/>
                <w:sz w:val="18"/>
                <w:szCs w:val="18"/>
                <w:color w:val="auto"/>
              </w:rPr>
              <w:t>Quota share coverage for 85-90% of limits up to $1.5 million liability and $5.0 million physical</w:t>
            </w: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29"/>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Liability &amp; Professional Liability –</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87.5% - 100% of limits up to $2.0 million per occurrence.</w:t>
            </w:r>
          </w:p>
        </w:tc>
      </w:tr>
      <w:tr>
        <w:trPr>
          <w:trHeight w:val="237"/>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7520" w:type="dxa"/>
            <w:vAlign w:val="bottom"/>
            <w:tcBorders>
              <w:bottom w:val="single" w:sz="8" w:color="CCEEFF"/>
            </w:tcBorders>
            <w:shd w:val="clear" w:color="auto" w:fill="CCEEFF"/>
          </w:tcPr>
          <w:p>
            <w:pPr>
              <w:spacing w:after="0"/>
              <w:rPr>
                <w:sz w:val="20"/>
                <w:szCs w:val="20"/>
                <w:color w:val="auto"/>
              </w:rPr>
            </w:pPr>
          </w:p>
        </w:tc>
      </w:tr>
      <w:tr>
        <w:trPr>
          <w:trHeight w:val="229"/>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Umbrella and Excess Casualty - Programs</w:t>
            </w:r>
          </w:p>
        </w:tc>
        <w:tc>
          <w:tcPr>
            <w:tcW w:w="7520" w:type="dxa"/>
            <w:vAlign w:val="bottom"/>
          </w:tcPr>
          <w:p>
            <w:pPr>
              <w:ind w:left="20"/>
              <w:spacing w:after="0"/>
              <w:rPr>
                <w:sz w:val="20"/>
                <w:szCs w:val="20"/>
                <w:color w:val="auto"/>
              </w:rPr>
            </w:pPr>
            <w:r>
              <w:rPr>
                <w:rFonts w:ascii="Arial" w:cs="Arial" w:eastAsia="Arial" w:hAnsi="Arial"/>
                <w:sz w:val="18"/>
                <w:szCs w:val="18"/>
                <w:color w:val="auto"/>
                <w:w w:val="92"/>
              </w:rPr>
              <w:t>Quota share coverage for 92.5%-100% of limits up to $10.0 million per occurrence, and excess of loss</w:t>
            </w:r>
          </w:p>
        </w:tc>
      </w:tr>
      <w:tr>
        <w:trPr>
          <w:trHeight w:val="230"/>
        </w:trPr>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coverage for $5.0 million in excess of $10.0 million.</w:t>
            </w: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w:t>
            </w:r>
          </w:p>
        </w:tc>
        <w:tc>
          <w:tcPr>
            <w:tcW w:w="7520" w:type="dxa"/>
            <w:vAlign w:val="bottom"/>
            <w:tcBorders>
              <w:bottom w:val="single" w:sz="8" w:color="CCEEFF"/>
            </w:tcBorders>
            <w:shd w:val="clear" w:color="auto" w:fill="CCEEFF"/>
          </w:tcPr>
          <w:p>
            <w:pPr>
              <w:spacing w:after="0"/>
              <w:rPr>
                <w:sz w:val="21"/>
                <w:szCs w:val="21"/>
                <w:color w:val="auto"/>
              </w:rPr>
            </w:pPr>
          </w:p>
        </w:tc>
      </w:tr>
      <w:tr>
        <w:trPr>
          <w:trHeight w:val="229"/>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Commercial Property within Package -</w:t>
            </w:r>
          </w:p>
        </w:tc>
        <w:tc>
          <w:tcPr>
            <w:tcW w:w="75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Quota share coverage for 100% of limits up to $25.0 million per occurrence. </w:t>
            </w:r>
            <w:r>
              <w:rPr>
                <w:rFonts w:ascii="Arial" w:cs="Arial" w:eastAsia="Arial" w:hAnsi="Arial"/>
                <w:sz w:val="25"/>
                <w:szCs w:val="25"/>
                <w:color w:val="auto"/>
                <w:vertAlign w:val="superscript"/>
              </w:rPr>
              <w:t>(3)</w:t>
            </w:r>
          </w:p>
        </w:tc>
      </w:tr>
      <w:tr>
        <w:trPr>
          <w:trHeight w:val="23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75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43"/>
        </w:trPr>
        <w:tc>
          <w:tcPr>
            <w:tcW w:w="3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Coverage</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7"/>
        </w:trPr>
        <w:tc>
          <w:tcPr>
            <w:tcW w:w="3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5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89% of the first $1.0 million per occurrence and excess of loss coverage for $49.0 million in excess of $1.0 million per occurrence.</w:t>
      </w:r>
    </w:p>
    <w:p>
      <w:pPr>
        <w:spacing w:after="0" w:line="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rFonts w:ascii="Arial" w:cs="Arial" w:eastAsia="Arial" w:hAnsi="Arial"/>
          <w:sz w:val="18"/>
          <w:szCs w:val="18"/>
          <w:i w:val="1"/>
          <w:iCs w:val="1"/>
          <w:color w:val="auto"/>
        </w:rPr>
      </w:pPr>
    </w:p>
    <w:p>
      <w:pPr>
        <w:ind w:left="340" w:right="20" w:hanging="332"/>
        <w:spacing w:after="0" w:line="277" w:lineRule="auto"/>
        <w:tabs>
          <w:tab w:leader="none" w:pos="34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80% of the first $500,000 and excess of loss coverage for $39.5 million in excess of $500,000 per risk per occurrence.</w:t>
      </w:r>
    </w:p>
    <w:p>
      <w:pPr>
        <w:spacing w:after="0" w:line="6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3"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December 31, 2019, our average net retained limit per risk is $2.5 million.</w:t>
      </w:r>
    </w:p>
    <w:p>
      <w:pPr>
        <w:spacing w:after="0" w:line="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allowances for amounts considered uncollectible. At December 31, 2019, there was no allowance for such uncollectible reinsurance recoverables.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may require collateral, such as a trust agreement, funds held or a letter of credit, to secure the obligations of the insurance entity for whom we are fronting.</w:t>
      </w:r>
    </w:p>
    <w:p>
      <w:pPr>
        <w:spacing w:after="0" w:line="70"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At December 31, 2019, we had reinsurance recoverables on unpaid losses of $668.0 million and reinsurance recoverables on paid losses of $33.2 million, and all material recoverable amounts were from companies with A.M. Best ratings of “A-" (Excellent) or better, collateral had been posted by the reinsurer for our benefit, or represent recoverables from a state residual market for automobile insurance.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80" w:firstLine="351"/>
        <w:spacing w:after="0" w:line="277" w:lineRule="auto"/>
        <w:rPr>
          <w:sz w:val="20"/>
          <w:szCs w:val="20"/>
          <w:color w:val="auto"/>
        </w:rPr>
      </w:pPr>
      <w:r>
        <w:rPr>
          <w:rFonts w:ascii="Arial" w:cs="Arial" w:eastAsia="Arial" w:hAnsi="Arial"/>
          <w:sz w:val="18"/>
          <w:szCs w:val="18"/>
          <w:color w:val="auto"/>
        </w:rPr>
        <w:t>The following table sets forth our most significant reinsurers by amount of reinsurance recoverables and the amount of reinsurance recoverables pertaining to each such reinsurer as well as its A.M. Best rating as of December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 Best Rating</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Reinsurer</w:t>
            </w:r>
          </w:p>
        </w:tc>
        <w:tc>
          <w:tcPr>
            <w:tcW w:w="160" w:type="dxa"/>
            <w:vAlign w:val="bottom"/>
          </w:tcPr>
          <w:p>
            <w:pPr>
              <w:spacing w:after="0"/>
              <w:rPr>
                <w:sz w:val="12"/>
                <w:szCs w:val="12"/>
                <w:color w:val="auto"/>
              </w:rPr>
            </w:pPr>
          </w:p>
        </w:tc>
        <w:tc>
          <w:tcPr>
            <w:tcW w:w="14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Recoverable as of</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64"/>
        </w:trPr>
        <w:tc>
          <w:tcPr>
            <w:tcW w:w="8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center"/>
              <w:ind w:right="94"/>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Swiss Reinsurance America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191,402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Berkley Insurance Company</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59,562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Aioi Nissay Dowa Insurance Company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Safety National Casualty</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50,290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Munich Reinsurance America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Endurance Assurance Corporation</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25,849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North Carolina Reinsurance Facility</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24,148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5"/>
              </w:rPr>
              <w:t>Unrated</w:t>
            </w:r>
            <w:r>
              <w:rPr>
                <w:rFonts w:ascii="Arial" w:cs="Arial" w:eastAsia="Arial" w:hAnsi="Arial"/>
                <w:sz w:val="25"/>
                <w:szCs w:val="25"/>
                <w:color w:val="auto"/>
                <w:w w:val="85"/>
                <w:vertAlign w:val="superscript"/>
              </w:rPr>
              <w:t>(2)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Hannover Ruckversicherungs AG</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American European Insurance Company</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line="269" w:lineRule="exact"/>
              <w:rPr>
                <w:sz w:val="20"/>
                <w:szCs w:val="20"/>
                <w:color w:val="auto"/>
              </w:rPr>
            </w:pPr>
            <w:r>
              <w:rPr>
                <w:rFonts w:ascii="Arial" w:cs="Arial" w:eastAsia="Arial" w:hAnsi="Arial"/>
                <w:sz w:val="31"/>
                <w:szCs w:val="31"/>
                <w:color w:val="auto"/>
                <w:w w:val="91"/>
                <w:vertAlign w:val="subscript"/>
              </w:rPr>
              <w:t>B</w:t>
            </w:r>
            <w:r>
              <w:rPr>
                <w:rFonts w:ascii="Arial" w:cs="Arial" w:eastAsia="Arial" w:hAnsi="Arial"/>
                <w:sz w:val="12"/>
                <w:szCs w:val="12"/>
                <w:color w:val="auto"/>
                <w:w w:val="91"/>
              </w:rPr>
              <w:t>(1)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Cincinnati Insurance Company</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19,530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Top 10 Total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500,192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167,853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668,045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7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This reinsurer is below A-. All material reinsurance recoverable amounts from this reinsurer are collateralized.</w:t>
      </w:r>
    </w:p>
    <w:p>
      <w:pPr>
        <w:spacing w:after="0" w:line="117" w:lineRule="exact"/>
        <w:rPr>
          <w:rFonts w:ascii="Arial" w:cs="Arial" w:eastAsia="Arial" w:hAnsi="Arial"/>
          <w:sz w:val="18"/>
          <w:szCs w:val="18"/>
          <w:i w:val="1"/>
          <w:iCs w:val="1"/>
          <w:color w:val="auto"/>
        </w:rPr>
      </w:pPr>
    </w:p>
    <w:p>
      <w:pPr>
        <w:ind w:left="340" w:hanging="332"/>
        <w:spacing w:after="0"/>
        <w:tabs>
          <w:tab w:leader="none" w:pos="3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The North Carolina Reinsurance Facility is a residual market mechanism for automobile insurance in North Carolina.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2019, the Company held collateral funds of $1,199.2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sources of operating funds consist primarily of premiums written, investment income, reinsurance recoveries and proceeds from offerings of debt and equity securities and from sales and redemptions of investments. We use the operating cash flows primarily to pay operating expenses, losses and loss adjustment expenses, ceded premiums, and income taxes. Cash flow from operations may differ substantially from net income. The potential for a large claim under an insurance or reinsurance contract means that substantial and unpredictable payments may need to be made within relatively short periods of time. We have generated positive cash flow from operations in each of the three years ended December 31, 2019, 2018, and 2017. The following table summarizes our cash flows: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6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equivalents provided by (used in):</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1,489,022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290,028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207,816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(49,364)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 and restricted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1,233,619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53,711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provided by operating activities in 2019 reflects the withdrawal, as permitted under our indemnification agreements and the associated trust agreement with Rasier, of collateral posted to the trust account. At December 31, 2019, the Company held collateral funds of $1,199.2 million as restricted cash equivalents on its balance sheet. Excluding the collateral funds, cash provided by operating activities was $289.9 million and $290.0 million for the years ended December 31, 2019 and 2018, respectively.</w:t>
      </w:r>
    </w:p>
    <w:p>
      <w:pPr>
        <w:spacing w:after="0" w:line="79"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fixed maturity securities and bank loan participations. Cash and cash equivalents comprised 41.4% (9.4% excluding the collateral funds), 9.3%, and 10.1% of total cash and invested assets at December 31, 2019, 2018 and 2017, respectively.</w:t>
      </w:r>
    </w:p>
    <w:p>
      <w:pPr>
        <w:spacing w:after="0" w:line="73" w:lineRule="exact"/>
        <w:rPr>
          <w:sz w:val="20"/>
          <w:szCs w:val="20"/>
          <w:color w:val="auto"/>
        </w:rPr>
      </w:pPr>
    </w:p>
    <w:p>
      <w:pPr>
        <w:jc w:val="both"/>
        <w:ind w:right="60" w:firstLine="351"/>
        <w:spacing w:after="0" w:line="264" w:lineRule="auto"/>
        <w:rPr>
          <w:sz w:val="20"/>
          <w:szCs w:val="20"/>
          <w:color w:val="auto"/>
        </w:rPr>
      </w:pPr>
      <w:r>
        <w:rPr>
          <w:rFonts w:ascii="Arial" w:cs="Arial" w:eastAsia="Arial" w:hAnsi="Arial"/>
          <w:sz w:val="18"/>
          <w:szCs w:val="18"/>
          <w:color w:val="auto"/>
        </w:rPr>
        <w:t>Cash used in financing activities primarily relates to dividends paid to shareholders of $36.7 million in 2019, $36.1 million in 2018, and $50.8 million in 2017. In addition, in 2019, we drew down $60.0 million on our 2013 Facility and repaid $20.0 million on the 2017 Facility. In 2018 and 2017, $20.0 million and $10.0 million, respectively, were drawn on our 2017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right="20" w:firstLine="351"/>
        <w:spacing w:after="0" w:line="257" w:lineRule="auto"/>
        <w:rPr>
          <w:sz w:val="20"/>
          <w:szCs w:val="20"/>
          <w:color w:val="auto"/>
        </w:rPr>
      </w:pPr>
      <w:r>
        <w:rPr>
          <w:rFonts w:ascii="Arial" w:cs="Arial" w:eastAsia="Arial" w:hAnsi="Arial"/>
          <w:sz w:val="18"/>
          <w:szCs w:val="18"/>
          <w:color w:val="auto"/>
        </w:rPr>
        <w:t>The A.M. Best financial strength rating for our group’s regulated insurance subsidiaries is “A” (Excellent).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w:t>
      </w:r>
    </w:p>
    <w:p>
      <w:pPr>
        <w:spacing w:after="0" w:line="8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Share activity in 2018 and 2019 includes issuances from stock option exercises and RSU vesting, increasing the number of common shares outstanding from 29,696,682 at December 31, 2017 to 29,988,460 at December 31, 2018 and 30,424,391 at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years ended December 31, 2019, 2018, and 2017, the Company recognized $7.2 million, $6.2 million and $7.7 million, respectively, of share based compensation expense. As of December 31, 2019, the Company had $8.6 million of unrecognized share based compensation expense expected to be charged to earnings over a weighted-average period of 1.7 years.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1,479,236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(459,415)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(12,058)</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(62,489)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1,115,324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Exercisable, end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590,340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814,421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846,371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120" w:firstLine="324"/>
        <w:spacing w:after="0" w:line="375" w:lineRule="auto"/>
        <w:rPr>
          <w:sz w:val="20"/>
          <w:szCs w:val="20"/>
          <w:color w:val="auto"/>
        </w:rPr>
      </w:pPr>
      <w:r>
        <w:rPr>
          <w:rFonts w:ascii="Arial" w:cs="Arial" w:eastAsia="Arial" w:hAnsi="Arial"/>
          <w:sz w:val="18"/>
          <w:szCs w:val="18"/>
          <w:color w:val="auto"/>
        </w:rPr>
        <w:t xml:space="preserve">All of the outstanding options vest over three years and have a contractual life of seven years from the original date of grant. </w:t>
      </w:r>
      <w:r>
        <w:rPr>
          <w:rFonts w:ascii="Arial" w:cs="Arial" w:eastAsia="Arial" w:hAnsi="Arial"/>
          <w:sz w:val="18"/>
          <w:szCs w:val="18"/>
          <w:i w:val="1"/>
          <w:iCs w:val="1"/>
          <w:color w:val="auto"/>
        </w:rPr>
        <w:t>RSUs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RSU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Unvested, beginning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300,142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227,481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137,034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(134,407)</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(132,764)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6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and the majority vest in three years. All RSUs granted to date to non-employee directors had a one year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our contractual obligations and commercial commitments by due date as of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3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Less than 1 year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20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Reserve for losses and loss adjustment expenses $</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2,045,506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674,220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868,969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426,142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Junior subordinated debt</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104,055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on debt obligations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130,871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74,783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2,459,136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689,624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899,460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587,493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282,559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The reserve for losses and loss adjustment expenses represent management’s estimate of the ultimate cost of settling losses. As more fully discussed in “—Critical Accounting Policies—Reserves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81"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The amounts in the above table represent our gross estimates of known liabilities as of December 31, 2019 and do not include any allowance for claims for future events within the time period specified. Accordingly, it is highly likely that the total amounts paid out in the time periods shown will be greater than those indicated in the table.</w:t>
      </w:r>
    </w:p>
    <w:p>
      <w:pPr>
        <w:spacing w:after="0" w:line="73"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Interest on debt obligations was calculated using the LIBOR rate as of December 31, 2019 with the assumption that interest rates would remain flat over the remainder of the period that the debt was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ind w:right="380" w:firstLine="351"/>
        <w:spacing w:after="0" w:line="277" w:lineRule="auto"/>
        <w:rPr>
          <w:sz w:val="20"/>
          <w:szCs w:val="20"/>
          <w:color w:val="auto"/>
        </w:rPr>
      </w:pPr>
      <w:r>
        <w:rPr>
          <w:rFonts w:ascii="Arial" w:cs="Arial" w:eastAsia="Arial" w:hAnsi="Arial"/>
          <w:sz w:val="18"/>
          <w:szCs w:val="18"/>
          <w:color w:val="auto"/>
        </w:rPr>
        <w:t>The following table reconciles the underwriting profit by individual segment and for the entire Company to consolidated income before U.S. federal income taxes for the years ended December 31, 2019, 2018 and 2017.</w:t>
      </w:r>
    </w:p>
    <w:p>
      <w:pPr>
        <w:spacing w:after="0" w:line="216"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operating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and Surplus Lines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42,834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Casualty Reinsurance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the operating segments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Underwriting (loss) profit</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61,119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losses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51,867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55,145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line="34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Underwriting (loss) profit includes gross fee income of $24.9 million, $28.7 million, and $28.3 million for the years ended December 31, 2019, 2018, and 2017,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define adjusted net operating income as net income excluding certain non-operating expenses such as net realized and unrealized investment gains and losses, expenses related to due diligence costs for various merger and acquisition activities, professional service fees related to the filing of registration statements for the offering of securities, severance costs associated with terminated employees and interest and other expenses on a leased building that we were previously deemed to own for accounting purposes. We use adjusted net operating income as an internal performance measure in the management of our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operations because we believe it gives our management and other users of our financial information useful insight into our results of operations and our underlying business performance. Adjusted net operating income should not be viewed as a substitute for net income calculated in accordance with GAAP, and our definition of adjusted net operating income may not be comparable to that of other companies.</w:t>
      </w:r>
    </w:p>
    <w:p>
      <w:pPr>
        <w:spacing w:after="0" w:line="73" w:lineRule="exact"/>
        <w:rPr>
          <w:sz w:val="20"/>
          <w:szCs w:val="20"/>
          <w:color w:val="auto"/>
        </w:rPr>
      </w:pPr>
    </w:p>
    <w:p>
      <w:pPr>
        <w:ind w:right="520" w:firstLine="351"/>
        <w:spacing w:after="0" w:line="277" w:lineRule="auto"/>
        <w:rPr>
          <w:sz w:val="20"/>
          <w:szCs w:val="20"/>
          <w:color w:val="auto"/>
        </w:rPr>
      </w:pPr>
      <w:r>
        <w:rPr>
          <w:rFonts w:ascii="Arial" w:cs="Arial" w:eastAsia="Arial" w:hAnsi="Arial"/>
          <w:sz w:val="18"/>
          <w:szCs w:val="18"/>
          <w:color w:val="auto"/>
        </w:rPr>
        <w:t>Our income before taxes and net income for the years ended December 31, 2019, 2018 and 2017 reconcile to our adjusted net operating income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2019</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center"/>
              <w:ind w:right="123"/>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98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as reported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51,867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70,838</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63,830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43,566</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6"/>
              </w:rPr>
              <w:t>Net realized and unrealized losses 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3,761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Impairment of intangible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withholding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2"/>
              </w:rPr>
              <w:t>Interest expense on leased building the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0"/>
              <w:spacing w:after="0"/>
              <w:rPr>
                <w:sz w:val="20"/>
                <w:szCs w:val="20"/>
                <w:color w:val="auto"/>
              </w:rPr>
            </w:pPr>
            <w:r>
              <w:rPr>
                <w:rFonts w:ascii="Arial" w:cs="Arial" w:eastAsia="Arial" w:hAnsi="Arial"/>
                <w:sz w:val="16"/>
                <w:szCs w:val="16"/>
                <w:color w:val="auto"/>
                <w:w w:val="93"/>
              </w:rPr>
              <w:t>Company was previously deemed to</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own for accounting purposes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42,934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79,201</w:t>
            </w: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70,596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47,385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7" w:lineRule="exact"/>
        <w:rPr>
          <w:sz w:val="20"/>
          <w:szCs w:val="20"/>
          <w:color w:val="auto"/>
        </w:rPr>
      </w:pPr>
    </w:p>
    <w:p>
      <w:pPr>
        <w:ind w:right="40" w:firstLine="351"/>
        <w:spacing w:after="0" w:line="272" w:lineRule="auto"/>
        <w:rPr>
          <w:sz w:val="20"/>
          <w:szCs w:val="20"/>
          <w:color w:val="auto"/>
        </w:rPr>
      </w:pPr>
      <w:r>
        <w:rPr>
          <w:rFonts w:ascii="Arial" w:cs="Arial" w:eastAsia="Arial" w:hAnsi="Arial"/>
          <w:sz w:val="17"/>
          <w:szCs w:val="17"/>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Tangible equity before dividends increased 21.8% from $489.9 million at December 31, 2018 to $596.6 million at December 31, 2019, largely due to net income of $38.3 million and $46.9 million of unrealized gains, net of taxes, on available-for-sale fixed maturity securities. Tangible equity after dividends increased 14.3% from $489.9 million at December 31, 2018 to $559.8 million at December 31, 2019. Tangible equity per common share was $18.40 at December 31, 2019, net of $1.20 of dividends per share paid by the Company during 2019. The 2019 adjusted net operating income return on average tangible equity was 7.9%, which compares to 14.8% for the full year 2018.</w:t>
      </w:r>
    </w:p>
    <w:p>
      <w:pPr>
        <w:spacing w:after="0" w:line="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December 31, 2019, 2018 and 2017 and reconciles tangible equity to pre dividend tangible equity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2"/>
              </w:rPr>
              <w:t>As of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2019</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3"/>
                <w:szCs w:val="13"/>
                <w:color w:val="auto"/>
              </w:rPr>
            </w:pPr>
          </w:p>
        </w:tc>
        <w:tc>
          <w:tcPr>
            <w:tcW w:w="122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3"/>
                <w:szCs w:val="13"/>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42"/>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6"/>
          </w:tcPr>
          <w:p>
            <w:pPr>
              <w:jc w:val="center"/>
              <w:ind w:right="380"/>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778,581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709,241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694,699</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equity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559,810</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489,873</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474,534</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Dividends to shareholders</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w w:val="91"/>
              </w:rPr>
              <w:t>for the year ended December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31, 2019</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36,786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Pre-dividend tangible equity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596,596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19.60</w:t>
            </w:r>
          </w:p>
        </w:tc>
        <w:tc>
          <w:tcPr>
            <w:tcW w:w="120" w:type="dxa"/>
            <w:vAlign w:val="bottom"/>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-1619885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48" w:lineRule="exact"/>
        <w:rPr>
          <w:sz w:val="20"/>
          <w:szCs w:val="20"/>
          <w:color w:val="auto"/>
        </w:rPr>
      </w:pPr>
    </w:p>
    <w:p>
      <w:pPr>
        <w:ind w:right="80" w:firstLine="351"/>
        <w:spacing w:after="0" w:line="302"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80" w:firstLine="351"/>
        <w:spacing w:after="0" w:line="277" w:lineRule="auto"/>
        <w:rPr>
          <w:sz w:val="20"/>
          <w:szCs w:val="20"/>
          <w:color w:val="auto"/>
        </w:rPr>
      </w:pPr>
      <w:r>
        <w:rPr>
          <w:rFonts w:ascii="Arial" w:cs="Arial" w:eastAsia="Arial" w:hAnsi="Arial"/>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majority of our investable assets come from premiums paid by policyholders. These funds are invested predominantly in high quality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municipal bonds with relatively short durations. The investment portfolio has an average duration of approximately 3.3 years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fixed maturity securities and preferred stock investments in the portfolio have an average rating by at least one nationally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rating organization of “AA-”. See Note 2 to the Notes to the Audited Consolidated Financial Statements for disclosure of contractual maturity dates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maturity portfolio. The changes in the estimated fair value of the fixed maturity portfolio classified as available-for-sale are presented as a component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in accumulated other comprehensive income, net of taxes.</w:t>
      </w:r>
    </w:p>
    <w:p>
      <w:pPr>
        <w:spacing w:after="0" w:line="103" w:lineRule="exact"/>
        <w:rPr>
          <w:sz w:val="20"/>
          <w:szCs w:val="20"/>
          <w:color w:val="auto"/>
        </w:rPr>
      </w:pPr>
    </w:p>
    <w:p>
      <w:pPr>
        <w:ind w:right="240" w:firstLine="351"/>
        <w:spacing w:after="0" w:line="308" w:lineRule="auto"/>
        <w:rPr>
          <w:sz w:val="20"/>
          <w:szCs w:val="20"/>
          <w:color w:val="auto"/>
        </w:rPr>
      </w:pPr>
      <w:r>
        <w:rPr>
          <w:rFonts w:ascii="Arial" w:cs="Arial" w:eastAsia="Arial" w:hAnsi="Arial"/>
          <w:sz w:val="17"/>
          <w:szCs w:val="17"/>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38"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color w:val="auto"/>
        </w:rPr>
        <w:t>Our investment manager employs a model to estimate the effect of interest rate risk on the fair values of our fixed maturity and preferred stock securities and our bank loan participations. Our bank loan participations are primarily floating-rate debt, so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57" w:lineRule="exact"/>
        <w:rPr>
          <w:sz w:val="20"/>
          <w:szCs w:val="20"/>
          <w:color w:val="auto"/>
        </w:rPr>
      </w:pPr>
    </w:p>
    <w:p>
      <w:pPr>
        <w:ind w:right="620" w:firstLine="351"/>
        <w:spacing w:after="0" w:line="277" w:lineRule="auto"/>
        <w:rPr>
          <w:sz w:val="20"/>
          <w:szCs w:val="20"/>
          <w:color w:val="auto"/>
        </w:rPr>
      </w:pPr>
      <w:r>
        <w:rPr>
          <w:rFonts w:ascii="Arial" w:cs="Arial" w:eastAsia="Arial" w:hAnsi="Arial"/>
          <w:sz w:val="18"/>
          <w:szCs w:val="18"/>
          <w:color w:val="auto"/>
        </w:rPr>
        <w:t>The following table summarizes our interest rate risk and shows the effect of hypothetical changes in interest rates as of December 31, 2019. The selected hypothetical changes do not indicate what could be the potential best or worst case scenarios.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4"/>
                <w:szCs w:val="14"/>
                <w:b w:val="1"/>
                <w:bCs w:val="1"/>
                <w:color w:val="auto"/>
                <w:w w:val="92"/>
              </w:rPr>
              <w:t>As of December 31, 2019</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Hypothetical</w:t>
            </w:r>
          </w:p>
        </w:tc>
        <w:tc>
          <w:tcPr>
            <w:tcW w:w="320" w:type="dxa"/>
            <w:vAlign w:val="bottom"/>
          </w:tcPr>
          <w:p>
            <w:pPr>
              <w:spacing w:after="0"/>
              <w:rPr>
                <w:sz w:val="13"/>
                <w:szCs w:val="13"/>
                <w:color w:val="auto"/>
              </w:rPr>
            </w:pPr>
          </w:p>
        </w:tc>
        <w:tc>
          <w:tcPr>
            <w:tcW w:w="150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5"/>
              </w:rPr>
              <w:t>Estimated</w:t>
            </w: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Estimated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2"/>
                <w:szCs w:val="12"/>
                <w:color w:val="auto"/>
              </w:rPr>
            </w:pPr>
          </w:p>
        </w:tc>
        <w:tc>
          <w:tcPr>
            <w:tcW w:w="15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4"/>
              </w:rPr>
              <w:t>Fair Value after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Hypothetical Percentage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 Rates</w:t>
            </w:r>
          </w:p>
        </w:tc>
        <w:tc>
          <w:tcPr>
            <w:tcW w:w="320" w:type="dxa"/>
            <w:vAlign w:val="bottom"/>
          </w:tcPr>
          <w:p>
            <w:pPr>
              <w:spacing w:after="0"/>
              <w:rPr>
                <w:sz w:val="12"/>
                <w:szCs w:val="12"/>
                <w:color w:val="auto"/>
              </w:rPr>
            </w:pPr>
          </w:p>
        </w:tc>
        <w:tc>
          <w:tcPr>
            <w:tcW w:w="15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1"/>
              </w:rPr>
              <w:t>Hypothetical Change</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(bp=basis points)</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in Interest Rates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20" w:type="dxa"/>
            <w:vAlign w:val="bottom"/>
            <w:gridSpan w:val="3"/>
          </w:tcPr>
          <w:p>
            <w:pPr>
              <w:jc w:val="center"/>
              <w:ind w:left="216"/>
              <w:spacing w:after="0"/>
              <w:rPr>
                <w:sz w:val="20"/>
                <w:szCs w:val="20"/>
                <w:color w:val="auto"/>
              </w:rPr>
            </w:pPr>
            <w:r>
              <w:rPr>
                <w:rFonts w:ascii="Arial" w:cs="Arial" w:eastAsia="Arial" w:hAnsi="Arial"/>
                <w:sz w:val="14"/>
                <w:szCs w:val="14"/>
                <w:b w:val="1"/>
                <w:bCs w:val="1"/>
                <w:i w:val="1"/>
                <w:iCs w:val="1"/>
                <w:color w:val="auto"/>
                <w:w w:val="88"/>
              </w:rPr>
              <w:t>($ in thousands)</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and preferred stock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1,496,373</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1,617,579</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1,560,268</w:t>
            </w:r>
          </w:p>
        </w:tc>
        <w:tc>
          <w:tcPr>
            <w:tcW w:w="178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1,432,478</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1,371,127</w:t>
            </w:r>
          </w:p>
        </w:tc>
        <w:tc>
          <w:tcPr>
            <w:tcW w:w="1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252,423</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258,002</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254,215</w:t>
            </w:r>
          </w:p>
        </w:tc>
        <w:tc>
          <w:tcPr>
            <w:tcW w:w="178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251,943</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251,716</w:t>
            </w:r>
          </w:p>
        </w:tc>
        <w:tc>
          <w:tcPr>
            <w:tcW w:w="17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280,236</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200 bp decrease</w:t>
            </w:r>
          </w:p>
        </w:tc>
        <w:tc>
          <w:tcPr>
            <w:tcW w:w="3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237,905</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100 bp decrease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259,070</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bp increase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301,401</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4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200 bp increase</w:t>
            </w:r>
          </w:p>
        </w:tc>
        <w:tc>
          <w:tcPr>
            <w:tcW w:w="320" w:type="dxa"/>
            <w:vAlign w:val="bottom"/>
          </w:tcPr>
          <w:p>
            <w:pPr>
              <w:spacing w:after="0"/>
              <w:rPr>
                <w:sz w:val="21"/>
                <w:szCs w:val="21"/>
                <w:color w:val="auto"/>
              </w:rPr>
            </w:pPr>
          </w:p>
        </w:tc>
        <w:tc>
          <w:tcPr>
            <w:tcW w:w="1500" w:type="dxa"/>
            <w:vAlign w:val="bottom"/>
          </w:tcPr>
          <w:p>
            <w:pPr>
              <w:jc w:val="right"/>
              <w:ind w:right="74"/>
              <w:spacing w:after="0"/>
              <w:rPr>
                <w:sz w:val="20"/>
                <w:szCs w:val="20"/>
                <w:color w:val="auto"/>
              </w:rPr>
            </w:pPr>
            <w:r>
              <w:rPr>
                <w:rFonts w:ascii="Arial" w:cs="Arial" w:eastAsia="Arial" w:hAnsi="Arial"/>
                <w:sz w:val="18"/>
                <w:szCs w:val="18"/>
                <w:color w:val="auto"/>
              </w:rPr>
              <w:t>322,566</w:t>
            </w:r>
          </w:p>
        </w:tc>
        <w:tc>
          <w:tcPr>
            <w:tcW w:w="178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567"/>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36"/>
              <w:spacing w:after="0"/>
              <w:rPr>
                <w:sz w:val="20"/>
                <w:szCs w:val="20"/>
                <w:color w:val="auto"/>
              </w:rPr>
            </w:pPr>
            <w:r>
              <w:rPr>
                <w:rFonts w:ascii="Arial" w:cs="Arial" w:eastAsia="Arial" w:hAnsi="Arial"/>
                <w:sz w:val="18"/>
                <w:szCs w:val="18"/>
                <w:color w:val="auto"/>
              </w:rPr>
              <w:t>97</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17" w:lineRule="exact"/>
        <w:rPr>
          <w:sz w:val="20"/>
          <w:szCs w:val="20"/>
          <w:color w:val="auto"/>
        </w:rPr>
      </w:pPr>
    </w:p>
    <w:p>
      <w:pPr>
        <w:jc w:val="both"/>
        <w:ind w:right="80" w:firstLine="351"/>
        <w:spacing w:after="0" w:line="264" w:lineRule="auto"/>
        <w:rPr>
          <w:sz w:val="20"/>
          <w:szCs w:val="20"/>
          <w:color w:val="auto"/>
        </w:rPr>
      </w:pPr>
      <w:r>
        <w:rPr>
          <w:rFonts w:ascii="Arial" w:cs="Arial" w:eastAsia="Arial" w:hAnsi="Arial"/>
          <w:sz w:val="18"/>
          <w:szCs w:val="18"/>
          <w:color w:val="auto"/>
        </w:rPr>
        <w:t xml:space="preserve">A portion of our portfolio is invested in equity securities, which have historically produced higher long-term returns relative to fixed maturities. We own preferred stocks, generally in the financial services industry, and common stocks. The changes in the estimated fair value of the equity securities portfolio are </w:t>
      </w:r>
      <w:r>
        <w:rPr>
          <w:rFonts w:ascii="Arial" w:cs="Arial" w:eastAsia="Arial" w:hAnsi="Arial"/>
          <w:sz w:val="18"/>
          <w:szCs w:val="18"/>
          <w:color w:val="231F20"/>
        </w:rPr>
        <w:t>recognized in net income</w:t>
      </w:r>
      <w:r>
        <w:rPr>
          <w:rFonts w:ascii="Arial" w:cs="Arial" w:eastAsia="Arial" w:hAnsi="Arial"/>
          <w:sz w:val="18"/>
          <w:szCs w:val="18"/>
          <w:color w:val="000000"/>
        </w:rPr>
        <w:t>.</w:t>
      </w:r>
    </w:p>
    <w:p>
      <w:pPr>
        <w:spacing w:after="0" w:line="73" w:lineRule="exact"/>
        <w:rPr>
          <w:sz w:val="20"/>
          <w:szCs w:val="20"/>
          <w:color w:val="auto"/>
        </w:rPr>
      </w:pPr>
    </w:p>
    <w:p>
      <w:pPr>
        <w:jc w:val="both"/>
        <w:ind w:right="80" w:firstLine="351"/>
        <w:spacing w:after="0" w:line="277" w:lineRule="auto"/>
        <w:rPr>
          <w:sz w:val="20"/>
          <w:szCs w:val="20"/>
          <w:color w:val="auto"/>
        </w:rPr>
      </w:pPr>
      <w:r>
        <w:rPr>
          <w:rFonts w:ascii="Arial" w:cs="Arial" w:eastAsia="Arial" w:hAnsi="Arial"/>
          <w:sz w:val="18"/>
          <w:szCs w:val="18"/>
          <w:color w:val="auto"/>
        </w:rPr>
        <w:t>At December 31, 2019, our equity securities portfolio was concentrated in terms of the number of issuers and industries. Such concentrations can lead to higher levels of price volatility.</w:t>
      </w:r>
    </w:p>
    <w:p>
      <w:pPr>
        <w:spacing w:after="0" w:line="6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The following table summarizes our equity price risk and shows the effect of a hypothetical 35% increase or decrease in the fair value of our equity securities portfolio as of December 31, 2019. We believe that this range represents a reasonably likely scenario, as the largest annual increases and decreases in the S&amp;P 500 Index in the past twenty-five years were 34.1% (1995) and (38.5%) (2008), respectively. The selected hypothetical changes do not indicate what could be the potential best or worst case scenarios.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 2019</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Hypothetical</w:t>
            </w:r>
          </w:p>
        </w:tc>
        <w:tc>
          <w:tcPr>
            <w:tcW w:w="200" w:type="dxa"/>
            <w:vAlign w:val="bottom"/>
          </w:tcPr>
          <w:p>
            <w:pPr>
              <w:spacing w:after="0"/>
              <w:rPr>
                <w:sz w:val="12"/>
                <w:szCs w:val="12"/>
                <w:color w:val="auto"/>
              </w:rPr>
            </w:pPr>
          </w:p>
        </w:tc>
        <w:tc>
          <w:tcPr>
            <w:tcW w:w="13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Fair Value after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5"/>
              </w:rPr>
              <w:t>Hypothetical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Price Change</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Change in Prices</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80,735</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108,992</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35% decrease</w:t>
            </w:r>
          </w:p>
        </w:tc>
        <w:tc>
          <w:tcPr>
            <w:tcW w:w="20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jc w:val="both"/>
        <w:ind w:right="120" w:firstLine="351"/>
        <w:spacing w:after="0" w:line="308" w:lineRule="auto"/>
        <w:rPr>
          <w:sz w:val="20"/>
          <w:szCs w:val="20"/>
          <w:color w:val="auto"/>
        </w:rPr>
      </w:pPr>
      <w:r>
        <w:rPr>
          <w:rFonts w:ascii="Arial" w:cs="Arial" w:eastAsia="Arial" w:hAnsi="Arial"/>
          <w:sz w:val="17"/>
          <w:szCs w:val="17"/>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2019,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351"/>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5" w:lineRule="exact"/>
        <w:rPr>
          <w:sz w:val="20"/>
          <w:szCs w:val="20"/>
          <w:color w:val="auto"/>
        </w:rPr>
      </w:pPr>
    </w:p>
    <w:p>
      <w:pPr>
        <w:ind w:firstLine="351"/>
        <w:spacing w:after="0" w:line="279" w:lineRule="auto"/>
        <w:rPr>
          <w:sz w:val="20"/>
          <w:szCs w:val="20"/>
          <w:color w:val="auto"/>
        </w:rPr>
      </w:pPr>
      <w:r>
        <w:rPr>
          <w:rFonts w:ascii="Arial" w:cs="Arial" w:eastAsia="Arial" w:hAnsi="Arial"/>
          <w:sz w:val="17"/>
          <w:szCs w:val="17"/>
          <w:color w:val="auto"/>
        </w:rPr>
        <w:t xml:space="preserve">Management has conducted an assessment, including testing, of the effectiveness of our internal control over financial reporting as of December 31, 2019. In making its assessment of internal control over financial reporting, management used the criteria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this assessment, the Company’s management has concluded that, as of December 31, 2019, the Company’s internal control over financial reporting was effective.</w:t>
      </w:r>
    </w:p>
    <w:p>
      <w:pPr>
        <w:spacing w:after="0" w:line="6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2019. Their attestation report, which expresses an unqualified opinion on the effectiveness of the Company’s internal control over financial reporting as of December 31, 2019, is included with our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December 31, 2019 that have materially affected, or are reasonably likely to materially affect, our internal control over financial reporting.</w:t>
      </w:r>
    </w:p>
    <w:p>
      <w:pPr>
        <w:spacing w:after="0" w:line="73"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126" w:right="299" w:bottom="1440" w:gutter="0" w:footer="0" w:header="0"/>
        </w:sectPr>
      </w:pPr>
    </w:p>
    <w:bookmarkStart w:id="100" w:name="page101"/>
    <w:bookmarkEnd w:id="10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information required by Item 10 is incorporated by reference to the definitive James River Group Holdings, Ltd. Proxy Statement to be filed with the SEC not later than 120 days after the end of the fiscal year covered by this Annual Report on Form 10-K.</w:t>
      </w:r>
    </w:p>
    <w:p>
      <w:pPr>
        <w:spacing w:after="0" w:line="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The information required by Item 11 is incorporated by reference to the definitive James River Group Holdings, Ltd. Proxy Statement to be filed with the SEC not later than 120 days after the end of the fiscal year covered by this Annual Report on Form 10-K.</w:t>
      </w:r>
    </w:p>
    <w:p>
      <w:pPr>
        <w:spacing w:after="0" w:line="85" w:lineRule="exact"/>
        <w:rPr>
          <w:sz w:val="20"/>
          <w:szCs w:val="20"/>
          <w:color w:val="auto"/>
        </w:rPr>
      </w:pPr>
    </w:p>
    <w:p>
      <w:pPr>
        <w:ind w:left="980" w:right="560" w:hanging="971"/>
        <w:spacing w:after="0" w:line="344"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information required by Item 12 is incorporated by reference to the definitive James River Group Holdings, Ltd. Proxy Statement to be filed with the SEC not later than 120 days after the end of the fiscal year covered by this Annual Report on Form 10-K.</w:t>
      </w:r>
    </w:p>
    <w:p>
      <w:pPr>
        <w:spacing w:after="0" w:line="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4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information required by Item 13 is incorporated by reference to the definitive James River Group Holdings, Ltd. Proxy Statement to be filed with the SEC not later than 120 days after the end of the fiscal year covered by this Annual Report on Form 10-K.</w:t>
      </w:r>
    </w:p>
    <w:p>
      <w:pPr>
        <w:spacing w:after="0" w:line="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48"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information required by Item 14 is incorporated by reference to the definitive James River Group Holdings, Ltd. Proxy Statement to be filed with the SEC not later than 120 days after the end of the fiscal year covered by this Annual Report on Form 10-K.</w:t>
      </w:r>
    </w:p>
    <w:p>
      <w:pPr>
        <w:spacing w:after="0" w:line="5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340" w:right="5920" w:hanging="332"/>
        <w:spacing w:after="0" w:line="488" w:lineRule="auto"/>
        <w:tabs>
          <w:tab w:leader="none" w:pos="27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 and (2) Financial Statements and Financial Statement Schedules. </w:t>
      </w:r>
      <w:r>
        <w:rPr>
          <w:rFonts w:ascii="Arial" w:cs="Arial" w:eastAsia="Arial" w:hAnsi="Arial"/>
          <w:sz w:val="16"/>
          <w:szCs w:val="16"/>
          <w:color w:val="auto"/>
        </w:rPr>
        <w:t>See “Index to Financial Statements and Schedules” on Page F-1.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60" w:type="dxa"/>
            <w:vAlign w:val="bottom"/>
            <w:gridSpan w:val="14"/>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6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80" w:type="dxa"/>
            <w:vAlign w:val="bottom"/>
            <w:tcBorders>
              <w:top w:val="single" w:sz="8" w:color="auto"/>
              <w:bottom w:val="single" w:sz="8" w:color="0000FF"/>
            </w:tcBorders>
            <w:gridSpan w:val="7"/>
          </w:tcPr>
          <w:p>
            <w:pPr>
              <w:spacing w:after="0" w:line="202"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Certificate of Incorporation of James River Group Holdings, Ltd. (incorporated by reference to Exhibit 3.1 of the Registration</w:t>
              </w:r>
            </w:hyperlink>
          </w:p>
        </w:tc>
        <w:tc>
          <w:tcPr>
            <w:tcW w:w="780" w:type="dxa"/>
            <w:vAlign w:val="bottom"/>
            <w:tcBorders>
              <w:top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Statement on Form S-1, Registration No. 333-199958, filed with the Commission on November 7, 2014)</w:t>
              </w:r>
            </w:hyperlink>
          </w:p>
        </w:tc>
        <w:tc>
          <w:tcPr>
            <w:tcW w:w="2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Certificate of Incorporation on Change of Name (incorporated by reference to Exhibit 3.2 of the Registration Statement on Form S-1,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Registration No. 333-199958, filed with the Commission on November 7, 2014)</w:t>
              </w:r>
            </w:hyperlink>
          </w:p>
        </w:tc>
        <w:tc>
          <w:tcPr>
            <w:tcW w:w="3800" w:type="dxa"/>
            <w:vAlign w:val="bottom"/>
            <w:tcBorders>
              <w:top w:val="single" w:sz="8" w:color="0000FF"/>
            </w:tcBorders>
            <w:gridSpan w:val="8"/>
          </w:tcPr>
          <w:p>
            <w:pPr>
              <w:spacing w:after="0"/>
              <w:rPr>
                <w:sz w:val="17"/>
                <w:szCs w:val="17"/>
                <w:color w:val="auto"/>
              </w:rPr>
            </w:pP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Arial" w:cs="Arial" w:eastAsia="Arial" w:hAnsi="Arial"/>
                <w:sz w:val="18"/>
                <w:szCs w:val="18"/>
                <w:color w:val="0000FF"/>
                <w:w w:val="98"/>
              </w:rPr>
            </w:pPr>
            <w:hyperlink r:id="rId46">
              <w:r>
                <w:rPr>
                  <w:rFonts w:ascii="Arial" w:cs="Arial" w:eastAsia="Arial" w:hAnsi="Arial"/>
                  <w:sz w:val="18"/>
                  <w:szCs w:val="18"/>
                  <w:color w:val="0000FF"/>
                  <w:w w:val="98"/>
                </w:rPr>
                <w:t>Memorandum of Association of James River Group Holdings, Ltd. (incorporated by reference to Exhibit 3.3 of the Registration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Statement on Form S-1, Registration No. 333-199958, filed with the Commission on November 7, 2014)</w:t>
              </w:r>
            </w:hyperlink>
          </w:p>
        </w:tc>
        <w:tc>
          <w:tcPr>
            <w:tcW w:w="1640" w:type="dxa"/>
            <w:vAlign w:val="bottom"/>
            <w:tcBorders>
              <w:top w:val="single" w:sz="8" w:color="0000FF"/>
            </w:tcBorders>
            <w:gridSpan w:val="4"/>
          </w:tcPr>
          <w:p>
            <w:pPr>
              <w:spacing w:after="0"/>
              <w:rPr>
                <w:sz w:val="17"/>
                <w:szCs w:val="17"/>
                <w:color w:val="auto"/>
              </w:rPr>
            </w:pPr>
          </w:p>
        </w:tc>
        <w:tc>
          <w:tcPr>
            <w:tcW w:w="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Certificate of Deposit of Memorandum of Increase of Share Capital, dated December 24, 2007 (incorporated by reference to Exhibit 3.4</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of the Registration Statement on Form S-1, Registration No. 333-199958, filed with the Commission on November 7, 2014)</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14"/>
          </w:tcPr>
          <w:p>
            <w:pPr>
              <w:spacing w:after="0"/>
              <w:rPr>
                <w:rFonts w:ascii="Arial" w:cs="Arial" w:eastAsia="Arial" w:hAnsi="Arial"/>
                <w:sz w:val="18"/>
                <w:szCs w:val="18"/>
                <w:color w:val="0000FF"/>
                <w:w w:val="92"/>
              </w:rPr>
            </w:pPr>
            <w:hyperlink r:id="rId48">
              <w:r>
                <w:rPr>
                  <w:rFonts w:ascii="Arial" w:cs="Arial" w:eastAsia="Arial" w:hAnsi="Arial"/>
                  <w:sz w:val="18"/>
                  <w:szCs w:val="18"/>
                  <w:color w:val="0000FF"/>
                  <w:w w:val="92"/>
                </w:rPr>
                <w:t>Certificate of Deposit of Memorandum of Increase of Share Capital, dated October 7, 2009 (incorporated by reference to Exhibit 3.5 of</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the Registration Statement on Form S-1, Registration No. 333-199958, filed with the Commission on November 7, 2014)</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10"/>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Amended and Restated Bye-Laws of James River Group Holdings, Ltd. (incorporated by reference to Exhibit 3.6 to the Annual</w:t>
              </w:r>
            </w:hyperlink>
          </w:p>
        </w:tc>
        <w:tc>
          <w:tcPr>
            <w:tcW w:w="2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4"/>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Report on Form 10-K filed on March 12, 2015,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8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12"/>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Certificate of Common Shares (incorporated by reference to Exhibit 4.1 of Amendment No. 3 to the Registration Statement on</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4"/>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Form S-1, Registration No. 333-199958, filed with the Commission on December 9,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40" w:type="dxa"/>
            <w:vAlign w:val="bottom"/>
            <w:gridSpan w:val="3"/>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2"/>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Floating Rate Senior Debentures Due 2034+</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2"/>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5"/>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2"/>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1"/>
              </w:rPr>
              <w:t>Preferred Securities Guarantee Agreement, dated as of May 26, 2004, by James River Group, Inc., as Guarantor, and Wilmington Trust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Company, as Preferred Guarantee Trustee, for the benefit of the holders of James River Capital Trust 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5"/>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0"/>
              </w:rPr>
              <w:t>Amended and Restated Declaration of Trust of James River Capital Trust II, dated as of December 15, 2004,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4"/>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1"/>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5"/>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3"/>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4"/>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therein) and the holders, from time to time, of undivided beneficial interests in the James River Capital Trust III+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5"/>
              </w:rPr>
              <w:t>Guarantee Agreement, dated as of June 15, 2006, by James River Group, Inc., as Guarantor, and Wilmington Trust Company, as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9"/>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w w:val="91"/>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Arial" w:cs="Arial" w:eastAsia="Arial" w:hAnsi="Arial"/>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567"/>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gridSpan w:val="2"/>
          </w:tcPr>
          <w:p>
            <w:pPr>
              <w:jc w:val="right"/>
              <w:ind w:right="141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1440" w:gutter="0" w:footer="0" w:header="0"/>
        </w:sectPr>
      </w:pPr>
    </w:p>
    <w:bookmarkStart w:id="102" w:name="page103"/>
    <w:bookmarkEnd w:id="10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60" w:type="dxa"/>
            <w:vAlign w:val="bottom"/>
            <w:gridSpan w:val="24"/>
            <w:vMerge w:val="restart"/>
          </w:tcPr>
          <w:p>
            <w:pPr>
              <w:ind w:left="1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6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2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w w:val="98"/>
              </w:rPr>
              <w:t>Amended and Restated Declaration of Trust, dated December 11, 2007, by and among James River Group, Inc., as Sponsor,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Wilmington Trust Company, as Institutional Trustee and Delaware Trustee and the Administrators (as defined therein) and the holders,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rPr>
              <w:t>from time to time, of undivided beneficial interests in James River Capital Trust IV+</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9"/>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Indenture, dated as of January 10, 2008, among James River Group Holdings, Ltd. and Wilmington Trust Company, as Trustee relating</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rPr>
              <w:t>to Fixed/Floating Rate Junior Subordinated Deferrable Interest Debentures Due 2038+</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5"/>
              </w:rPr>
              <w:t>Amended and Restated Declaration of Trust, dated as of January 10, 2008, by and among James River Group Holdings, Ltd., as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Sponsor, Wilmington Trust Company, as Institutional Trustee and Delaware Trustee and the Administrators (as defined therein) for the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rPr>
              <w:t>benefit of the holders, from time to time, of undivided beneficial interest in Franklin Holdings II (Bermuda) Capital Trust I+</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Guarantee Agreement, dated as of January 10, 2008, by and among James River Group Holdings, Ltd., as Guarantor, and Wilmington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2"/>
              </w:rPr>
              <w:t>Trust Company, as Guarantee Trustee, for the benefit of the holders, from time to time, of the capital securities of Franklin Holdings II</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rPr>
              <w:t>(Bermuda) Capital Trust I+</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Description of Registrant's Securities Registered under Section 12 of the Securities Exchange Act of 1934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19"/>
          </w:tcPr>
          <w:p>
            <w:pPr>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Second Amended and Restated Credit Agreement, dated as of November 8, 2019, by and among James River Group Holdings, Ltd.,</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7"/>
              </w:rPr>
            </w:pPr>
            <w:hyperlink r:id="rId51">
              <w:r>
                <w:rPr>
                  <w:rFonts w:ascii="Arial" w:cs="Arial" w:eastAsia="Arial" w:hAnsi="Arial"/>
                  <w:sz w:val="18"/>
                  <w:szCs w:val="18"/>
                  <w:color w:val="0000FF"/>
                  <w:w w:val="97"/>
                </w:rPr>
                <w:t>JRG Reinsurance Company, Ltd., KeyBank National Association as Administrative Agent and Letter of Credit Issuer, KeyBank</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National Association, SunTrust Robinson Humphrey, Inc., and BMO Capital Markets Corp. as Joint Book Runners and Joint Lead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Arrangers, Bank of Montreal and SunTrust Bank as Co-Syndication Agents, and the lender parties thereto (incorporated by reference to</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Exhibit 10.1 of the Current Report on Form 8-K filed on November 12, 2019, Commission File No. 001-36777)</w:t>
              </w:r>
            </w:hyperlink>
          </w:p>
        </w:tc>
        <w:tc>
          <w:tcPr>
            <w:tcW w:w="1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tcBorders>
              <w:bottom w:val="single" w:sz="8" w:color="0000FF"/>
            </w:tcBorders>
            <w:gridSpan w:val="20"/>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Continuing Guaranty of Payment, dated as of June 5, 2013, by James River Group, Inc., as Guarantor, pursuant to Credit Agreement,</w:t>
              </w:r>
            </w:hyperlink>
          </w:p>
        </w:tc>
        <w:tc>
          <w:tcPr>
            <w:tcW w:w="2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8"/>
              </w:rPr>
            </w:pPr>
            <w:hyperlink r:id="rId52">
              <w:r>
                <w:rPr>
                  <w:rFonts w:ascii="Arial" w:cs="Arial" w:eastAsia="Arial" w:hAnsi="Arial"/>
                  <w:sz w:val="18"/>
                  <w:szCs w:val="18"/>
                  <w:color w:val="0000FF"/>
                  <w:w w:val="98"/>
                </w:rPr>
                <w:t>dated as of June 5, 2013, among James River Group Holdings, Ltd. and JRG Reinsurance Company Ltd., KeyBank National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Association, as Administrative Agent and as Letter of Credit Issuer, and certain Lender parties (incorporated by reference to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of the Registration Statement on Form S-1, Registration No. 333-199958, filed with the Commission on November 7, 2014)</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17"/>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Continuing Guaranty of Payment, dated as of December 15, 2015, by James River Group Holdings UK Limited, pursuant to Credit</w:t>
              </w:r>
            </w:hyperlink>
          </w:p>
        </w:tc>
        <w:tc>
          <w:tcPr>
            <w:tcW w:w="38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Agreement, dated as of June 5, 2013, among James River Group Holdings, Ltd. and JRG Reinsurance Company Ltd., KeyBank</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National Association, as Administrative Agent and as Letter of Credit Issuer, and certain Lender parties (incorporated by reference to</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Exhibit 10.5 to the Annual Report on Form 10-K filed on March 10, 2016,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8"/>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Credit Agreement, dated as of August 2, 2017, among James River Group Holdings, Ltd., JRG Reinsurance Company Ltd. and BMO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Harris Bank N.A. (incorporated by reference to Exhibit 10.1 of the Current Report on Form 8-K filed on August 3, 2017, Commission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File No. 001-36777)</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80" w:type="dxa"/>
            <w:vAlign w:val="bottom"/>
            <w:tcBorders>
              <w:bottom w:val="single" w:sz="8" w:color="0000FF"/>
            </w:tcBorders>
            <w:gridSpan w:val="14"/>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First Amendment to Credit Agreement dated as of November 8, 2019 by and among James River Group Holdings, Ltd. and JRG</w:t>
              </w:r>
            </w:hyperlink>
          </w:p>
        </w:tc>
        <w:tc>
          <w:tcPr>
            <w:tcW w:w="5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Reinsurance Company Ltd., as the borrowers, and BMO Harris Bank, N.A., as the lender (incorporated by reference to Exhibit 10.2 of</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the Current Report on Form 8-K filed on November 12, 2019, Commission File No. 001-36777)</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tcBorders>
              <w:bottom w:val="single" w:sz="8" w:color="0000FF"/>
            </w:tcBorders>
            <w:gridSpan w:val="23"/>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Pledge and Security Agreement, dated as of August 2, 2017, by and between JRG Reinsurance Company Ltd., and BMO Harris Bank</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N.A. (incorporated by reference to Exhibit 10.2 of the Current Report on Form 8-K filed on August 3, 2017, Commission File No. 001-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gridSpan w:val="2"/>
          </w:tcPr>
          <w:p>
            <w:pPr>
              <w:ind w:left="20"/>
              <w:spacing w:after="0" w:line="196" w:lineRule="exact"/>
              <w:rPr>
                <w:rFonts w:ascii="Arial" w:cs="Arial" w:eastAsia="Arial" w:hAnsi="Arial"/>
                <w:sz w:val="18"/>
                <w:szCs w:val="18"/>
                <w:color w:val="0000FF"/>
                <w:w w:val="85"/>
              </w:rPr>
            </w:pPr>
            <w:hyperlink r:id="rId56">
              <w:r>
                <w:rPr>
                  <w:rFonts w:ascii="Arial" w:cs="Arial" w:eastAsia="Arial" w:hAnsi="Arial"/>
                  <w:sz w:val="18"/>
                  <w:szCs w:val="18"/>
                  <w:color w:val="0000FF"/>
                  <w:w w:val="85"/>
                </w:rPr>
                <w:t>36777)</w:t>
              </w:r>
            </w:hyperlink>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8"/>
          </w:tcPr>
          <w:p>
            <w:pPr>
              <w:spacing w:after="0"/>
              <w:rPr>
                <w:rFonts w:ascii="Arial" w:cs="Arial" w:eastAsia="Arial" w:hAnsi="Arial"/>
                <w:sz w:val="18"/>
                <w:szCs w:val="18"/>
                <w:color w:val="0000FF"/>
                <w:w w:val="98"/>
              </w:rPr>
            </w:pPr>
            <w:hyperlink r:id="rId57">
              <w:r>
                <w:rPr>
                  <w:rFonts w:ascii="Arial" w:cs="Arial" w:eastAsia="Arial" w:hAnsi="Arial"/>
                  <w:sz w:val="18"/>
                  <w:szCs w:val="18"/>
                  <w:color w:val="0000FF"/>
                  <w:w w:val="98"/>
                </w:rPr>
                <w:t>Form of Director and Officer Indemnification Agreement (incorporated by reference to Exhibit 10.7 of Amendment No. 1 to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Registration Statement on Form S-1, Registration No. 333-199958, filed with the Commission on November 24, 2014)</w:t>
              </w:r>
            </w:hyperlink>
          </w:p>
        </w:tc>
        <w:tc>
          <w:tcPr>
            <w:tcW w:w="660" w:type="dxa"/>
            <w:vAlign w:val="bottom"/>
            <w:tcBorders>
              <w:top w:val="single" w:sz="8" w:color="0000FF"/>
            </w:tcBorders>
            <w:gridSpan w:val="4"/>
          </w:tcPr>
          <w:p>
            <w:pPr>
              <w:spacing w:after="0"/>
              <w:rPr>
                <w:sz w:val="17"/>
                <w:szCs w:val="17"/>
                <w:color w:val="auto"/>
              </w:rPr>
            </w:pPr>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tcBorders>
              <w:bottom w:val="single" w:sz="8" w:color="0000FF"/>
            </w:tcBorders>
            <w:gridSpan w:val="16"/>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Amended and Restated James River Group Holdings, Ltd. Equity Incentive Plan (incorporated by reference to Exhibit 10.8 of the</w:t>
              </w:r>
            </w:hyperlink>
          </w:p>
        </w:tc>
        <w:tc>
          <w:tcPr>
            <w:tcW w:w="4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Registration Statement on Form S-1, Registration No. 333-199958, filed with the Commission on November 7, 2014)*</w:t>
              </w:r>
            </w:hyperlink>
          </w:p>
        </w:tc>
        <w:tc>
          <w:tcPr>
            <w:tcW w:w="12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28"/>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Form of Stock Option Agreement (Amended and Restated James River Group Holdings, Ltd. Equity Incentive Plan)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reference to Exhibit 10.9 of the Registration Statement on Form S-1, Registration No. 333-199958, filed with the Commission on</w:t>
              </w:r>
            </w:hyperlink>
          </w:p>
        </w:tc>
        <w:tc>
          <w:tcPr>
            <w:tcW w:w="300" w:type="dxa"/>
            <w:vAlign w:val="bottom"/>
            <w:tcBorders>
              <w:top w:val="single" w:sz="8" w:color="0000FF"/>
            </w:tcBorders>
            <w:gridSpan w:val="7"/>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November 7,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820" w:type="dxa"/>
            <w:vAlign w:val="bottom"/>
            <w:gridSpan w:val="1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FF"/>
            </w:tcBorders>
            <w:gridSpan w:val="26"/>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First Amendment to the Amended and Restated James River Group Holdings, Ltd. Equity Incentive Plan (incorporated by reference to</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Exhibit 10.10 of Amendment No. 1 to the Registration Statement on Form S-1, Registration No. 333-199958,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Commission on November 24, 2014)*</w:t>
              </w:r>
            </w:hyperlink>
          </w:p>
        </w:tc>
        <w:tc>
          <w:tcPr>
            <w:tcW w:w="6120" w:type="dxa"/>
            <w:vAlign w:val="bottom"/>
            <w:tcBorders>
              <w:top w:val="single" w:sz="8" w:color="0000FF"/>
            </w:tcBorders>
            <w:gridSpan w:val="6"/>
          </w:tcPr>
          <w:p>
            <w:pPr>
              <w:spacing w:after="0"/>
              <w:rPr>
                <w:sz w:val="17"/>
                <w:szCs w:val="17"/>
                <w:color w:val="auto"/>
              </w:rPr>
            </w:pPr>
          </w:p>
        </w:tc>
        <w:tc>
          <w:tcPr>
            <w:tcW w:w="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gridSpan w:val="6"/>
          </w:tcPr>
          <w:p>
            <w:pPr>
              <w:jc w:val="right"/>
              <w:ind w:right="2568"/>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103" w:name="page104"/>
    <w:bookmarkEnd w:id="10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28"/>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10.11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60" w:type="dxa"/>
            <w:vAlign w:val="bottom"/>
            <w:tcBorders>
              <w:top w:val="single" w:sz="8" w:color="auto"/>
              <w:bottom w:val="single" w:sz="8" w:color="0000FF"/>
            </w:tcBorders>
            <w:gridSpan w:val="31"/>
          </w:tcPr>
          <w:p>
            <w:pPr>
              <w:spacing w:after="0" w:line="20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James River Group Holdings, Ltd. 2014 Long-Term Incentive Plan (incorporated by reference to Exhibit 10.11 of Amendment No. 1 to</w:t>
              </w:r>
            </w:hyperlink>
          </w:p>
        </w:tc>
        <w:tc>
          <w:tcPr>
            <w:tcW w:w="100" w:type="dxa"/>
            <w:vAlign w:val="bottom"/>
            <w:tcBorders>
              <w:top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the Registration Statement on Form S-1, Registration No. 333-199958, filed with the Commission on November 24,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31"/>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Amendment to the James River Group Holdings, Ltd. 2014 Long-Term Incentive Plan (incorporated by reference to Exhibit 10.1 of the</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Current Report on Form 8-K filed on May 3, 2017, Commission File No. 001-36777)*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Form of Nonqualified Share Option Agreement (James River Group Holdings, Ltd. 2014 Long-Term Incentive Plan) (incorporated by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reference to Exhibit 10.12 of Amendment No. 1 to the Registration Statement on Form S-1, Registration No. 333-199958, filed with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Commission on November 24, 2014)*</w:t>
              </w:r>
            </w:hyperlink>
          </w:p>
        </w:tc>
        <w:tc>
          <w:tcPr>
            <w:tcW w:w="70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2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Form of Restricted Share Award Agreement (James River Group Holdings, Ltd. 2014 Long-Term Incentive Plan) (incorporated by</w:t>
              </w:r>
            </w:hyperlink>
          </w:p>
        </w:tc>
        <w:tc>
          <w:tcPr>
            <w:tcW w:w="42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reference to Exhibit 10.13 of Amendment No. 1 to the Registration Statement on Form S-1, Registration No. 333-199958, filed with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Commission on November 24, 2014)*</w:t>
              </w:r>
            </w:hyperlink>
          </w:p>
        </w:tc>
        <w:tc>
          <w:tcPr>
            <w:tcW w:w="70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Form of Restricted Share Unit Award Agreement (James River Group Holdings, Ltd. 2014 Long-Term Incentive Plan) (incorporated by</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reference to Exhibit 10.14 of Amendment No. 3 to the Registration Statement on Form S-1, Registration No. 333-199958, filed with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Commission on December 9,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James River Group Holdings, Ltd. 2014 Non-Employee Director Incentive Plan (incorporated by reference to Exhibit 10.15 of</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tcBorders>
            <w:gridSpan w:val="16"/>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Amendment No. 1 to the Registration Statement on Form S-1, Registration No. 333-199958, filed with the Commission on</w:t>
              </w:r>
            </w:hyperlink>
          </w:p>
        </w:tc>
        <w:tc>
          <w:tcPr>
            <w:tcW w:w="7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November 24, 2014)*</w:t>
              </w:r>
            </w:hyperlink>
          </w:p>
        </w:tc>
        <w:tc>
          <w:tcPr>
            <w:tcW w:w="7320" w:type="dxa"/>
            <w:vAlign w:val="bottom"/>
            <w:tcBorders>
              <w:top w:val="single" w:sz="8" w:color="0000FF"/>
            </w:tcBorders>
            <w:gridSpan w:val="11"/>
          </w:tcPr>
          <w:p>
            <w:pPr>
              <w:spacing w:after="0"/>
              <w:rPr>
                <w:sz w:val="17"/>
                <w:szCs w:val="17"/>
                <w:color w:val="auto"/>
              </w:rPr>
            </w:pPr>
          </w:p>
        </w:tc>
        <w:tc>
          <w:tcPr>
            <w:tcW w:w="9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Amendment to the 2014 Non-Employee Director Incentive Plan (incorporated by reference to Exhibit 10.1 of the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Form 8-K filed on May 1, 2019, Commission File No. 001-36777)*</w:t>
              </w:r>
            </w:hyperlink>
          </w:p>
        </w:tc>
        <w:tc>
          <w:tcPr>
            <w:tcW w:w="4600" w:type="dxa"/>
            <w:vAlign w:val="bottom"/>
            <w:tcBorders>
              <w:top w:val="single" w:sz="8" w:color="0000FF"/>
            </w:tcBorders>
            <w:gridSpan w:val="14"/>
          </w:tcPr>
          <w:p>
            <w:pPr>
              <w:spacing w:after="0"/>
              <w:rPr>
                <w:sz w:val="17"/>
                <w:szCs w:val="17"/>
                <w:color w:val="auto"/>
              </w:rPr>
            </w:pPr>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Form of Restricted Share Award Agreement (James River Group Holdings, Ltd. 2014 Non-Employee Director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(incorporated by reference to Exhibit 10.16 of Amendment No. 1 to the Registration Statement on Form S-1, Registration No. 333-</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199958, filed with the Commission on November 24,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24"/>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Form of Restricted Share Unit Award Agreement (James River Group Holdings, Ltd., 2014 Non-Employee Director Incentive Plan)</w:t>
              </w:r>
            </w:hyperlink>
          </w:p>
        </w:tc>
        <w:tc>
          <w:tcPr>
            <w:tcW w:w="3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(incorporated by reference to Exhibit 10.17 of Amendment No. 3 to the Registration Statement on Form S-1, Registration No. 333-</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199958, filed with the Commission on December 9, 2014)*</w:t>
              </w:r>
            </w:hyperlink>
          </w:p>
        </w:tc>
        <w:tc>
          <w:tcPr>
            <w:tcW w:w="55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gridSpan w:val="36"/>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James River Management Company, Inc. Leadership Recognition Program (incorporated by reference to Exhibit 10.18 of Amendment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28"/>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No. 1 to the Registration Statement on Form S-1, Registration No. 333-199958, filed with the Commission on November 24, 2014)*</w:t>
              </w:r>
            </w:hyperlink>
          </w:p>
        </w:tc>
        <w:tc>
          <w:tcPr>
            <w:tcW w:w="100" w:type="dxa"/>
            <w:vAlign w:val="bottom"/>
            <w:tcBorders>
              <w:top w:val="single" w:sz="8" w:color="0000FF"/>
            </w:tcBorders>
            <w:gridSpan w:val="2"/>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tcBorders>
              <w:bottom w:val="single" w:sz="8" w:color="0000FF"/>
            </w:tcBorders>
            <w:gridSpan w:val="33"/>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Employment Agreement, dated as of August 5, 2019, by and among James River Group Holdings, Ltd., James River Group, Inc., and J.</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Adam Abram (incorporated by reference to Exhibit 10.1 to the Quarterly Report on Form 10-Q filed on November 7,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tcBorders>
              <w:bottom w:val="single" w:sz="8" w:color="0000FF"/>
            </w:tcBorders>
            <w:gridSpan w:val="20"/>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Amended and Restated Employment Agreement, effective August 5, 2019, by and between James River Group Holdings, Ltd. and</w:t>
              </w:r>
            </w:hyperlink>
          </w:p>
        </w:tc>
        <w:tc>
          <w:tcPr>
            <w:tcW w:w="4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Robert P. Myron (incorporated by reference to Exhibit 10.2 to the Quarterly Report on Form 10-Q filed on November 7, 2019)*</w:t>
              </w:r>
            </w:hyperlink>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tcBorders>
              <w:bottom w:val="single" w:sz="8" w:color="0000FF"/>
            </w:tcBorders>
            <w:gridSpan w:val="27"/>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Employment Agreement, dated December 19, 2016, by and among James River Group Holdings, Ltd., James River Group, Inc., and</w:t>
              </w:r>
            </w:hyperlink>
          </w:p>
        </w:tc>
        <w:tc>
          <w:tcPr>
            <w:tcW w:w="2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Sarah C. Doran (incorporated by reference to Exhibit 10.1 to the Current Report on Form 8-K filed on December 22, 2016,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File No. 001-36777)*</w:t>
              </w:r>
            </w:hyperlink>
          </w:p>
        </w:tc>
        <w:tc>
          <w:tcPr>
            <w:tcW w:w="82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40" w:type="dxa"/>
            <w:vAlign w:val="bottom"/>
            <w:tcBorders>
              <w:bottom w:val="single" w:sz="8" w:color="0000FF"/>
            </w:tcBorders>
            <w:gridSpan w:val="35"/>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Amendment to Employment Agreement dated December 19, 2016, between Sarah C. Doran and James River Group Holdings, Ltd., and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its subsidiary, James River Group, Inc. (incorporated by reference to Exhibit 10.1 to the Quarterly Report on Form 10-Q filed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November 8, 2018, Commission File No. 001-36777)*</w:t>
              </w:r>
            </w:hyperlink>
          </w:p>
        </w:tc>
        <w:tc>
          <w:tcPr>
            <w:tcW w:w="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29"/>
          </w:tcPr>
          <w:p>
            <w:pPr>
              <w:spacing w:after="0"/>
              <w:rPr>
                <w:rFonts w:ascii="Arial" w:cs="Arial" w:eastAsia="Arial" w:hAnsi="Arial"/>
                <w:sz w:val="18"/>
                <w:szCs w:val="18"/>
                <w:color w:val="0000FF"/>
                <w:w w:val="89"/>
              </w:rPr>
            </w:pPr>
            <w:hyperlink r:id="rId75">
              <w:r>
                <w:rPr>
                  <w:rFonts w:ascii="Arial" w:cs="Arial" w:eastAsia="Arial" w:hAnsi="Arial"/>
                  <w:sz w:val="18"/>
                  <w:szCs w:val="18"/>
                  <w:color w:val="0000FF"/>
                  <w:w w:val="89"/>
                </w:rPr>
                <w:t>Amended and Restated Employment Agreement, dated January 15, 2018, by and among James River Group, Inc., certain subsidiaries</w:t>
              </w:r>
            </w:hyperlink>
          </w:p>
        </w:tc>
        <w:tc>
          <w:tcPr>
            <w:tcW w:w="2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of James River Group, Inc. and Richard Schmitzer (incorporated by reference to Exhibit 10.22 to Annual Report on Form 10-K filed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March 1, 2018, Commission File No. 001-36777)*</w:t>
              </w:r>
            </w:hyperlink>
          </w:p>
        </w:tc>
        <w:tc>
          <w:tcPr>
            <w:tcW w:w="6100" w:type="dxa"/>
            <w:vAlign w:val="bottom"/>
            <w:tcBorders>
              <w:top w:val="single" w:sz="8" w:color="0000FF"/>
            </w:tcBorders>
            <w:gridSpan w:val="27"/>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60" w:type="dxa"/>
            <w:vAlign w:val="bottom"/>
            <w:tcBorders>
              <w:bottom w:val="single" w:sz="8" w:color="0000FF"/>
            </w:tcBorders>
            <w:gridSpan w:val="17"/>
          </w:tcPr>
          <w:p>
            <w:pPr>
              <w:spacing w:after="0"/>
              <w:rPr>
                <w:rFonts w:ascii="Arial" w:cs="Arial" w:eastAsia="Arial" w:hAnsi="Arial"/>
                <w:sz w:val="18"/>
                <w:szCs w:val="18"/>
                <w:color w:val="0000FF"/>
                <w:w w:val="89"/>
              </w:rPr>
            </w:pPr>
            <w:hyperlink r:id="rId76">
              <w:r>
                <w:rPr>
                  <w:rFonts w:ascii="Arial" w:cs="Arial" w:eastAsia="Arial" w:hAnsi="Arial"/>
                  <w:sz w:val="18"/>
                  <w:szCs w:val="18"/>
                  <w:color w:val="0000FF"/>
                  <w:w w:val="89"/>
                </w:rPr>
                <w:t>James River Management Company, Inc. Leadership Recognition Program Award Letter, dated September 30, 2011 to Richard</w:t>
              </w:r>
            </w:hyperlink>
          </w:p>
        </w:tc>
        <w:tc>
          <w:tcPr>
            <w:tcW w:w="70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Schmitzer (incorporated by reference to Exhibit 10.22 of Amendment No. 1 to the Registration Statement on Form S-1, Registration</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No. 333-199958, filed with the Commission on November 24, 2014)*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34"/>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Employment Agreement, dated September 17, 2018, by and among James River Group, Inc., certain subsidiaries of James River Group,</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Inc. and Terry McCafferty, as supplemented by a letter agreement dated October 12, 2018 (incorporated by reference to Exhibit 10.30 to</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the Annual Report on Form 10-K filed on February 27, 2019, Commission File No. 001-36777)*</w:t>
              </w:r>
            </w:hyperlink>
          </w:p>
        </w:tc>
        <w:tc>
          <w:tcPr>
            <w:tcW w:w="2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25"/>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Employment Agreement, dated April 5, 2018, by and among JRG Reinsurance Company, Ltd. and Daniel Heinlein (incorporated by</w:t>
              </w:r>
            </w:hyperlink>
          </w:p>
        </w:tc>
        <w:tc>
          <w:tcPr>
            <w:tcW w:w="3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6"/>
          </w:tcPr>
          <w:p>
            <w:pPr>
              <w:spacing w:after="0" w:line="19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reference to Exhibit 10.31 to the Annual Report on Form 10-K filed on February 27, 2019, Commission File No. 001-36777)*</w:t>
              </w:r>
            </w:hyperlink>
          </w:p>
        </w:tc>
        <w:tc>
          <w:tcPr>
            <w:tcW w:w="0" w:type="dxa"/>
            <w:vAlign w:val="bottom"/>
          </w:tcPr>
          <w:p>
            <w:pPr>
              <w:spacing w:after="0"/>
              <w:rPr>
                <w:sz w:val="1"/>
                <w:szCs w:val="1"/>
                <w:color w:val="auto"/>
              </w:rPr>
            </w:pPr>
          </w:p>
        </w:tc>
      </w:tr>
      <w:tr>
        <w:trPr>
          <w:trHeight w:val="588"/>
        </w:trPr>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top w:val="single" w:sz="8" w:color="0000FF"/>
            </w:tcBorders>
            <w:gridSpan w:val="8"/>
          </w:tcPr>
          <w:p>
            <w:pPr>
              <w:ind w:left="4040"/>
              <w:spacing w:after="0"/>
              <w:rPr>
                <w:sz w:val="20"/>
                <w:szCs w:val="20"/>
                <w:color w:val="auto"/>
              </w:rPr>
            </w:pPr>
            <w:r>
              <w:rPr>
                <w:rFonts w:ascii="Arial" w:cs="Arial" w:eastAsia="Arial" w:hAnsi="Arial"/>
                <w:sz w:val="18"/>
                <w:szCs w:val="18"/>
                <w:color w:val="auto"/>
              </w:rPr>
              <w:t>103</w:t>
            </w: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jc w:val="right"/>
              <w:ind w:right="990"/>
              <w:spacing w:after="0"/>
              <w:rPr>
                <w:sz w:val="20"/>
                <w:szCs w:val="20"/>
                <w:color w:val="auto"/>
              </w:rPr>
            </w:pPr>
            <w:r>
              <w:rPr>
                <w:rFonts w:ascii="Arial" w:cs="Arial" w:eastAsia="Arial" w:hAnsi="Arial"/>
                <w:sz w:val="18"/>
                <w:szCs w:val="18"/>
                <w:color w:val="auto"/>
                <w:w w:val="84"/>
              </w:rPr>
              <w:t>10.29</w:t>
            </w:r>
          </w:p>
        </w:tc>
        <w:tc>
          <w:tcPr>
            <w:tcW w:w="9440" w:type="dxa"/>
            <w:vAlign w:val="bottom"/>
            <w:tcBorders>
              <w:bottom w:val="single" w:sz="8" w:color="0000FF"/>
            </w:tcBorders>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Registration Rights Agreement, dated as of December 17, 2014, by and among (1) James River Group Holdings, Ltd.; (2) (a) D. E.</w:t>
              </w:r>
            </w:hyperlink>
          </w:p>
        </w:tc>
        <w:tc>
          <w:tcPr>
            <w:tcW w:w="2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Shaw CH-SP Franklin, L.L.C., a Delaware limited liability company, D. E. Shaw CF-SP Franklin, L.L.C., a Delaware limited liability</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company, and D. E. Shaw Oculus Portfolios, L.L.C., a Delaware limited liability company; and (b) The Goldman Sachs Group, Inc., a</w:t>
              </w:r>
            </w:hyperlink>
          </w:p>
        </w:tc>
      </w:tr>
      <w:tr>
        <w:trPr>
          <w:trHeight w:val="20"/>
        </w:trPr>
        <w:tc>
          <w:tcPr>
            <w:tcW w:w="1480" w:type="dxa"/>
            <w:vAlign w:val="bottom"/>
          </w:tcPr>
          <w:p>
            <w:pPr>
              <w:spacing w:after="0" w:line="20" w:lineRule="exact"/>
              <w:rPr>
                <w:sz w:val="1"/>
                <w:szCs w:val="1"/>
                <w:color w:val="auto"/>
              </w:rPr>
            </w:pPr>
          </w:p>
        </w:tc>
        <w:tc>
          <w:tcPr>
            <w:tcW w:w="9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Delaware corporation, and Goldman Sachs JRVR Investors Offshore, L.P., a Cayman Islands exempted limited partnership and (3) the</w:t>
              </w:r>
            </w:hyperlink>
          </w:p>
        </w:tc>
      </w:tr>
    </w:tbl>
    <w:p>
      <w:pPr>
        <w:spacing w:after="0" w:line="13" w:lineRule="exact"/>
        <w:rPr>
          <w:sz w:val="20"/>
          <w:szCs w:val="20"/>
          <w:color w:val="auto"/>
        </w:rPr>
      </w:pPr>
    </w:p>
    <w:p>
      <w:pPr>
        <w:ind w:left="1540"/>
        <w:spacing w:after="0" w:line="277"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persons identified as “Management Investors” on the signature pages thereto (incorporated by reference to Exhibit 10.25 to the Annual</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Report on Form 10-K filed on March 12, 2015, Commission File No. 001-36777)</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60"/>
          </w:cols>
          <w:pgMar w:left="240" w:top="125" w:right="39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6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21.1</w:t>
            </w:r>
          </w:p>
        </w:tc>
        <w:tc>
          <w:tcPr>
            <w:tcW w:w="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40" w:type="dxa"/>
            <w:vAlign w:val="bottom"/>
            <w:tcBorders>
              <w:top w:val="single" w:sz="8" w:color="auto"/>
            </w:tcBorders>
            <w:gridSpan w:val="7"/>
          </w:tcPr>
          <w:p>
            <w:pPr>
              <w:spacing w:after="0" w:line="202" w:lineRule="exact"/>
              <w:rPr>
                <w:rFonts w:ascii="Arial" w:cs="Arial" w:eastAsia="Arial" w:hAnsi="Arial"/>
                <w:sz w:val="18"/>
                <w:szCs w:val="18"/>
                <w:color w:val="0000FF"/>
              </w:rPr>
            </w:pPr>
            <w:hyperlink w:anchor="page174">
              <w:r>
                <w:rPr>
                  <w:rFonts w:ascii="Arial" w:cs="Arial" w:eastAsia="Arial" w:hAnsi="Arial"/>
                  <w:sz w:val="18"/>
                  <w:szCs w:val="18"/>
                  <w:color w:val="0000FF"/>
                </w:rPr>
                <w:t>List of subsidiaries of James River Group Holdings, Ltd.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75">
              <w:r>
                <w:rPr>
                  <w:rFonts w:ascii="Arial" w:cs="Arial" w:eastAsia="Arial" w:hAnsi="Arial"/>
                  <w:sz w:val="18"/>
                  <w:szCs w:val="18"/>
                  <w:color w:val="0000FF"/>
                  <w:w w:val="91"/>
                </w:rPr>
                <w:t>Consent of Ernst &amp; Young LLP, Independent Registered Public Accounting Firm</w:t>
              </w:r>
            </w:hyperlink>
          </w:p>
        </w:tc>
        <w:tc>
          <w:tcPr>
            <w:tcW w:w="40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76">
              <w:r>
                <w:rPr>
                  <w:rFonts w:ascii="Arial" w:cs="Arial" w:eastAsia="Arial" w:hAnsi="Arial"/>
                  <w:sz w:val="18"/>
                  <w:szCs w:val="18"/>
                  <w:color w:val="0000FF"/>
                  <w:w w:val="92"/>
                </w:rPr>
                <w:t>Principal Executive Officer Certification pursuant to Rule 13a-14(a)/15d-14(a)</w:t>
              </w:r>
            </w:hyperlink>
          </w:p>
        </w:tc>
        <w:tc>
          <w:tcPr>
            <w:tcW w:w="4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40" w:type="dxa"/>
            <w:vAlign w:val="bottom"/>
            <w:gridSpan w:val="7"/>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Principal Financial Officer Certification pursuant to Rule 13a-14(a)/15d-14(a)</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40" w:type="dxa"/>
            <w:vAlign w:val="bottom"/>
            <w:gridSpan w:val="7"/>
          </w:tcPr>
          <w:p>
            <w:pPr>
              <w:spacing w:after="0"/>
              <w:rPr>
                <w:rFonts w:ascii="Arial" w:cs="Arial" w:eastAsia="Arial" w:hAnsi="Arial"/>
                <w:sz w:val="18"/>
                <w:szCs w:val="18"/>
                <w:color w:val="0000FF"/>
                <w:w w:val="94"/>
              </w:rPr>
            </w:pPr>
            <w:hyperlink w:anchor="page178">
              <w:r>
                <w:rPr>
                  <w:rFonts w:ascii="Arial" w:cs="Arial" w:eastAsia="Arial" w:hAnsi="Arial"/>
                  <w:sz w:val="18"/>
                  <w:szCs w:val="18"/>
                  <w:color w:val="0000FF"/>
                  <w:w w:val="94"/>
                </w:rPr>
                <w:t>Principal Executive Officer and Principal Financial Officer Certification pursuant to 18 U.S.C. Section 1350, as adopted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178">
              <w:r>
                <w:rPr>
                  <w:rFonts w:ascii="Arial" w:cs="Arial" w:eastAsia="Arial" w:hAnsi="Arial"/>
                  <w:sz w:val="18"/>
                  <w:szCs w:val="18"/>
                  <w:color w:val="0000FF"/>
                  <w:w w:val="90"/>
                </w:rPr>
                <w:t>Section 906 of the Sarbanes-Oxley Act of 2002.</w:t>
              </w:r>
            </w:hyperlink>
          </w:p>
        </w:tc>
        <w:tc>
          <w:tcPr>
            <w:tcW w:w="6040" w:type="dxa"/>
            <w:vAlign w:val="bottom"/>
            <w:tcBorders>
              <w:top w:val="single" w:sz="8" w:color="0000FF"/>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740" w:firstLine="35"/>
        <w:spacing w:after="0" w:line="446" w:lineRule="auto"/>
        <w:tabs>
          <w:tab w:leader="none" w:pos="15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9436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ind w:left="340" w:right="160" w:hanging="332"/>
        <w:spacing w:after="0" w:line="34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 not filed with the Securities and Exchange Commission pursuant to Item 601(b)(4)(iii) of Regulation S-K. The Company will furnish a copy to the SEC upon request.</w:t>
      </w:r>
    </w:p>
    <w:p>
      <w:pPr>
        <w:spacing w:after="0" w:line="1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RIVER GROUP HOLDINGS, LTD.</w:t>
      </w:r>
    </w:p>
    <w:p>
      <w:pPr>
        <w:spacing w:after="0" w:line="63" w:lineRule="exact"/>
        <w:rPr>
          <w:sz w:val="20"/>
          <w:szCs w:val="20"/>
          <w:color w:val="auto"/>
        </w:rPr>
      </w:pPr>
    </w:p>
    <w:p>
      <w:pPr>
        <w:ind w:left="40"/>
        <w:spacing w:after="0"/>
        <w:tabs>
          <w:tab w:leader="none" w:pos="600" w:val="left"/>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Adam Abram</w:t>
      </w:r>
      <w:r>
        <w:rPr>
          <w:sz w:val="20"/>
          <w:szCs w:val="20"/>
          <w:color w:val="auto"/>
        </w:rPr>
        <w:tab/>
      </w:r>
      <w:r>
        <w:rPr>
          <w:rFonts w:ascii="Arial" w:cs="Arial" w:eastAsia="Arial" w:hAnsi="Arial"/>
          <w:sz w:val="16"/>
          <w:szCs w:val="16"/>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3336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 Adam Abram</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Executive Officer and Chairman</w:t>
      </w:r>
    </w:p>
    <w:p>
      <w:pPr>
        <w:spacing w:after="0" w:line="130" w:lineRule="exact"/>
        <w:rPr>
          <w:sz w:val="20"/>
          <w:szCs w:val="20"/>
          <w:color w:val="auto"/>
        </w:rPr>
      </w:pPr>
    </w:p>
    <w:p>
      <w:pPr>
        <w:ind w:right="480"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240" w:top="126" w:right="379" w:bottom="1440" w:gutter="0" w:footer="0" w:header="0"/>
        </w:sectPr>
      </w:pPr>
    </w:p>
    <w:p>
      <w:pPr>
        <w:spacing w:after="0" w:line="21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u w:val="single" w:color="auto"/>
          <w:color w:val="auto"/>
        </w:rPr>
        <w:t>NAME</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0326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 Adam Abram</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Sarah C. Doran</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Michael E.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Michael E. Crow</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Janet Cowell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Janet Cowell</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 Christopher 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326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Christopher L. Harris</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Bryan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Bryan Martin</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Jerry R.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Jerry R. Masters</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Robert P. Myron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Robert P. Myron</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Michael T.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Michael T. Oakes</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Patricia H.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Patricia H. Roberts</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 Ollie L. Sherman,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326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Ollie L. Sherman, Jr.</w:t>
      </w:r>
    </w:p>
    <w:p>
      <w:pPr>
        <w:spacing w:after="0" w:line="3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Sundar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326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Sundar Srinivasan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36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rPr>
              <w:t>TITLE</w:t>
            </w:r>
          </w:p>
        </w:tc>
        <w:tc>
          <w:tcPr>
            <w:tcW w:w="2080" w:type="dxa"/>
            <w:vAlign w:val="bottom"/>
            <w:gridSpan w:val="3"/>
          </w:tcPr>
          <w:p>
            <w:pPr>
              <w:jc w:val="center"/>
              <w:ind w:left="671"/>
              <w:spacing w:after="0"/>
              <w:rPr>
                <w:sz w:val="20"/>
                <w:szCs w:val="20"/>
                <w:color w:val="auto"/>
              </w:rPr>
            </w:pPr>
            <w:r>
              <w:rPr>
                <w:rFonts w:ascii="Arial" w:cs="Arial" w:eastAsia="Arial" w:hAnsi="Arial"/>
                <w:sz w:val="14"/>
                <w:szCs w:val="14"/>
                <w:b w:val="1"/>
                <w:bCs w:val="1"/>
                <w:color w:val="auto"/>
              </w:rPr>
              <w:t>DATE</w:t>
            </w:r>
          </w:p>
        </w:tc>
      </w:tr>
      <w:tr>
        <w:trPr>
          <w:trHeight w:val="20"/>
        </w:trPr>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Chief Executive Officer and Chairman</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27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(Principal Executive Officer)</w:t>
            </w: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Chief Financial Officer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27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(Principal Financial Officer)</w:t>
            </w: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Principal Accounting Officer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r>
        <w:trPr>
          <w:trHeight w:val="810"/>
        </w:trPr>
        <w:tc>
          <w:tcPr>
            <w:tcW w:w="354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jc w:val="center"/>
              <w:ind w:left="671"/>
              <w:spacing w:after="0"/>
              <w:rPr>
                <w:sz w:val="20"/>
                <w:szCs w:val="20"/>
                <w:color w:val="auto"/>
              </w:rPr>
            </w:pPr>
            <w:r>
              <w:rPr>
                <w:rFonts w:ascii="Arial" w:cs="Arial" w:eastAsia="Arial" w:hAnsi="Arial"/>
                <w:sz w:val="18"/>
                <w:szCs w:val="18"/>
                <w:color w:val="auto"/>
                <w:w w:val="89"/>
              </w:rPr>
              <w:t>February 27, 2020</w:t>
            </w:r>
          </w:p>
        </w:tc>
      </w:tr>
    </w:tbl>
    <w:p>
      <w:pPr>
        <w:spacing w:after="0" w:line="460" w:lineRule="exact"/>
        <w:rPr>
          <w:sz w:val="20"/>
          <w:szCs w:val="20"/>
          <w:color w:val="auto"/>
        </w:rPr>
      </w:pPr>
    </w:p>
    <w:p>
      <w:pPr>
        <w:sectPr>
          <w:pgSz w:w="11900" w:h="16838" w:orient="portrait"/>
          <w:cols w:equalWidth="0" w:num="2">
            <w:col w:w="3620" w:space="720"/>
            <w:col w:w="6940"/>
          </w:cols>
          <w:pgMar w:left="24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280"/>
          </w:cols>
          <w:pgMar w:left="240" w:top="126" w:right="379" w:bottom="1440" w:gutter="0" w:footer="0" w:header="0"/>
          <w:type w:val="continuous"/>
        </w:sectPr>
      </w:pPr>
    </w:p>
    <w:bookmarkStart w:id="107" w:name="page108"/>
    <w:bookmarkEnd w:id="10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6"/>
        </w:trPr>
        <w:tc>
          <w:tcPr>
            <w:tcW w:w="10620" w:type="dxa"/>
            <w:vAlign w:val="bottom"/>
            <w:gridSpan w:val="21"/>
            <w:shd w:val="clear" w:color="auto" w:fill="CCEEFF"/>
          </w:tcPr>
          <w:p>
            <w:pPr>
              <w:ind w:left="4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0620" w:type="dxa"/>
            <w:vAlign w:val="bottom"/>
            <w:gridSpan w:val="21"/>
          </w:tcPr>
          <w:p>
            <w:pPr>
              <w:ind w:left="4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Report of Independent Registered Public Accounting Firm on Internal Control over Financial Reporting</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F-4</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Balance Sheets as of December 31, 2019 and 2018</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F-5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0620" w:type="dxa"/>
            <w:vAlign w:val="bottom"/>
            <w:gridSpan w:val="21"/>
          </w:tcPr>
          <w:p>
            <w:pPr>
              <w:ind w:left="4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Income and Comprehensive Income for the Years Ended</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F-7</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December 31, 2019, 2018 and 2017</w:t>
              </w:r>
            </w:hyperlink>
          </w:p>
        </w:tc>
        <w:tc>
          <w:tcPr>
            <w:tcW w:w="448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Changes in Shareholders’ Equity for the Years Ended</w:t>
              </w:r>
            </w:hyperlink>
          </w:p>
        </w:tc>
        <w:tc>
          <w:tcPr>
            <w:tcW w:w="24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F-8</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258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December 31, 2019, 2018 and 2017</w:t>
              </w:r>
            </w:hyperlink>
          </w:p>
        </w:tc>
        <w:tc>
          <w:tcPr>
            <w:tcW w:w="2960" w:type="dxa"/>
            <w:vAlign w:val="bottom"/>
            <w:tcBorders>
              <w:top w:val="single" w:sz="8" w:color="0000EE"/>
              <w:bottom w:val="single" w:sz="8" w:color="CCEEFF"/>
            </w:tcBorders>
            <w:gridSpan w:val="6"/>
            <w:shd w:val="clear" w:color="auto" w:fill="CCEEFF"/>
          </w:tcPr>
          <w:p>
            <w:pPr>
              <w:spacing w:after="0"/>
              <w:rPr>
                <w:sz w:val="21"/>
                <w:szCs w:val="21"/>
                <w:color w:val="auto"/>
              </w:rPr>
            </w:pPr>
          </w:p>
        </w:tc>
        <w:tc>
          <w:tcPr>
            <w:tcW w:w="472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620" w:type="dxa"/>
            <w:vAlign w:val="bottom"/>
            <w:gridSpan w:val="21"/>
          </w:tcPr>
          <w:p>
            <w:pPr>
              <w:ind w:left="4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Consolidated Statements of Cash Flows for the Years Ended December 31, 2019, 2018 and 2017</w:t>
              </w:r>
            </w:hyperlink>
          </w:p>
        </w:tc>
        <w:tc>
          <w:tcPr>
            <w:tcW w:w="240" w:type="dxa"/>
            <w:vAlign w:val="bottom"/>
          </w:tcPr>
          <w:p>
            <w:pPr>
              <w:spacing w:after="0"/>
              <w:rPr>
                <w:sz w:val="17"/>
                <w:szCs w:val="17"/>
                <w:color w:val="auto"/>
              </w:rPr>
            </w:pPr>
          </w:p>
        </w:tc>
        <w:tc>
          <w:tcPr>
            <w:tcW w:w="560" w:type="dxa"/>
            <w:vAlign w:val="bottom"/>
            <w:gridSpan w:val="4"/>
          </w:tcPr>
          <w:p>
            <w:pPr>
              <w:jc w:val="center"/>
              <w:ind w:right="240"/>
              <w:spacing w:after="0" w:line="202"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F-9</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0620" w:type="dxa"/>
            <w:vAlign w:val="bottom"/>
            <w:gridSpan w:val="21"/>
            <w:shd w:val="clear" w:color="auto" w:fill="CCEEFF"/>
          </w:tcPr>
          <w:p>
            <w:pPr>
              <w:ind w:left="40"/>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 for the Years Ended December 31, 2019, 2018 and 2017</w:t>
              </w:r>
            </w:hyperlink>
          </w:p>
        </w:tc>
        <w:tc>
          <w:tcPr>
            <w:tcW w:w="800" w:type="dxa"/>
            <w:vAlign w:val="bottom"/>
            <w:gridSpan w:val="5"/>
            <w:shd w:val="clear" w:color="auto" w:fill="CCEEFF"/>
          </w:tcPr>
          <w:p>
            <w:pPr>
              <w:jc w:val="center"/>
              <w:spacing w:after="0" w:line="202" w:lineRule="exact"/>
              <w:rPr>
                <w:rFonts w:ascii="Arial" w:cs="Arial" w:eastAsia="Arial" w:hAnsi="Arial"/>
                <w:sz w:val="18"/>
                <w:szCs w:val="18"/>
                <w:color w:val="0000EE"/>
                <w:w w:val="91"/>
              </w:rPr>
            </w:pPr>
            <w:hyperlink w:anchor="page118">
              <w:r>
                <w:rPr>
                  <w:rFonts w:ascii="Arial" w:cs="Arial" w:eastAsia="Arial" w:hAnsi="Arial"/>
                  <w:sz w:val="18"/>
                  <w:szCs w:val="18"/>
                  <w:color w:val="0000EE"/>
                  <w:w w:val="91"/>
                </w:rPr>
                <w:t>F-10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Schedule I</w:t>
              </w:r>
            </w:hyperlink>
          </w:p>
        </w:tc>
        <w:tc>
          <w:tcPr>
            <w:tcW w:w="9400" w:type="dxa"/>
            <w:vAlign w:val="bottom"/>
            <w:gridSpan w:val="15"/>
          </w:tcPr>
          <w:p>
            <w:pPr>
              <w:ind w:left="300"/>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Summary of Investments</w:t>
              </w:r>
            </w:hyperlink>
          </w:p>
        </w:tc>
        <w:tc>
          <w:tcPr>
            <w:tcW w:w="800" w:type="dxa"/>
            <w:vAlign w:val="bottom"/>
            <w:gridSpan w:val="5"/>
          </w:tcPr>
          <w:p>
            <w:pPr>
              <w:jc w:val="center"/>
              <w:spacing w:after="0" w:line="202"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F-53</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220" w:type="dxa"/>
            <w:vAlign w:val="bottom"/>
            <w:gridSpan w:val="6"/>
            <w:shd w:val="clear" w:color="auto" w:fill="CCEEFF"/>
          </w:tcPr>
          <w:p>
            <w:pPr>
              <w:ind w:left="40"/>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Schedule II</w:t>
              </w:r>
            </w:hyperlink>
          </w:p>
        </w:tc>
        <w:tc>
          <w:tcPr>
            <w:tcW w:w="9400" w:type="dxa"/>
            <w:vAlign w:val="bottom"/>
            <w:gridSpan w:val="15"/>
            <w:shd w:val="clear" w:color="auto" w:fill="CCEEFF"/>
          </w:tcPr>
          <w:p>
            <w:pPr>
              <w:ind w:left="300"/>
              <w:spacing w:after="0" w:line="202" w:lineRule="exact"/>
              <w:rPr>
                <w:rFonts w:ascii="Arial" w:cs="Arial" w:eastAsia="Arial" w:hAnsi="Arial"/>
                <w:sz w:val="18"/>
                <w:szCs w:val="18"/>
                <w:color w:val="0000EE"/>
              </w:rPr>
            </w:pPr>
            <w:hyperlink w:anchor="page162">
              <w:r>
                <w:rPr>
                  <w:rFonts w:ascii="Arial" w:cs="Arial" w:eastAsia="Arial" w:hAnsi="Arial"/>
                  <w:sz w:val="18"/>
                  <w:szCs w:val="18"/>
                  <w:color w:val="0000EE"/>
                </w:rPr>
                <w:t>Condensed Financial Information of Registrant</w:t>
              </w:r>
            </w:hyperlink>
          </w:p>
        </w:tc>
        <w:tc>
          <w:tcPr>
            <w:tcW w:w="800" w:type="dxa"/>
            <w:vAlign w:val="bottom"/>
            <w:gridSpan w:val="5"/>
            <w:shd w:val="clear" w:color="auto" w:fill="CCEEFF"/>
          </w:tcPr>
          <w:p>
            <w:pPr>
              <w:jc w:val="center"/>
              <w:spacing w:after="0" w:line="202"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F-54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Arial" w:cs="Arial" w:eastAsia="Arial" w:hAnsi="Arial"/>
                <w:sz w:val="18"/>
                <w:szCs w:val="18"/>
                <w:color w:val="0000EE"/>
              </w:rPr>
            </w:pPr>
            <w:hyperlink w:anchor="page166">
              <w:r>
                <w:rPr>
                  <w:rFonts w:ascii="Arial" w:cs="Arial" w:eastAsia="Arial" w:hAnsi="Arial"/>
                  <w:sz w:val="18"/>
                  <w:szCs w:val="18"/>
                  <w:color w:val="0000EE"/>
                </w:rPr>
                <w:t>Schedule III</w:t>
              </w:r>
            </w:hyperlink>
          </w:p>
        </w:tc>
        <w:tc>
          <w:tcPr>
            <w:tcW w:w="9400" w:type="dxa"/>
            <w:vAlign w:val="bottom"/>
            <w:gridSpan w:val="15"/>
          </w:tcPr>
          <w:p>
            <w:pPr>
              <w:ind w:left="300"/>
              <w:spacing w:after="0" w:line="202" w:lineRule="exact"/>
              <w:rPr>
                <w:rFonts w:ascii="Arial" w:cs="Arial" w:eastAsia="Arial" w:hAnsi="Arial"/>
                <w:sz w:val="18"/>
                <w:szCs w:val="18"/>
                <w:color w:val="0000EE"/>
              </w:rPr>
            </w:pPr>
            <w:hyperlink w:anchor="page166">
              <w:r>
                <w:rPr>
                  <w:rFonts w:ascii="Arial" w:cs="Arial" w:eastAsia="Arial" w:hAnsi="Arial"/>
                  <w:sz w:val="18"/>
                  <w:szCs w:val="18"/>
                  <w:color w:val="0000EE"/>
                </w:rPr>
                <w:t>Supplementary Insurance Information</w:t>
              </w:r>
            </w:hyperlink>
          </w:p>
        </w:tc>
        <w:tc>
          <w:tcPr>
            <w:tcW w:w="800" w:type="dxa"/>
            <w:vAlign w:val="bottom"/>
            <w:gridSpan w:val="5"/>
          </w:tcPr>
          <w:p>
            <w:pPr>
              <w:jc w:val="center"/>
              <w:spacing w:after="0" w:line="202"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F-58</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220" w:type="dxa"/>
            <w:vAlign w:val="bottom"/>
            <w:gridSpan w:val="6"/>
            <w:shd w:val="clear" w:color="auto" w:fill="CCEEFF"/>
          </w:tcPr>
          <w:p>
            <w:pPr>
              <w:ind w:left="40"/>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Schedule IV</w:t>
              </w:r>
            </w:hyperlink>
          </w:p>
        </w:tc>
        <w:tc>
          <w:tcPr>
            <w:tcW w:w="9400" w:type="dxa"/>
            <w:vAlign w:val="bottom"/>
            <w:gridSpan w:val="15"/>
            <w:shd w:val="clear" w:color="auto" w:fill="CCEEFF"/>
          </w:tcPr>
          <w:p>
            <w:pPr>
              <w:ind w:left="300"/>
              <w:spacing w:after="0" w:line="202" w:lineRule="exact"/>
              <w:rPr>
                <w:rFonts w:ascii="Arial" w:cs="Arial" w:eastAsia="Arial" w:hAnsi="Arial"/>
                <w:sz w:val="18"/>
                <w:szCs w:val="18"/>
                <w:color w:val="0000EE"/>
              </w:rPr>
            </w:pPr>
            <w:hyperlink w:anchor="page167">
              <w:r>
                <w:rPr>
                  <w:rFonts w:ascii="Arial" w:cs="Arial" w:eastAsia="Arial" w:hAnsi="Arial"/>
                  <w:sz w:val="18"/>
                  <w:szCs w:val="18"/>
                  <w:color w:val="0000EE"/>
                </w:rPr>
                <w:t>Reinsurance</w:t>
              </w:r>
            </w:hyperlink>
          </w:p>
        </w:tc>
        <w:tc>
          <w:tcPr>
            <w:tcW w:w="800" w:type="dxa"/>
            <w:vAlign w:val="bottom"/>
            <w:gridSpan w:val="5"/>
            <w:shd w:val="clear" w:color="auto" w:fill="CCEEFF"/>
          </w:tcPr>
          <w:p>
            <w:pPr>
              <w:jc w:val="center"/>
              <w:spacing w:after="0" w:line="202"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F-59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gridSpan w:val="6"/>
          </w:tcPr>
          <w:p>
            <w:pPr>
              <w:ind w:left="40"/>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Schedule V</w:t>
              </w:r>
            </w:hyperlink>
          </w:p>
        </w:tc>
        <w:tc>
          <w:tcPr>
            <w:tcW w:w="9400" w:type="dxa"/>
            <w:vAlign w:val="bottom"/>
            <w:gridSpan w:val="15"/>
          </w:tcPr>
          <w:p>
            <w:pPr>
              <w:ind w:left="300"/>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Valuation and Qualifying Accounts</w:t>
              </w:r>
            </w:hyperlink>
          </w:p>
        </w:tc>
        <w:tc>
          <w:tcPr>
            <w:tcW w:w="800" w:type="dxa"/>
            <w:vAlign w:val="bottom"/>
            <w:gridSpan w:val="5"/>
          </w:tcPr>
          <w:p>
            <w:pPr>
              <w:jc w:val="center"/>
              <w:spacing w:after="0" w:line="202" w:lineRule="exact"/>
              <w:rPr>
                <w:rFonts w:ascii="Arial" w:cs="Arial" w:eastAsia="Arial" w:hAnsi="Arial"/>
                <w:sz w:val="18"/>
                <w:szCs w:val="18"/>
                <w:color w:val="0000EE"/>
                <w:w w:val="91"/>
              </w:rPr>
            </w:pPr>
            <w:hyperlink w:anchor="page168">
              <w:r>
                <w:rPr>
                  <w:rFonts w:ascii="Arial" w:cs="Arial" w:eastAsia="Arial" w:hAnsi="Arial"/>
                  <w:sz w:val="18"/>
                  <w:szCs w:val="18"/>
                  <w:color w:val="0000EE"/>
                  <w:w w:val="91"/>
                </w:rPr>
                <w:t>F-60</w:t>
              </w:r>
            </w:hyperlink>
          </w:p>
        </w:tc>
      </w:tr>
      <w:tr>
        <w:trPr>
          <w:trHeight w:val="48"/>
        </w:trPr>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1220" w:type="dxa"/>
            <w:vAlign w:val="bottom"/>
            <w:gridSpan w:val="6"/>
            <w:shd w:val="clear" w:color="auto" w:fill="CCEEFF"/>
          </w:tcPr>
          <w:p>
            <w:pPr>
              <w:ind w:left="40"/>
              <w:spacing w:after="0" w:line="202" w:lineRule="exact"/>
              <w:rPr>
                <w:rFonts w:ascii="Arial" w:cs="Arial" w:eastAsia="Arial" w:hAnsi="Arial"/>
                <w:sz w:val="18"/>
                <w:szCs w:val="18"/>
                <w:color w:val="0000EE"/>
              </w:rPr>
            </w:pPr>
            <w:hyperlink w:anchor="page169">
              <w:r>
                <w:rPr>
                  <w:rFonts w:ascii="Arial" w:cs="Arial" w:eastAsia="Arial" w:hAnsi="Arial"/>
                  <w:sz w:val="18"/>
                  <w:szCs w:val="18"/>
                  <w:color w:val="0000EE"/>
                </w:rPr>
                <w:t>Schedule VI</w:t>
              </w:r>
            </w:hyperlink>
          </w:p>
        </w:tc>
        <w:tc>
          <w:tcPr>
            <w:tcW w:w="9400" w:type="dxa"/>
            <w:vAlign w:val="bottom"/>
            <w:gridSpan w:val="15"/>
            <w:shd w:val="clear" w:color="auto" w:fill="CCEEFF"/>
          </w:tcPr>
          <w:p>
            <w:pPr>
              <w:ind w:left="300"/>
              <w:spacing w:after="0" w:line="202" w:lineRule="exact"/>
              <w:rPr>
                <w:rFonts w:ascii="Arial" w:cs="Arial" w:eastAsia="Arial" w:hAnsi="Arial"/>
                <w:sz w:val="18"/>
                <w:szCs w:val="18"/>
                <w:color w:val="0000EE"/>
              </w:rPr>
            </w:pPr>
            <w:hyperlink w:anchor="page169">
              <w:r>
                <w:rPr>
                  <w:rFonts w:ascii="Arial" w:cs="Arial" w:eastAsia="Arial" w:hAnsi="Arial"/>
                  <w:sz w:val="18"/>
                  <w:szCs w:val="18"/>
                  <w:color w:val="0000EE"/>
                </w:rPr>
                <w:t>Supplementary Information Concerning Property Casualty Insurance Operations</w:t>
              </w:r>
            </w:hyperlink>
          </w:p>
        </w:tc>
        <w:tc>
          <w:tcPr>
            <w:tcW w:w="800" w:type="dxa"/>
            <w:vAlign w:val="bottom"/>
            <w:gridSpan w:val="5"/>
            <w:shd w:val="clear" w:color="auto" w:fill="CCEEFF"/>
          </w:tcPr>
          <w:p>
            <w:pPr>
              <w:jc w:val="center"/>
              <w:spacing w:after="0" w:line="202" w:lineRule="exact"/>
              <w:rPr>
                <w:rFonts w:ascii="Arial" w:cs="Arial" w:eastAsia="Arial" w:hAnsi="Arial"/>
                <w:sz w:val="18"/>
                <w:szCs w:val="18"/>
                <w:color w:val="0000EE"/>
                <w:w w:val="91"/>
              </w:rPr>
            </w:pPr>
            <w:hyperlink w:anchor="page169">
              <w:r>
                <w:rPr>
                  <w:rFonts w:ascii="Arial" w:cs="Arial" w:eastAsia="Arial" w:hAnsi="Arial"/>
                  <w:sz w:val="18"/>
                  <w:szCs w:val="18"/>
                  <w:color w:val="0000EE"/>
                  <w:w w:val="91"/>
                </w:rPr>
                <w:t>F-61</w:t>
              </w:r>
            </w:hyperlink>
          </w:p>
        </w:tc>
      </w:tr>
      <w:tr>
        <w:trPr>
          <w:trHeight w:val="648"/>
        </w:trPr>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gridSpan w:val="5"/>
          </w:tcPr>
          <w:p>
            <w:pPr>
              <w:ind w:left="660"/>
              <w:spacing w:after="0"/>
              <w:rPr>
                <w:sz w:val="20"/>
                <w:szCs w:val="20"/>
                <w:color w:val="auto"/>
              </w:rPr>
            </w:pPr>
            <w:r>
              <w:rPr>
                <w:rFonts w:ascii="Arial" w:cs="Arial" w:eastAsia="Arial" w:hAnsi="Arial"/>
                <w:sz w:val="18"/>
                <w:szCs w:val="18"/>
                <w:color w:val="auto"/>
              </w:rPr>
              <w:t>F-1</w:t>
            </w:r>
          </w:p>
        </w:tc>
        <w:tc>
          <w:tcPr>
            <w:tcW w:w="3300" w:type="dxa"/>
            <w:vAlign w:val="bottom"/>
            <w:tcBorders>
              <w:top w:val="single" w:sz="8" w:color="CCEEFF"/>
            </w:tcBorders>
            <w:gridSpan w:val="2"/>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8" w:name="page109"/>
    <w:bookmarkEnd w:id="10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James River Group Holdings, Ltd. and subsidiaries (the Company) as of December 31, 2019 and 2018, the related consolidated statements of income and comprehensive income, changes in shareholders' equity and cash flows for each of the three years in the period ended December 31, 2019,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27,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440" w:firstLine="324"/>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right="100" w:firstLine="8"/>
        <w:spacing w:after="0" w:line="255"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77" w:lineRule="exact"/>
        <w:rPr>
          <w:sz w:val="20"/>
          <w:szCs w:val="20"/>
          <w:color w:val="auto"/>
        </w:rPr>
      </w:pPr>
    </w:p>
    <w:p>
      <w:pPr>
        <w:ind w:left="1880"/>
        <w:spacing w:after="0"/>
        <w:rPr>
          <w:sz w:val="20"/>
          <w:szCs w:val="20"/>
          <w:color w:val="auto"/>
        </w:rPr>
      </w:pPr>
      <w:r>
        <w:rPr>
          <w:rFonts w:ascii="Arial" w:cs="Arial" w:eastAsia="Arial" w:hAnsi="Arial"/>
          <w:sz w:val="15"/>
          <w:szCs w:val="15"/>
          <w:b w:val="1"/>
          <w:bCs w:val="1"/>
          <w:i w:val="1"/>
          <w:iCs w:val="1"/>
          <w:color w:val="auto"/>
        </w:rPr>
        <w:t>Valuation of incurred but not reported reserves</w:t>
      </w:r>
    </w:p>
    <w:p>
      <w:pPr>
        <w:sectPr>
          <w:pgSz w:w="11900" w:h="16838" w:orient="portrait"/>
          <w:cols w:equalWidth="0" w:num="1">
            <w:col w:w="11340"/>
          </w:cols>
          <w:pgMar w:left="240" w:top="125" w:right="319" w:bottom="1440" w:gutter="0" w:footer="0" w:header="0"/>
        </w:sectPr>
      </w:pPr>
    </w:p>
    <w:p>
      <w:pPr>
        <w:spacing w:after="0" w:line="9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At December 31, 2019, the Company’s reserve for losses and loss adjustment expenses balance was $2.0 billion, of which $1.2 billion relates to incurred but not reported (“IBNR”) reserves. The carrying amount is management’s best estimate of the ultimate liability, which in turn is composed of known reported losses and an estimate of incurred losses that have not been reported to the Company. As described in Note 1 of the consolidated financial statements, there is significant uncertainty inherent in determining management’s best estimate of the ultimate loss settlement cost which is used to determine the IBNR reserves. In particular, the estimate is subject to a number of variables, given the long-tailed nature of the business generally written by the Company and the limited operating experience of certain lines of business. These variables include the initial expected loss ratio, the incurred and paid loss development factors, and the weighting of the five actuarial methods to be used for each accident year and line of business.</w:t>
      </w:r>
    </w:p>
    <w:p>
      <w:pPr>
        <w:spacing w:after="0" w:line="182" w:lineRule="exact"/>
        <w:rPr>
          <w:sz w:val="20"/>
          <w:szCs w:val="20"/>
          <w:color w:val="auto"/>
        </w:rPr>
      </w:pPr>
    </w:p>
    <w:p>
      <w:pPr>
        <w:sectPr>
          <w:pgSz w:w="11900" w:h="16838" w:orient="portrait"/>
          <w:cols w:equalWidth="0" w:num="2">
            <w:col w:w="1340" w:space="540"/>
            <w:col w:w="9460"/>
          </w:cols>
          <w:pgMar w:left="240" w:top="125" w:right="319" w:bottom="1440" w:gutter="0" w:footer="0" w:header="0"/>
          <w:type w:val="continuous"/>
        </w:sectPr>
      </w:pPr>
    </w:p>
    <w:p>
      <w:pPr>
        <w:ind w:left="1880" w:right="100"/>
        <w:spacing w:after="0" w:line="264" w:lineRule="auto"/>
        <w:rPr>
          <w:sz w:val="20"/>
          <w:szCs w:val="20"/>
          <w:color w:val="auto"/>
        </w:rPr>
      </w:pPr>
      <w:r>
        <w:rPr>
          <w:rFonts w:ascii="Arial" w:cs="Arial" w:eastAsia="Arial" w:hAnsi="Arial"/>
          <w:sz w:val="18"/>
          <w:szCs w:val="18"/>
          <w:color w:val="auto"/>
        </w:rPr>
        <w:t>Auditing management’s best estimate of the IBNR reserves involved the use of actuarial specialists and a high degree of subjectivity in evaluating management’s methods and variables included in the estimate of the ultimate loss settlement cost. These variables have a significant effect on the valuation of the IBNR reserves.</w:t>
      </w:r>
    </w:p>
    <w:p>
      <w:pPr>
        <w:sectPr>
          <w:pgSz w:w="11900" w:h="16838" w:orient="portrait"/>
          <w:cols w:equalWidth="0" w:num="1">
            <w:col w:w="11340"/>
          </w:cols>
          <w:pgMar w:left="240" w:top="125" w:right="319" w:bottom="1440" w:gutter="0" w:footer="0" w:header="0"/>
          <w:type w:val="continuous"/>
        </w:sectPr>
      </w:pPr>
    </w:p>
    <w:p>
      <w:pPr>
        <w:spacing w:after="0" w:line="19" w:lineRule="exact"/>
        <w:rPr>
          <w:sz w:val="20"/>
          <w:szCs w:val="20"/>
          <w:color w:val="auto"/>
        </w:rPr>
      </w:pPr>
    </w:p>
    <w:p>
      <w:pPr>
        <w:ind w:left="40"/>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100"/>
        <w:spacing w:after="0" w:line="26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process to estimate the IBNR reserves, including, among others, the review and approval processes that management has in place for the methods and assumptions used in estimating the IBNR reserves.</w:t>
      </w:r>
    </w:p>
    <w:p>
      <w:pPr>
        <w:spacing w:after="0" w:line="181" w:lineRule="exact"/>
        <w:rPr>
          <w:sz w:val="20"/>
          <w:szCs w:val="20"/>
          <w:color w:val="auto"/>
        </w:rPr>
      </w:pPr>
    </w:p>
    <w:p>
      <w:pPr>
        <w:sectPr>
          <w:pgSz w:w="11900" w:h="16838" w:orient="portrait"/>
          <w:cols w:equalWidth="0" w:num="2">
            <w:col w:w="1420" w:space="460"/>
            <w:col w:w="9460"/>
          </w:cols>
          <w:pgMar w:left="240" w:top="125" w:right="319" w:bottom="1440" w:gutter="0" w:footer="0" w:header="0"/>
          <w:type w:val="continuous"/>
        </w:sectPr>
      </w:pPr>
    </w:p>
    <w:p>
      <w:pPr>
        <w:ind w:left="1880"/>
        <w:spacing w:after="0" w:line="289" w:lineRule="auto"/>
        <w:rPr>
          <w:sz w:val="20"/>
          <w:szCs w:val="20"/>
          <w:color w:val="auto"/>
        </w:rPr>
      </w:pPr>
      <w:r>
        <w:rPr>
          <w:rFonts w:ascii="Arial" w:cs="Arial" w:eastAsia="Arial" w:hAnsi="Arial"/>
          <w:sz w:val="16"/>
          <w:szCs w:val="16"/>
          <w:color w:val="auto"/>
        </w:rPr>
        <w:t>To test the IBNR reserves, our procedures included, among others, the involvement of actuarial specialists to assist with the evaluation of the Company’s selection and weighting of actuarial methods used in their analysis with those methods used in prior periods and those used in the industry. Additionally, to evaluate the significant assumptions in the variables used by management in the actuarial methods, we compared the significant variables, including the initial expected loss ratio and the incurred and paid loss development factors, to factors historically used and current industry benchmarks. Additionally, we performed sensitivity analyses on the variables used in management’s analyses to determine the effect of those changes on management’s best estimate of IBNR reserves for certain lines of business, which comprise a substantial amount of the Company’s recorded reserves. We also independently calculated a range of reasonable reserve estimates and performed independent projections for certain lines of business. We compared the range of reasonable reserve estimates to management’s recorded best estimate and performed a review</w:t>
      </w:r>
    </w:p>
    <w:p>
      <w:pPr>
        <w:sectPr>
          <w:pgSz w:w="11900" w:h="16838" w:orient="portrait"/>
          <w:cols w:equalWidth="0" w:num="1">
            <w:col w:w="11340"/>
          </w:cols>
          <w:pgMar w:left="24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40"/>
          </w:cols>
          <w:pgMar w:left="240" w:top="125" w:right="319" w:bottom="1440" w:gutter="0" w:footer="0" w:header="0"/>
          <w:type w:val="continuous"/>
        </w:sectPr>
      </w:pPr>
    </w:p>
    <w:bookmarkStart w:id="110" w:name="page111"/>
    <w:bookmarkEnd w:id="1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James River Group Holdings,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have audited James River Group Holdings, Ltd.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2019,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income and comprehensive income, changes in shareholders' equity and cash flows for each of the three years in the period ended December 31, 2019, and related notes and financial statement schedules listed in the Index at Item 15(a) and our report dated February 27, 2020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Invested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maturity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Available-for-sale, at fair value (amortized cost: 2019 – $1,398,533; 2018 – $1,199,409)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1,433,626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1,184,202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securities, at fair value (cost: 2019 – $73,244; 2018 – $77,152)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78,385</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Bank loan participations held-for-investment, at amortized cost, net of allowance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260,864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260,972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81,966</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Other invested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61,210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72,321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1,993,360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1,677,846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206,912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172,457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receivable and agents’ balances,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369,462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Reinsurance recoverable on unpaid losses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668,045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467,371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 on paid losses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reinsurance premiums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178,976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112,498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36,940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37,537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94,379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5,024,405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3,136,776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112" w:name="page113"/>
    <w:bookmarkEnd w:id="1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31"/>
              <w:spacing w:after="0"/>
              <w:rPr>
                <w:sz w:val="20"/>
                <w:szCs w:val="20"/>
                <w:color w:val="auto"/>
              </w:rPr>
            </w:pPr>
            <w:r>
              <w:rPr>
                <w:rFonts w:ascii="Arial" w:cs="Arial" w:eastAsia="Arial" w:hAnsi="Arial"/>
                <w:sz w:val="14"/>
                <w:szCs w:val="14"/>
                <w:b w:val="1"/>
                <w:bCs w:val="1"/>
                <w:i w:val="1"/>
                <w:iCs w:val="1"/>
                <w:color w:val="auto"/>
                <w:w w:val="93"/>
              </w:rPr>
              <w:t>(in thousands, except share amounts)</w:t>
            </w: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2,045,506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1,661,459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524,377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386,473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Payables to reinsurers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108,059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61,662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Funds held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158,300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118,300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51,792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46,464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41,879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4,245,824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2,427,535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8"/>
              </w:rPr>
              <w:t>Common Shares – $0.0002 par value; 200,000,000 shares authorized. 2019 and 2018: 30,424,391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29,988,460 shares issued and outstanding, respectively</w:t>
            </w:r>
          </w:p>
        </w:tc>
        <w:tc>
          <w:tcPr>
            <w:tcW w:w="2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Preferred Shares – 2019 and 2018: $0.00125 par value; 20,000,000 shares authorized; no shares issued and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657,875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645,310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778,581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709,241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5,024,405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3,136,776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6"/>
          </w:tcPr>
          <w:p>
            <w:pPr>
              <w:jc w:val="center"/>
              <w:ind w:left="631"/>
              <w:spacing w:after="0"/>
              <w:rPr>
                <w:sz w:val="20"/>
                <w:szCs w:val="20"/>
                <w:color w:val="auto"/>
              </w:rPr>
            </w:pPr>
            <w:r>
              <w:rPr>
                <w:rFonts w:ascii="Arial" w:cs="Arial" w:eastAsia="Arial" w:hAnsi="Arial"/>
                <w:sz w:val="14"/>
                <w:szCs w:val="14"/>
                <w:b w:val="1"/>
                <w:bCs w:val="1"/>
                <w:i w:val="1"/>
                <w:iCs w:val="1"/>
                <w:color w:val="auto"/>
                <w:w w:val="88"/>
              </w:rPr>
              <w:t>(in thousands, except share amounts)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1,470,735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Ceded written premiums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(404,101)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(315,279)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766,626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net unearned premiums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52,726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earned premiums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741,109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75,652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61,119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17,386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817,625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600,276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555,377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170,908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201,035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196,993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855,258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814,761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762,480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11,579</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38,339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63,830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43,566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2"/>
              </w:rPr>
              <w:t>Net unrealized gains (losses), net of taxes of $3,358 in 2019, $(444) in 2018, and $2,707 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46,942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85,281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41,627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30,275,184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29,887,990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29,461,717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30,673,924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30,307,101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30,273,149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(Par)</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8"/>
          </w:tcPr>
          <w:p>
            <w:pPr>
              <w:ind w:left="48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2016</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29,257,566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636,856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693,221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43,566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43,566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9,219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Dividends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(50,600)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Exercise of stock options and related excess</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 benefits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358,967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Vesting of RSUs and related excess tax</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00"/>
              <w:spacing w:after="0"/>
              <w:rPr>
                <w:sz w:val="20"/>
                <w:szCs w:val="20"/>
                <w:color w:val="auto"/>
              </w:rPr>
            </w:pPr>
            <w:r>
              <w:rPr>
                <w:rFonts w:ascii="Arial" w:cs="Arial" w:eastAsia="Arial" w:hAnsi="Arial"/>
                <w:sz w:val="16"/>
                <w:szCs w:val="16"/>
                <w:color w:val="auto"/>
              </w:rPr>
              <w:t>benefits</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80,149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Compensation expense under share incentive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2017</w:t>
            </w: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29,696,682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636,149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48,198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694,699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63,830</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(22,203)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(36,246)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237,319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Vesting of RSUs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w w:val="93"/>
              </w:rPr>
              <w:t>Compensation expense under share incentive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200"/>
              <w:spacing w:after="0"/>
              <w:rPr>
                <w:sz w:val="20"/>
                <w:szCs w:val="20"/>
                <w:color w:val="auto"/>
              </w:rPr>
            </w:pPr>
            <w:r>
              <w:rPr>
                <w:rFonts w:ascii="Arial" w:cs="Arial" w:eastAsia="Arial" w:hAnsi="Arial"/>
                <w:sz w:val="16"/>
                <w:szCs w:val="16"/>
                <w:color w:val="auto"/>
              </w:rPr>
              <w:t>plans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6,228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of adoption of ASU No.</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2016-01, net of taxes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Cumulative effect of adoption of ASU No.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6"/>
                <w:szCs w:val="16"/>
                <w:color w:val="auto"/>
              </w:rPr>
              <w:t>2018-02</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2018</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29,988,460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645,310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79,753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709,241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38,339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38,339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46,942</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Dividends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(36,786)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345,434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Vesting of RSUs</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90,497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Compensation expense under share incentive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plans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7,178</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w w:val="96"/>
              </w:rPr>
              <w:t>Adoption of ASU No. 2016-02, derecognition</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6"/>
                <w:szCs w:val="16"/>
                <w:color w:val="auto"/>
              </w:rPr>
              <w:t>of build-to-suit lease (see Note 1)</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2019</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30,424,391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657,875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89,586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31,114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778,581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6" w:right="239" w:bottom="1440" w:gutter="0" w:footer="0" w:header="0"/>
        </w:sectPr>
      </w:pPr>
    </w:p>
    <w:bookmarkStart w:id="115" w:name="page116"/>
    <w:bookmarkEnd w:id="115"/>
    <w:p>
      <w:pPr>
        <w:spacing w:after="0" w:line="62" w:lineRule="exact"/>
        <w:rPr>
          <w:sz w:val="20"/>
          <w:szCs w:val="20"/>
          <w:color w:val="auto"/>
        </w:rPr>
      </w:pPr>
    </w:p>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190"/>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38,339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43,566</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policy acquisition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(123,577)</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Amortization of policy acquisition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83,893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111,103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116,001</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realized investment losses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1,989</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Impairment of intangible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from equity method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7,333</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Income from equity method investments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(13,209)</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 securities purchases, sales, and maturities,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Deferred U.S. federal income tax benefit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2,123</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Share based compensation expense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6,228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7,688</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equity incentive plan transactions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Reserve for losses and loss adjustment expenses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384,047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369,110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348,484</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Unearned premiums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137,904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(31,641)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27,551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Premiums receivable and agents’ balances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(87,121)</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Reinsurance balances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(235,632)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(187,024)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(113,665)</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1,199,164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Payable to insurance companies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445</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27,684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(8,563)</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1,489,022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290,028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207,816</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Securities available-for-sale: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 fixed maturity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(270,014)</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Sales – fixed maturity securities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121,245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95,793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77,781</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Maturities and calls – fixed maturity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128,809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121,890</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Purchases – equity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(5,540)</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 equity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Bank loan participations: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(240,799)</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Sales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48,415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123,114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138,214</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Maturities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69,740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Other invested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(8,913)</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Return of capital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Securities receivable or payable,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(2,525)</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14,040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(263,359)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(104,741)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debt issuances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Senior debt repayments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(50,832)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Issuances of common shares under equity incentive plans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5,172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1,708</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 repurchases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(49,364)</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Change in cash, cash equivalents, and restricted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1,233,619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8,962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53,711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172,457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163,495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109,784</w:t>
            </w:r>
          </w:p>
        </w:tc>
      </w:tr>
      <w:tr>
        <w:trPr>
          <w:trHeight w:val="283"/>
        </w:trPr>
        <w:tc>
          <w:tcPr>
            <w:tcW w:w="6740" w:type="dxa"/>
            <w:vAlign w:val="bottom"/>
          </w:tcPr>
          <w:p>
            <w:pPr>
              <w:ind w:left="40"/>
              <w:spacing w:after="0"/>
              <w:rPr>
                <w:sz w:val="20"/>
                <w:szCs w:val="20"/>
                <w:color w:val="auto"/>
              </w:rPr>
            </w:pPr>
            <w:r>
              <w:rPr>
                <w:rFonts w:ascii="Arial" w:cs="Arial" w:eastAsia="Arial" w:hAnsi="Arial"/>
                <w:sz w:val="14"/>
                <w:szCs w:val="14"/>
                <w:color w:val="auto"/>
              </w:rPr>
              <w:t>Cash, cash equivalents ($206,912), and restricted cash equivalents ($1,199,164) at end of year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1,406,076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172,457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163,495</w:t>
            </w:r>
          </w:p>
        </w:tc>
      </w:tr>
      <w:tr>
        <w:trPr>
          <w:trHeight w:val="251"/>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information</w:t>
            </w: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U.S. federal income taxes paid, net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18,719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9,848</w:t>
            </w:r>
          </w:p>
        </w:tc>
      </w:tr>
    </w:tbl>
    <w:p>
      <w:pPr>
        <w:sectPr>
          <w:pgSz w:w="11900" w:h="16900" w:orient="portrait"/>
          <w:cols w:equalWidth="0" w:num="1">
            <w:col w:w="11420"/>
          </w:cols>
          <w:pgMar w:left="240" w:top="126" w:right="239" w:bottom="0" w:gutter="0" w:footer="0" w:header="0"/>
        </w:sectPr>
      </w:pPr>
    </w:p>
    <w:bookmarkStart w:id="116" w:name="page117"/>
    <w:bookmarkEnd w:id="116"/>
    <w:p>
      <w:pPr>
        <w:spacing w:after="0"/>
        <w:tabs>
          <w:tab w:leader="none" w:pos="6720" w:val="left"/>
          <w:tab w:leader="none" w:pos="7660" w:val="left"/>
          <w:tab w:leader="none" w:pos="8340" w:val="left"/>
          <w:tab w:leader="none" w:pos="9300" w:val="left"/>
          <w:tab w:leader="none" w:pos="9920" w:val="left"/>
          <w:tab w:leader="none" w:pos="10920" w:val="left"/>
        </w:tabs>
        <w:rPr>
          <w:sz w:val="20"/>
          <w:szCs w:val="20"/>
          <w:color w:val="auto"/>
        </w:rPr>
      </w:pPr>
      <w:r>
        <w:rPr>
          <w:rFonts w:ascii="Arial" w:cs="Arial" w:eastAsia="Arial" w:hAnsi="Arial"/>
          <w:sz w:val="14"/>
          <w:szCs w:val="14"/>
          <w:color w:val="auto"/>
        </w:rPr>
        <w:t>Interest paid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12,354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11,269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8,909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-130175</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80"/>
          </w:cols>
          <w:pgMar w:left="280" w:top="121" w:right="339" w:bottom="1440" w:gutter="0" w:footer="0" w:header="0"/>
        </w:sectPr>
      </w:pPr>
    </w:p>
    <w:bookmarkStart w:id="117" w:name="page118"/>
    <w:bookmarkEnd w:id="1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0" w:lineRule="exact"/>
        <w:rPr>
          <w:sz w:val="20"/>
          <w:szCs w:val="20"/>
          <w:color w:val="auto"/>
        </w:rPr>
      </w:pPr>
    </w:p>
    <w:p>
      <w:pPr>
        <w:spacing w:after="0" w:line="263" w:lineRule="exact"/>
        <w:rPr>
          <w:sz w:val="20"/>
          <w:szCs w:val="20"/>
          <w:color w:val="auto"/>
        </w:rPr>
      </w:pPr>
    </w:p>
    <w:p>
      <w:pPr>
        <w:ind w:right="9540" w:firstLine="8"/>
        <w:spacing w:after="0" w:line="385" w:lineRule="auto"/>
        <w:tabs>
          <w:tab w:leader="none" w:pos="3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Organization</w:t>
      </w:r>
    </w:p>
    <w:p>
      <w:pPr>
        <w:spacing w:after="0" w:line="2" w:lineRule="exact"/>
        <w:rPr>
          <w:sz w:val="20"/>
          <w:szCs w:val="20"/>
          <w:color w:val="auto"/>
        </w:rPr>
      </w:pPr>
    </w:p>
    <w:p>
      <w:pPr>
        <w:ind w:right="100" w:firstLine="351"/>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right="580" w:firstLine="351"/>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89" w:lineRule="exact"/>
        <w:rPr>
          <w:sz w:val="20"/>
          <w:szCs w:val="20"/>
          <w:color w:val="auto"/>
        </w:rPr>
      </w:pPr>
    </w:p>
    <w:p>
      <w:pPr>
        <w:ind w:left="660" w:right="200" w:hanging="328"/>
        <w:spacing w:after="0" w:line="4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The Company contributed James River Group, Inc. (“James River Group”), a U.S. insurance holding company, to James River UK in 2015.</w:t>
      </w:r>
    </w:p>
    <w:p>
      <w:pPr>
        <w:spacing w:after="0" w:line="3" w:lineRule="exact"/>
        <w:rPr>
          <w:rFonts w:ascii="Arial" w:cs="Arial" w:eastAsia="Arial" w:hAnsi="Arial"/>
          <w:sz w:val="16"/>
          <w:szCs w:val="16"/>
          <w:color w:val="auto"/>
        </w:rPr>
      </w:pPr>
    </w:p>
    <w:p>
      <w:pPr>
        <w:ind w:left="660" w:right="80" w:hanging="328"/>
        <w:spacing w:after="0" w:line="31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68" w:lineRule="exact"/>
        <w:rPr>
          <w:rFonts w:ascii="Arial" w:cs="Arial" w:eastAsia="Arial" w:hAnsi="Arial"/>
          <w:sz w:val="18"/>
          <w:szCs w:val="18"/>
          <w:color w:val="auto"/>
        </w:rPr>
      </w:pPr>
    </w:p>
    <w:p>
      <w:pPr>
        <w:ind w:left="660" w:right="100" w:hanging="328"/>
        <w:spacing w:after="0" w:line="41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3" w:lineRule="exact"/>
        <w:rPr>
          <w:rFonts w:ascii="Arial" w:cs="Arial" w:eastAsia="Arial" w:hAnsi="Arial"/>
          <w:sz w:val="16"/>
          <w:szCs w:val="16"/>
          <w:color w:val="auto"/>
        </w:rPr>
      </w:pPr>
    </w:p>
    <w:p>
      <w:pPr>
        <w:ind w:left="660" w:right="20" w:hanging="328"/>
        <w:spacing w:after="0" w:line="31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began writing specialty admitted fronting and program business in late 2013. Falls Lake Fire and Casualty Company began operations in 2016.</w:t>
      </w:r>
    </w:p>
    <w:p>
      <w:pPr>
        <w:spacing w:after="0" w:line="48"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JRG Reinsurance Company Ltd. (“JRG Re”) was formed in 2007 and commenced operations in 2008. JRG Re, a Bermuda domiciled reinsurer, primarily provides non-catastrophe casualty reinsurance to U.S. third parties and to the Company’s U.S.-based insurance subsidiaries.</w:t>
      </w:r>
    </w:p>
    <w:p>
      <w:pPr>
        <w:spacing w:after="0" w:line="42" w:lineRule="exact"/>
        <w:rPr>
          <w:rFonts w:ascii="Arial" w:cs="Arial" w:eastAsia="Arial" w:hAnsi="Arial"/>
          <w:sz w:val="16"/>
          <w:szCs w:val="16"/>
          <w:color w:val="auto"/>
        </w:rPr>
      </w:pPr>
    </w:p>
    <w:p>
      <w:pPr>
        <w:ind w:left="660" w:right="180" w:hanging="328"/>
        <w:spacing w:after="0" w:line="34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provides reinsurance to the Company's U.S.-based insurance subsidiaries. Carolina Re is also the cedent on a stop loss reinsurance treaty with JRG 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and Equity Securities</w:t>
      </w:r>
    </w:p>
    <w:p>
      <w:pPr>
        <w:spacing w:after="0" w:line="12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Fixed maturity securities purchased for short-term resale are classified as “trading” and are carried at fair value with unrealized gains and losses included in earnings as a component of net investment income. The Company does not have any securities classified as “held-to-maturity”.</w:t>
      </w:r>
    </w:p>
    <w:p>
      <w:pPr>
        <w:spacing w:after="0" w:line="79"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180" w:firstLine="351"/>
        <w:spacing w:after="0" w:line="264" w:lineRule="auto"/>
        <w:rPr>
          <w:sz w:val="20"/>
          <w:szCs w:val="20"/>
          <w:color w:val="auto"/>
        </w:rPr>
      </w:pPr>
      <w:r>
        <w:rPr>
          <w:rFonts w:ascii="Arial" w:cs="Arial" w:eastAsia="Arial" w:hAnsi="Arial"/>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 such securities change as a result of changes in estimated prepayment rates, the adjustments are included in net investment income using the retrospective method.</w:t>
      </w:r>
    </w:p>
    <w:p>
      <w:pPr>
        <w:spacing w:after="0" w:line="73" w:lineRule="exact"/>
        <w:rPr>
          <w:sz w:val="20"/>
          <w:szCs w:val="20"/>
          <w:color w:val="auto"/>
        </w:rPr>
      </w:pPr>
    </w:p>
    <w:p>
      <w:pPr>
        <w:ind w:right="320" w:firstLine="351"/>
        <w:spacing w:after="0" w:line="277" w:lineRule="auto"/>
        <w:rPr>
          <w:sz w:val="20"/>
          <w:szCs w:val="20"/>
          <w:color w:val="auto"/>
        </w:rPr>
      </w:pPr>
      <w:r>
        <w:rPr>
          <w:rFonts w:ascii="Arial" w:cs="Arial" w:eastAsia="Arial" w:hAnsi="Arial"/>
          <w:sz w:val="18"/>
          <w:szCs w:val="18"/>
          <w:color w:val="auto"/>
        </w:rPr>
        <w:t>Realized investment gains or losses are determined on a specific identification basis. Interest income is recognized as earned, and dividend income is recognized on the ex-dividend date.</w:t>
      </w:r>
    </w:p>
    <w:p>
      <w:pPr>
        <w:spacing w:after="0" w:line="6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The Company evaluates its available-for-sale fixed maturity securities regularly to determine whether there are declines in value that are other-than-temporary. The Company’s outside investment managers assist the Company in this evaluation. When the Company determines that a security has experienced an other-than-temporary impairment, the impairment loss is recognized as a realized investment loss. The factors that the Company considers in evaluating whether such an other-than-temporary impairment has occurred include the amount and percentage that fair value is below amortized cost and the length of time that fair value has been below amortized cost. In addition, the Company considers the credit quality rating of the security, with a special emphasis on securities downgraded below investment grade. Management does not intend to sell available-for-sale fixed maturity securities in an unrealized loss position, and it is not “more likely than not” that the Company will be required to sell these securities before a recovery in fair value to their amortized cost basis occurs.</w:t>
      </w:r>
    </w:p>
    <w:p>
      <w:pPr>
        <w:spacing w:after="0" w:line="84"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 xml:space="preserve">Effective January 1, 2018, with the adoption of ASU 2016-01, </w:t>
      </w:r>
      <w:r>
        <w:rPr>
          <w:rFonts w:ascii="Arial" w:cs="Arial" w:eastAsia="Arial" w:hAnsi="Arial"/>
          <w:sz w:val="18"/>
          <w:szCs w:val="18"/>
          <w:i w:val="1"/>
          <w:iCs w:val="1"/>
          <w:color w:val="auto"/>
        </w:rPr>
        <w:t>Financial Instruments - 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w:t>
      </w:r>
      <w:r>
        <w:rPr>
          <w:rFonts w:ascii="Arial" w:cs="Arial" w:eastAsia="Arial" w:hAnsi="Arial"/>
          <w:sz w:val="18"/>
          <w:szCs w:val="18"/>
          <w:color w:val="auto"/>
        </w:rPr>
        <w:t>, equity securities (except those accounted for under the equity method of accounting or those that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of the investee) are measured at fair value with changes in fair value recognized in net realized and unrealized gains or losses. Prior to the adoption of ASU 2016-01, changes in the fair value of equity securities were recognized net of taxes as a component of accumulated other comprehensive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Loan Participations Held-for-Investment and Allowance for Credit Losses</w:t>
      </w:r>
    </w:p>
    <w:p>
      <w:pPr>
        <w:spacing w:after="0" w:line="121" w:lineRule="exact"/>
        <w:rPr>
          <w:sz w:val="20"/>
          <w:szCs w:val="20"/>
          <w:color w:val="auto"/>
        </w:rPr>
      </w:pPr>
    </w:p>
    <w:p>
      <w:pPr>
        <w:jc w:val="both"/>
        <w:ind w:right="420" w:firstLine="351"/>
        <w:spacing w:after="0" w:line="264" w:lineRule="auto"/>
        <w:rPr>
          <w:sz w:val="20"/>
          <w:szCs w:val="20"/>
          <w:color w:val="auto"/>
        </w:rPr>
      </w:pPr>
      <w:r>
        <w:rPr>
          <w:rFonts w:ascii="Arial" w:cs="Arial" w:eastAsia="Arial" w:hAnsi="Arial"/>
          <w:sz w:val="18"/>
          <w:szCs w:val="18"/>
          <w:color w:val="auto"/>
        </w:rPr>
        <w:t>Bank loan participations held-for-investment are managed by a specialized outside investment manager and are generally stated at their outstanding unpaid principal balances net of unamortized premiums or discounts and net of any allowance for credit losses. Interest income is accrued on the unpaid principal balance. Discounts and premiums are amortized to income using the interest method.</w:t>
      </w:r>
    </w:p>
    <w:p>
      <w:pPr>
        <w:spacing w:after="0" w:line="73"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2019 or 2018.</w:t>
      </w:r>
    </w:p>
    <w:p>
      <w:pPr>
        <w:spacing w:after="0" w:line="106" w:lineRule="exact"/>
        <w:rPr>
          <w:sz w:val="20"/>
          <w:szCs w:val="20"/>
          <w:color w:val="auto"/>
        </w:rPr>
      </w:pPr>
    </w:p>
    <w:p>
      <w:pPr>
        <w:ind w:right="20" w:firstLine="351"/>
        <w:spacing w:after="0" w:line="373" w:lineRule="auto"/>
        <w:rPr>
          <w:sz w:val="20"/>
          <w:szCs w:val="20"/>
          <w:color w:val="auto"/>
        </w:rPr>
      </w:pPr>
      <w:r>
        <w:rPr>
          <w:rFonts w:ascii="Arial" w:cs="Arial" w:eastAsia="Arial" w:hAnsi="Arial"/>
          <w:sz w:val="17"/>
          <w:szCs w:val="17"/>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ind w:firstLine="351"/>
        <w:spacing w:after="0" w:line="290" w:lineRule="auto"/>
        <w:rPr>
          <w:sz w:val="20"/>
          <w:szCs w:val="20"/>
          <w:color w:val="auto"/>
        </w:rPr>
      </w:pPr>
      <w:r>
        <w:rPr>
          <w:rFonts w:ascii="Arial" w:cs="Arial" w:eastAsia="Arial" w:hAnsi="Arial"/>
          <w:sz w:val="16"/>
          <w:szCs w:val="16"/>
          <w:color w:val="auto"/>
        </w:rPr>
        <w:t>The allowance for credit losses is maintained at a level believed adequate by management to absorb estimated probable credit losses. Management’s periodic evaluation of the adequacy of the allowance is based on consultations and advice of the Company’s specialized investment manager, known and inherent risks in the portfolio, adverse situations that may affect the borrower’s ability to repay, the estimated value of any underlying collateral, current economic conditions, and other relevant factors. When an observable market price for a loan is available, the Company has recorded an allowance equal to the difference between the fair value and the amortized cost of bank loans that it has determined to be impaired as a practical expedient for an estimate of probable future cash flows to be collected on those bank loans. If an observable market price for a loan is not available, the Company records an allowance equal to the difference between the present value of expected future cash flows discounted at the loan’s effective interest rate and the amortized cost of the loan. Bank loans are charged off against the allowance after all means of collection have been exhausted and the potential for recovery is considered remote.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Invested Assets</w:t>
      </w:r>
    </w:p>
    <w:p>
      <w:pPr>
        <w:spacing w:after="0" w:line="12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Other invested assets at December 31, 2019 and 2018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Short-term investments are carried at amortized cost, which approximates fair value. Short-term investments have maturities greater than three months but less than one year at the date of purchase.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Equivalents</w:t>
      </w:r>
    </w:p>
    <w:p>
      <w:pPr>
        <w:spacing w:after="0" w:line="121" w:lineRule="exact"/>
        <w:rPr>
          <w:sz w:val="20"/>
          <w:szCs w:val="20"/>
          <w:color w:val="auto"/>
        </w:rPr>
      </w:pPr>
    </w:p>
    <w:p>
      <w:pPr>
        <w:ind w:right="100" w:firstLine="351"/>
        <w:spacing w:after="0" w:line="277" w:lineRule="auto"/>
        <w:rPr>
          <w:sz w:val="20"/>
          <w:szCs w:val="20"/>
          <w:color w:val="auto"/>
        </w:rPr>
      </w:pPr>
      <w:r>
        <w:rPr>
          <w:rFonts w:ascii="Arial" w:cs="Arial" w:eastAsia="Arial" w:hAnsi="Arial"/>
          <w:sz w:val="18"/>
          <w:szCs w:val="18"/>
          <w:color w:val="auto"/>
        </w:rPr>
        <w:t>The Company considers highly liquid investments with maturities of three months or less at the date of purchase that are segregated for a specific use to be restricted cash equivalents.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Written Premiums</w:t>
      </w:r>
    </w:p>
    <w:p>
      <w:pPr>
        <w:spacing w:after="0" w:line="121"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Reinsurance Premiums</w:t>
      </w:r>
    </w:p>
    <w:p>
      <w:pPr>
        <w:spacing w:after="0" w:line="121" w:lineRule="exact"/>
        <w:rPr>
          <w:sz w:val="20"/>
          <w:szCs w:val="20"/>
          <w:color w:val="auto"/>
        </w:rPr>
      </w:pPr>
    </w:p>
    <w:p>
      <w:pPr>
        <w:ind w:right="140" w:firstLine="351"/>
        <w:spacing w:after="0" w:line="276" w:lineRule="auto"/>
        <w:rPr>
          <w:sz w:val="20"/>
          <w:szCs w:val="20"/>
          <w:color w:val="auto"/>
        </w:rPr>
      </w:pPr>
      <w:r>
        <w:rPr>
          <w:rFonts w:ascii="Arial" w:cs="Arial" w:eastAsia="Arial" w:hAnsi="Arial"/>
          <w:sz w:val="17"/>
          <w:szCs w:val="17"/>
          <w:color w:val="auto"/>
        </w:rPr>
        <w:t>Assumed reinsurance written premiums include amounts reported by brokers and ceding companies, supplemented by the Company’s own estimates of premiums when reports have not been received. Premiums on the Company’s excess of loss and pro rata reinsurance contracts are estimated when the business is underwritten. For excess of loss contracts, the deposit premium, as defined in the contract, is generally recorded as an estimate of premiums written at the inception date of the treaty. Estimates of premiums written under pro rata contracts are recorded in the period in which the underlying risks are expected to begin and are based on information provided by the brokers and the ceding companies.</w:t>
      </w:r>
    </w:p>
    <w:p>
      <w:pPr>
        <w:spacing w:after="0" w:line="91" w:lineRule="exact"/>
        <w:rPr>
          <w:sz w:val="20"/>
          <w:szCs w:val="20"/>
          <w:color w:val="auto"/>
        </w:rPr>
      </w:pPr>
    </w:p>
    <w:p>
      <w:pPr>
        <w:ind w:right="560" w:firstLine="351"/>
        <w:spacing w:after="0" w:line="340" w:lineRule="auto"/>
        <w:rPr>
          <w:sz w:val="20"/>
          <w:szCs w:val="20"/>
          <w:color w:val="auto"/>
        </w:rPr>
      </w:pPr>
      <w:r>
        <w:rPr>
          <w:rFonts w:ascii="Arial" w:cs="Arial" w:eastAsia="Arial" w:hAnsi="Arial"/>
          <w:sz w:val="18"/>
          <w:szCs w:val="18"/>
          <w:color w:val="auto"/>
        </w:rPr>
        <w:t>Reinsurance premium estimates are reviewed by management periodically. Any adjustment to these estimates is recorded in the period in which it becomes known.</w:t>
      </w:r>
    </w:p>
    <w:p>
      <w:pPr>
        <w:spacing w:after="0" w:line="2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Reinsurance premiums assumed are earned over the terms of the underlying policies or reinsurance contracts. Contracts and policies written on a “losses occurring” basis cover claims that may occur during the term of the contract or policy, which is typically 12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 Contracts are accounted for on an individual basis, with no aggregation by counterparty.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Receivable and Agents’ Balances, Net</w:t>
      </w:r>
    </w:p>
    <w:p>
      <w:pPr>
        <w:spacing w:after="0" w:line="121" w:lineRule="exact"/>
        <w:rPr>
          <w:sz w:val="20"/>
          <w:szCs w:val="20"/>
          <w:color w:val="auto"/>
        </w:rPr>
      </w:pPr>
    </w:p>
    <w:p>
      <w:pPr>
        <w:ind w:right="260" w:firstLine="351"/>
        <w:spacing w:after="0" w:line="271" w:lineRule="auto"/>
        <w:rPr>
          <w:sz w:val="20"/>
          <w:szCs w:val="20"/>
          <w:color w:val="auto"/>
        </w:rPr>
      </w:pPr>
      <w:r>
        <w:rPr>
          <w:rFonts w:ascii="Arial" w:cs="Arial" w:eastAsia="Arial" w:hAnsi="Arial"/>
          <w:sz w:val="17"/>
          <w:szCs w:val="17"/>
          <w:color w:val="auto"/>
        </w:rPr>
        <w:t>Premiums receivable and agents’ balances are carried at face value net of any allowance for doubtful accounts. The allowance for doubtful accounts represents an estimate of amounts considered uncollectible based on the Company’s assessment of the collectability of receivables that are past due. Receivables greater than 90 days past due were $3.3 million and $4.5 million at December 31, 2019 and 2018, respectively. The allowance for doubtful accounts was $5.7 million and $3.9 million at December 31, 2019 and 2018, respectively. Bad debt expense was $2.5 million for the year ended December 31, 2019, $1.5 million for the year ended December 31, 2018, and $1.0 million for the year ended December 31, 2017. Receivables written off against the allowance for doubtful accounts totaled $812,000 for the year ended December 31, 2019, $313,000 for the year ended December 31, 2018, and $408,000 for the year ended December 31, 2017. Account balances are charged off against the allowance after all means of collection have been exhausted and the potential for recovery is considered remote.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121" w:lineRule="exact"/>
        <w:rPr>
          <w:sz w:val="20"/>
          <w:szCs w:val="20"/>
          <w:color w:val="auto"/>
        </w:rPr>
      </w:pPr>
    </w:p>
    <w:p>
      <w:pPr>
        <w:ind w:firstLine="351"/>
        <w:spacing w:after="0" w:line="273" w:lineRule="auto"/>
        <w:rPr>
          <w:sz w:val="20"/>
          <w:szCs w:val="20"/>
          <w:color w:val="auto"/>
        </w:rPr>
      </w:pPr>
      <w:r>
        <w:rPr>
          <w:rFonts w:ascii="Arial" w:cs="Arial" w:eastAsia="Arial" w:hAnsi="Arial"/>
          <w:sz w:val="17"/>
          <w:szCs w:val="17"/>
          <w:color w:val="auto"/>
        </w:rPr>
        <w:t>Costs which are incrementally or directly related to the successful acquisition of new or renewal insurance business are deferred. These deferred costs are primarily commissions to agents, ceding commissions paid on reinsurance assumed,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and Adjustable Features of Insurance and Reinsurance Contracts</w:t>
      </w:r>
    </w:p>
    <w:p>
      <w:pPr>
        <w:spacing w:after="0" w:line="121"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Certain premiums and losses are ceded to other insurance companies or assumed from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spacing w:after="0" w:line="73" w:lineRule="exact"/>
        <w:rPr>
          <w:sz w:val="20"/>
          <w:szCs w:val="20"/>
          <w:color w:val="auto"/>
        </w:rPr>
      </w:pPr>
    </w:p>
    <w:p>
      <w:pPr>
        <w:ind w:right="100" w:firstLine="351"/>
        <w:spacing w:after="0" w:line="257" w:lineRule="auto"/>
        <w:rPr>
          <w:sz w:val="20"/>
          <w:szCs w:val="20"/>
          <w:color w:val="auto"/>
        </w:rPr>
      </w:pPr>
      <w:r>
        <w:rPr>
          <w:rFonts w:ascii="Arial" w:cs="Arial" w:eastAsia="Arial" w:hAnsi="Arial"/>
          <w:sz w:val="18"/>
          <w:szCs w:val="18"/>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Other amounts payable to insurance companies and reinsurers or receivable from insurance companies and reinsurers are netted where the right of offset exists. The Company receives ceding commissions in connection with certain ceded reinsurance. The ceding commissions are recorded as a reduction of other operating expenses.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reinsurance contracts include provisions that adjust premiums or acquisition expenses based upon the loss experience under the contracts.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and earned, as well as related acquisition expenses are recorded based upon the projected loss experience under the contracts.</w:t>
      </w:r>
    </w:p>
    <w:p>
      <w:pPr>
        <w:spacing w:after="0" w:line="114" w:lineRule="exact"/>
        <w:rPr>
          <w:sz w:val="20"/>
          <w:szCs w:val="20"/>
          <w:color w:val="auto"/>
        </w:rPr>
      </w:pPr>
    </w:p>
    <w:p>
      <w:pPr>
        <w:ind w:right="140" w:firstLine="351"/>
        <w:spacing w:after="0" w:line="257" w:lineRule="auto"/>
        <w:rPr>
          <w:sz w:val="20"/>
          <w:szCs w:val="20"/>
          <w:color w:val="auto"/>
        </w:rPr>
      </w:pPr>
      <w:r>
        <w:rPr>
          <w:rFonts w:ascii="Arial" w:cs="Arial" w:eastAsia="Arial" w:hAnsi="Arial"/>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experience under the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Other income is principally comprised of fee income earned on policies for which the Company has no exposure to underwriting risk. Fee income of $9.1 million, $13.9 million, and $17.0 million is included in other income for the years ended December 31, 2019, 2018, and 2017, respectively. Fees are earned on a pro rata basis over the service period of the underlying business. Policies are accounted for on an individual basis, with no aggregation by counterparty.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51"/>
        <w:spacing w:after="0" w:line="257" w:lineRule="auto"/>
        <w:rPr>
          <w:sz w:val="20"/>
          <w:szCs w:val="20"/>
          <w:color w:val="auto"/>
        </w:rPr>
      </w:pPr>
      <w:r>
        <w:rPr>
          <w:rFonts w:ascii="Arial" w:cs="Arial" w:eastAsia="Arial" w:hAnsi="Arial"/>
          <w:sz w:val="18"/>
          <w:szCs w:val="18"/>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w:t>
      </w:r>
    </w:p>
    <w:p>
      <w:pPr>
        <w:spacing w:after="0" w:line="8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231F20"/>
        </w:rPr>
        <w:t xml:space="preserve">Effective January 1, 2018, the Company adopted ASU </w:t>
      </w:r>
      <w:r>
        <w:rPr>
          <w:rFonts w:ascii="Arial" w:cs="Arial" w:eastAsia="Arial" w:hAnsi="Arial"/>
          <w:sz w:val="18"/>
          <w:szCs w:val="18"/>
          <w:color w:val="000000"/>
        </w:rPr>
        <w:t>2018-02,</w:t>
      </w:r>
      <w:r>
        <w:rPr>
          <w:rFonts w:ascii="Arial" w:cs="Arial" w:eastAsia="Arial" w:hAnsi="Arial"/>
          <w:sz w:val="18"/>
          <w:szCs w:val="18"/>
          <w:color w:val="231F20"/>
        </w:rPr>
        <w:t xml:space="preserve"> </w:t>
      </w:r>
      <w:r>
        <w:rPr>
          <w:rFonts w:ascii="Arial" w:cs="Arial" w:eastAsia="Arial" w:hAnsi="Arial"/>
          <w:sz w:val="18"/>
          <w:szCs w:val="18"/>
          <w:i w:val="1"/>
          <w:iCs w:val="1"/>
          <w:color w:val="000000"/>
        </w:rPr>
        <w:t>Income Statement - Reporting Comprehensive Income (Topic 220): Reclassification of</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Certain Tax Effects from Accumulated Other Comprehensive Income. </w:t>
      </w:r>
      <w:r>
        <w:rPr>
          <w:rFonts w:ascii="Arial" w:cs="Arial" w:eastAsia="Arial" w:hAnsi="Arial"/>
          <w:sz w:val="18"/>
          <w:szCs w:val="18"/>
          <w:color w:val="000000"/>
        </w:rPr>
        <w:t>This update was issued as a result of the enactment of Public Law No. 115-97,</w:t>
      </w:r>
      <w:r>
        <w:rPr>
          <w:rFonts w:ascii="Arial" w:cs="Arial" w:eastAsia="Arial" w:hAnsi="Arial"/>
          <w:sz w:val="18"/>
          <w:szCs w:val="18"/>
          <w:i w:val="1"/>
          <w:iCs w:val="1"/>
          <w:color w:val="000000"/>
        </w:rPr>
        <w:t xml:space="preserve"> </w:t>
      </w:r>
      <w:r>
        <w:rPr>
          <w:rFonts w:ascii="Arial" w:cs="Arial" w:eastAsia="Arial" w:hAnsi="Arial"/>
          <w:sz w:val="18"/>
          <w:szCs w:val="18"/>
          <w:color w:val="000000"/>
        </w:rPr>
        <w:t>informally titled the Tax Cuts and Jobs Act (the "Tax Act"), on December 22, 2017. The ASU allows for the option to reclassify the stranded tax effects resulting from the implementation of the Tax Act out of accumulated other comprehensive income and into retained earnings. The reclassification resulted in a $711,000 decrease to the Company's retained earnings with a corresponding increase to accumulated other comprehensive income in the first quarter of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right="100" w:firstLine="351"/>
        <w:spacing w:after="0" w:line="264" w:lineRule="auto"/>
        <w:rPr>
          <w:sz w:val="20"/>
          <w:szCs w:val="20"/>
          <w:color w:val="auto"/>
        </w:rPr>
      </w:pPr>
      <w:r>
        <w:rPr>
          <w:rFonts w:ascii="Arial" w:cs="Arial" w:eastAsia="Arial" w:hAnsi="Arial"/>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spacing w:after="0" w:line="73" w:lineRule="exact"/>
        <w:rPr>
          <w:sz w:val="20"/>
          <w:szCs w:val="20"/>
          <w:color w:val="auto"/>
        </w:rPr>
      </w:pPr>
    </w:p>
    <w:p>
      <w:pPr>
        <w:ind w:right="380" w:firstLine="351"/>
        <w:spacing w:after="0" w:line="279" w:lineRule="auto"/>
        <w:rPr>
          <w:sz w:val="20"/>
          <w:szCs w:val="20"/>
          <w:color w:val="auto"/>
        </w:rPr>
      </w:pPr>
      <w:r>
        <w:rPr>
          <w:rFonts w:ascii="Arial" w:cs="Arial" w:eastAsia="Arial" w:hAnsi="Arial"/>
          <w:sz w:val="17"/>
          <w:szCs w:val="17"/>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right="540" w:firstLine="351"/>
        <w:spacing w:after="0" w:line="342" w:lineRule="auto"/>
        <w:rPr>
          <w:sz w:val="20"/>
          <w:szCs w:val="20"/>
          <w:color w:val="auto"/>
        </w:rPr>
      </w:pPr>
      <w:r>
        <w:rPr>
          <w:rFonts w:ascii="Arial" w:cs="Arial" w:eastAsia="Arial" w:hAnsi="Arial"/>
          <w:sz w:val="16"/>
          <w:szCs w:val="16"/>
          <w:color w:val="auto"/>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to ten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121" w:lineRule="exact"/>
        <w:rPr>
          <w:sz w:val="20"/>
          <w:szCs w:val="20"/>
          <w:color w:val="auto"/>
        </w:rPr>
      </w:pPr>
    </w:p>
    <w:p>
      <w:pPr>
        <w:ind w:right="60" w:firstLine="351"/>
        <w:spacing w:after="0" w:line="302" w:lineRule="auto"/>
        <w:rPr>
          <w:sz w:val="20"/>
          <w:szCs w:val="20"/>
          <w:color w:val="auto"/>
        </w:rPr>
      </w:pPr>
      <w:r>
        <w:rPr>
          <w:rFonts w:ascii="Arial" w:cs="Arial" w:eastAsia="Arial" w:hAnsi="Arial"/>
          <w:sz w:val="16"/>
          <w:szCs w:val="16"/>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4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The Company utilizes various actuarially-accepted reserving methodologies in determining the continuum of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Casualty Reinsurance segment, the fronting and program business in the Specialty Admitted Insurance segment, and the commercial auto business in the Excess and Surplus Lines segment.</w:t>
      </w:r>
    </w:p>
    <w:p>
      <w:pPr>
        <w:spacing w:after="0" w:line="59" w:lineRule="exact"/>
        <w:rPr>
          <w:sz w:val="20"/>
          <w:szCs w:val="20"/>
          <w:color w:val="auto"/>
        </w:rPr>
      </w:pPr>
    </w:p>
    <w:p>
      <w:pPr>
        <w:ind w:right="180" w:firstLine="351"/>
        <w:spacing w:after="0" w:line="264" w:lineRule="auto"/>
        <w:rPr>
          <w:sz w:val="20"/>
          <w:szCs w:val="20"/>
          <w:color w:val="auto"/>
        </w:rPr>
      </w:pPr>
      <w:r>
        <w:rPr>
          <w:rFonts w:ascii="Arial" w:cs="Arial" w:eastAsia="Arial" w:hAnsi="Arial"/>
          <w:sz w:val="18"/>
          <w:szCs w:val="18"/>
          <w:color w:val="auto"/>
        </w:rPr>
        <w:t>Catastrophes of significant magnitude, including hurricanes and earthquakes,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6" w:right="239" w:bottom="1440" w:gutter="0" w:footer="0" w:header="0"/>
        </w:sectPr>
      </w:pPr>
    </w:p>
    <w:bookmarkStart w:id="122" w:name="page123"/>
    <w:bookmarkEnd w:id="1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policies. Management estimates reserves for incurred but not reported claims for these catastrophes using judgment based on an assessment of the Company’s property insurance exposures where the catastrophes occur and the Company’s progress in settling claims.</w:t>
      </w:r>
    </w:p>
    <w:p>
      <w:pPr>
        <w:spacing w:after="0" w:line="62"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right="240" w:firstLine="351"/>
        <w:spacing w:after="0" w:line="302" w:lineRule="auto"/>
        <w:rPr>
          <w:sz w:val="20"/>
          <w:szCs w:val="20"/>
          <w:color w:val="auto"/>
        </w:rPr>
      </w:pPr>
      <w:r>
        <w:rPr>
          <w:rFonts w:ascii="Arial" w:cs="Arial" w:eastAsia="Arial" w:hAnsi="Arial"/>
          <w:sz w:val="16"/>
          <w:szCs w:val="16"/>
          <w:color w:val="auto"/>
        </w:rPr>
        <w:t>The Company expenses the fair value of share equity awards over the vesting period of the award on a straight-line basis. The Black-Scholes-Merton option pricing model is used to value the options granted (see Note 12).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income and comprehensive income.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$31.2 million and $29.8 million as of December 31, 2019 and 2018, respectively, representing the Company’s maximum exposure to loss.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60" w:firstLine="351"/>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weighted-average number of common shares outstanding for the period. Diluted earnings per share reflects the dilution that could occur if securities or other contracts to issue common shares or common share equivalents were exercised or converted into common shares as calculated using the treasury stock method. When inclusion of common share equivalents increases the earnings per share or reduces the loss per share, the effect on earnings is anti-dilutive, and the diluted net earnings or net loss per share is computed excluding these common share equivalents.</w:t>
      </w:r>
    </w:p>
    <w:p>
      <w:pPr>
        <w:spacing w:after="0" w:line="80"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per share computations contained in the consolidated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6" w:right="259" w:bottom="1440" w:gutter="0" w:footer="0" w:header="0"/>
        </w:sectPr>
      </w:pPr>
    </w:p>
    <w:bookmarkStart w:id="123" w:name="page124"/>
    <w:bookmarkEnd w:id="1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Income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340" w:type="dxa"/>
            <w:vAlign w:val="bottom"/>
          </w:tcPr>
          <w:p>
            <w:pPr>
              <w:spacing w:after="0"/>
              <w:rPr>
                <w:sz w:val="14"/>
                <w:szCs w:val="14"/>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(Numerator)</w:t>
            </w: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(Denominator)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gridSpan w:val="5"/>
          </w:tcPr>
          <w:p>
            <w:pPr>
              <w:jc w:val="center"/>
              <w:ind w:left="754"/>
              <w:spacing w:after="0"/>
              <w:rPr>
                <w:sz w:val="20"/>
                <w:szCs w:val="20"/>
                <w:color w:val="auto"/>
              </w:rPr>
            </w:pPr>
            <w:r>
              <w:rPr>
                <w:rFonts w:ascii="Arial" w:cs="Arial" w:eastAsia="Arial" w:hAnsi="Arial"/>
                <w:sz w:val="14"/>
                <w:szCs w:val="14"/>
                <w:b w:val="1"/>
                <w:bCs w:val="1"/>
                <w:i w:val="1"/>
                <w:iCs w:val="1"/>
                <w:color w:val="auto"/>
                <w:w w:val="87"/>
              </w:rPr>
              <w:t>(in thousands, except per share data)</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38,339</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30,275,184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398,740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38,339</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30,673,924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63,830</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29,887,990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419,111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63,830</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30,307,101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43,566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29,461,717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811,432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43,566</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30,273,149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 equivalents relate to our outstanding equity awards (stock options and RSUs).</w:t>
      </w:r>
    </w:p>
    <w:p>
      <w:pPr>
        <w:spacing w:after="0" w:line="117" w:lineRule="exact"/>
        <w:rPr>
          <w:sz w:val="20"/>
          <w:szCs w:val="20"/>
          <w:color w:val="auto"/>
        </w:rPr>
      </w:pPr>
    </w:p>
    <w:p>
      <w:pPr>
        <w:ind w:right="200" w:firstLine="351"/>
        <w:spacing w:after="0" w:line="277" w:lineRule="auto"/>
        <w:rPr>
          <w:sz w:val="20"/>
          <w:szCs w:val="20"/>
          <w:color w:val="auto"/>
        </w:rPr>
      </w:pPr>
      <w:r>
        <w:rPr>
          <w:rFonts w:ascii="Arial" w:cs="Arial" w:eastAsia="Arial" w:hAnsi="Arial"/>
          <w:sz w:val="18"/>
          <w:szCs w:val="18"/>
          <w:color w:val="auto"/>
        </w:rPr>
        <w:t>For the years ended December 31, 2019, 2018, and 2017, common share equivalents of 9,735 shares, 180,329 shares, and 174,380 shares, respectively, are excluded from the calculations of diluted earnings per share as their effects are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 xml:space="preserve">Effective January 1, 2019, the Company adopted ASU 2016-02, </w:t>
      </w:r>
      <w:r>
        <w:rPr>
          <w:rFonts w:ascii="Arial" w:cs="Arial" w:eastAsia="Arial" w:hAnsi="Arial"/>
          <w:sz w:val="16"/>
          <w:szCs w:val="16"/>
          <w:i w:val="1"/>
          <w:iCs w:val="1"/>
          <w:color w:val="231F20"/>
        </w:rPr>
        <w:t>Leases (Topic 842)</w:t>
      </w:r>
      <w:r>
        <w:rPr>
          <w:rFonts w:ascii="Arial" w:cs="Arial" w:eastAsia="Arial" w:hAnsi="Arial"/>
          <w:sz w:val="16"/>
          <w:szCs w:val="16"/>
          <w:color w:val="231F20"/>
        </w:rPr>
        <w:t xml:space="preserve">. This update requires the recognition of a right-of-use asset and a corresponding lease liability, discounted to the present value, for all leases that extend beyond 12 months. </w:t>
      </w:r>
      <w:r>
        <w:rPr>
          <w:rFonts w:ascii="Arial" w:cs="Arial" w:eastAsia="Arial" w:hAnsi="Arial"/>
          <w:sz w:val="16"/>
          <w:szCs w:val="16"/>
          <w:color w:val="000000"/>
        </w:rPr>
        <w:t>The Company adopted the new standard using a</w:t>
      </w:r>
      <w:r>
        <w:rPr>
          <w:rFonts w:ascii="Arial" w:cs="Arial" w:eastAsia="Arial" w:hAnsi="Arial"/>
          <w:sz w:val="16"/>
          <w:szCs w:val="16"/>
          <w:color w:val="231F20"/>
        </w:rPr>
        <w:t xml:space="preserve"> </w:t>
      </w:r>
      <w:r>
        <w:rPr>
          <w:rFonts w:ascii="Arial" w:cs="Arial" w:eastAsia="Arial" w:hAnsi="Arial"/>
          <w:sz w:val="16"/>
          <w:szCs w:val="16"/>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increase retained earnings by $8.3 million.</w:t>
      </w:r>
    </w:p>
    <w:p>
      <w:pPr>
        <w:spacing w:after="0" w:line="5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the Company's current credit agreements.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Accounting Standards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231F20"/>
        </w:rPr>
        <w:t xml:space="preserve">In June 2016, the FASB issued ASU 2016-13, </w:t>
      </w:r>
      <w:r>
        <w:rPr>
          <w:rFonts w:ascii="Arial" w:cs="Arial" w:eastAsia="Arial" w:hAnsi="Arial"/>
          <w:sz w:val="17"/>
          <w:szCs w:val="17"/>
          <w:i w:val="1"/>
          <w:iCs w:val="1"/>
          <w:color w:val="231F20"/>
        </w:rPr>
        <w:t>Financial Instruments - Credit Losses (Topic 326): Measurement of Credit Losses on Financial</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Instruments. </w:t>
      </w:r>
      <w:r>
        <w:rPr>
          <w:rFonts w:ascii="Arial" w:cs="Arial" w:eastAsia="Arial" w:hAnsi="Arial"/>
          <w:sz w:val="17"/>
          <w:szCs w:val="17"/>
          <w:color w:val="231F20"/>
        </w:rPr>
        <w:t>Current GAAP requires the recognition of credit losses when it is probable a loss has been incurred. The update will require financial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measured at amortized cost, such as bank loan participations held for investment, to be presented at the net amount expected to be collected by means of an allowance for credit losses that is reflected in net income. Credit losses relating to available-for-sale debt securities will also be recorded through an allowance for credit losses, with the amount of the allowance limited to the amount by which fair value is below amortized cost. This ASU is effective for annual and interim reporting periods beginning after December 15, 2019. The Company will adopt the ASU on January 1, 2020 using the modified-retrospective approach, by which a cumulative-effect adjustment will be made to retained earnings as of the date of adoption.</w:t>
      </w:r>
    </w:p>
    <w:p>
      <w:pPr>
        <w:spacing w:after="0" w:line="70"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231F20"/>
        </w:rPr>
        <w:t xml:space="preserve">In connection with the adoption of this ASU, the Company will elect the fair value option in accounting for bank loan participations effective January 1, 2020. We will also use the targeted transition relief offered by ASU 2019-05, </w:t>
      </w:r>
      <w:r>
        <w:rPr>
          <w:rFonts w:ascii="Arial" w:cs="Arial" w:eastAsia="Arial" w:hAnsi="Arial"/>
          <w:sz w:val="16"/>
          <w:szCs w:val="16"/>
          <w:i w:val="1"/>
          <w:iCs w:val="1"/>
          <w:color w:val="231F20"/>
        </w:rPr>
        <w:t>Financial Instruments - Credit Losses (Topic 326): Targeted Transition Relief</w:t>
      </w:r>
      <w:r>
        <w:rPr>
          <w:rFonts w:ascii="Arial" w:cs="Arial" w:eastAsia="Arial" w:hAnsi="Arial"/>
          <w:sz w:val="16"/>
          <w:szCs w:val="16"/>
          <w:color w:val="231F20"/>
        </w:rPr>
        <w:t xml:space="preserve"> to elect the fair value option to account for bank loan participations already held at the January 1, 2020 date of adoption. Under the fair value option, bank loan participations will be measured at fair value, and changes in unrealized gains and losses in bank loan participations will be reported in our income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231F20"/>
        </w:rPr>
        <w:t>statement as net realized and unrealized gains (losses) on investments. At adoption on January 1, 2020, the Company expects to reduce the carrying value of its bank loan portfolio to fair value through an $8.4 million adjustment with a $7.8 million (net of tax) cumulative effect adjustment to reduce retained earnings.</w:t>
      </w:r>
    </w:p>
    <w:p>
      <w:pPr>
        <w:spacing w:after="0" w:line="7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231F20"/>
        </w:rPr>
        <w:t>Upon adoption of this ASU, the Company will establish an allowance for uncollectible reinsurance balances through a cumulative effect adjustment to retained earnings. Because we purchase reinsurance from financially strong reinsurers or we have collateral securing the recoverables, the effect of adoption is not expected to be material to our financial position.</w:t>
      </w:r>
    </w:p>
    <w:p>
      <w:pPr>
        <w:spacing w:after="0" w:line="69"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6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261,524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249,309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1,398,533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37,691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State and municipal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147,160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mortgage-backed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534,024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U.S. Treasury securities and obligations guaranteed by the U.S.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2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Redeemable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1,199,409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December 31, 2019 are summarized, by contractual maturity,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456,076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466,952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219,717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228,596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128,177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137,393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mortgage-backed</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261,524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249,309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1,398,533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1,433,626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37,363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154,118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111,851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265,969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Fixed maturity securities: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municipal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49,180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154,958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Commercial mortgage and asset-backed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106,423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U.S. Treasury securities and obligations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guaranteed by the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Redeemable preferred stock</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438,150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414,704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852,854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held securities of 112 issuers that were in an unrealized loss position at December 31, 2019 with a total fair value of $266.0 million and gross unrealized losses of $2.6 million. None of the fixed maturity securities with unrealized losses has ever missed, or been delinquent on, a scheduled principal or interest payment.</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2019, 99.6% of the Company’s fixed maturity security portfolio was rated “BBB-” or better (“investment grade”) by Standard &amp; Poor’s or received an equivalent rating from another nationally recognized rating agency.</w:t>
      </w:r>
    </w:p>
    <w:p>
      <w:pPr>
        <w:spacing w:after="0" w:line="62" w:lineRule="exact"/>
        <w:rPr>
          <w:sz w:val="20"/>
          <w:szCs w:val="20"/>
          <w:color w:val="auto"/>
        </w:rPr>
      </w:pPr>
    </w:p>
    <w:p>
      <w:pPr>
        <w:ind w:firstLine="351"/>
        <w:spacing w:after="0" w:line="286" w:lineRule="auto"/>
        <w:rPr>
          <w:sz w:val="20"/>
          <w:szCs w:val="20"/>
          <w:color w:val="auto"/>
        </w:rPr>
      </w:pPr>
      <w:r>
        <w:rPr>
          <w:rFonts w:ascii="Arial" w:cs="Arial" w:eastAsia="Arial" w:hAnsi="Arial"/>
          <w:sz w:val="17"/>
          <w:szCs w:val="17"/>
          <w:color w:val="auto"/>
        </w:rPr>
        <w:t>Management concluded that none of the fixed maturity securities with an unrealized loss at December 31, 2019, 2018, and 2017 experienced an other-than-temporary impairment. Management does not intend to sell available-for-sale securities in an unrealized loss position, and it is not “more likely than not” that the Company will be required to sell these securities before a recovery in their value to their amortized cost basis occurs.</w:t>
      </w:r>
    </w:p>
    <w:p>
      <w:pPr>
        <w:spacing w:after="0" w:line="57" w:lineRule="exact"/>
        <w:rPr>
          <w:sz w:val="20"/>
          <w:szCs w:val="20"/>
          <w:color w:val="auto"/>
        </w:rPr>
      </w:pPr>
    </w:p>
    <w:p>
      <w:pPr>
        <w:ind w:right="200" w:firstLine="351"/>
        <w:spacing w:after="0" w:line="286" w:lineRule="auto"/>
        <w:rPr>
          <w:sz w:val="20"/>
          <w:szCs w:val="20"/>
          <w:color w:val="auto"/>
        </w:rPr>
      </w:pPr>
      <w:r>
        <w:rPr>
          <w:rFonts w:ascii="Arial" w:cs="Arial" w:eastAsia="Arial" w:hAnsi="Arial"/>
          <w:sz w:val="17"/>
          <w:szCs w:val="17"/>
          <w:color w:val="auto"/>
        </w:rPr>
        <w:t>At December 31, 2017, management concluded that one equity security, based on the severity and duration of impairment, had experienced an other-than-temporary impairment. Accordingly, the Company recorded an impairment loss of $1.5 million in 2017. Management concluded that none of the other equity securities with an unrealized loss at December 31, 2017 had experienced an other-than-temporary impairment.</w:t>
      </w:r>
    </w:p>
    <w:p>
      <w:pPr>
        <w:spacing w:after="0" w:line="57" w:lineRule="exact"/>
        <w:rPr>
          <w:sz w:val="20"/>
          <w:szCs w:val="20"/>
          <w:color w:val="auto"/>
        </w:rPr>
      </w:pPr>
    </w:p>
    <w:p>
      <w:pPr>
        <w:ind w:right="80" w:firstLine="351"/>
        <w:spacing w:after="0" w:line="257" w:lineRule="auto"/>
        <w:rPr>
          <w:sz w:val="20"/>
          <w:szCs w:val="20"/>
          <w:color w:val="auto"/>
        </w:rPr>
      </w:pPr>
      <w:r>
        <w:rPr>
          <w:rFonts w:ascii="Arial" w:cs="Arial" w:eastAsia="Arial" w:hAnsi="Arial"/>
          <w:sz w:val="18"/>
          <w:szCs w:val="18"/>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6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231F20"/>
        </w:rPr>
        <w:t xml:space="preserve">Management concluded that </w:t>
      </w:r>
      <w:r>
        <w:rPr>
          <w:rFonts w:ascii="Arial" w:cs="Arial" w:eastAsia="Arial" w:hAnsi="Arial"/>
          <w:sz w:val="18"/>
          <w:szCs w:val="18"/>
          <w:color w:val="000000"/>
        </w:rPr>
        <w:t>seven</w:t>
      </w:r>
      <w:r>
        <w:rPr>
          <w:rFonts w:ascii="Arial" w:cs="Arial" w:eastAsia="Arial" w:hAnsi="Arial"/>
          <w:sz w:val="18"/>
          <w:szCs w:val="18"/>
          <w:color w:val="231F20"/>
        </w:rPr>
        <w:t xml:space="preserve"> loans from six issuers </w:t>
      </w:r>
      <w:r>
        <w:rPr>
          <w:rFonts w:ascii="Arial" w:cs="Arial" w:eastAsia="Arial" w:hAnsi="Arial"/>
          <w:sz w:val="18"/>
          <w:szCs w:val="18"/>
          <w:color w:val="000000"/>
        </w:rPr>
        <w:t>in the Company's bank loan portfolio were impaired at December 31, 2019. At December 31,</w:t>
      </w:r>
      <w:r>
        <w:rPr>
          <w:rFonts w:ascii="Arial" w:cs="Arial" w:eastAsia="Arial" w:hAnsi="Arial"/>
          <w:sz w:val="18"/>
          <w:szCs w:val="18"/>
          <w:color w:val="231F20"/>
        </w:rPr>
        <w:t xml:space="preserve"> </w:t>
      </w:r>
      <w:r>
        <w:rPr>
          <w:rFonts w:ascii="Arial" w:cs="Arial" w:eastAsia="Arial" w:hAnsi="Arial"/>
          <w:sz w:val="18"/>
          <w:szCs w:val="18"/>
          <w:color w:val="000000"/>
        </w:rPr>
        <w:t>2019, the impaired loans had a carrying value of $6.9 million, unpaid principal of $14.3 million</w:t>
      </w:r>
      <w:r>
        <w:rPr>
          <w:rFonts w:ascii="Arial" w:cs="Arial" w:eastAsia="Arial" w:hAnsi="Arial"/>
          <w:sz w:val="18"/>
          <w:szCs w:val="18"/>
          <w:color w:val="231F20"/>
        </w:rPr>
        <w:t>, and an allowance for credit losses of $7.2 million, $5.1</w:t>
      </w:r>
      <w:r>
        <w:rPr>
          <w:rFonts w:ascii="Arial" w:cs="Arial" w:eastAsia="Arial" w:hAnsi="Arial"/>
          <w:sz w:val="18"/>
          <w:szCs w:val="18"/>
          <w:color w:val="000000"/>
        </w:rPr>
        <w:t xml:space="preserve"> </w:t>
      </w:r>
      <w:r>
        <w:rPr>
          <w:rFonts w:ascii="Arial" w:cs="Arial" w:eastAsia="Arial" w:hAnsi="Arial"/>
          <w:sz w:val="18"/>
          <w:szCs w:val="18"/>
          <w:color w:val="231F20"/>
        </w:rPr>
        <w:t>million of which related to two loans from one issuer who is experiencing liquidity concerns resulting from revenue declines and poor growth prospects in its most profitable segment.</w:t>
      </w:r>
    </w:p>
    <w:p>
      <w:pPr>
        <w:spacing w:after="0" w:line="7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231F20"/>
        </w:rPr>
        <w:t xml:space="preserve">Management concluded that none of the loans in the Company's bank loan portfolio were impaired as of </w:t>
      </w:r>
      <w:r>
        <w:rPr>
          <w:rFonts w:ascii="Arial" w:cs="Arial" w:eastAsia="Arial" w:hAnsi="Arial"/>
          <w:sz w:val="18"/>
          <w:szCs w:val="18"/>
          <w:color w:val="000000"/>
        </w:rPr>
        <w:t>December 31, 2018</w:t>
      </w:r>
      <w:r>
        <w:rPr>
          <w:rFonts w:ascii="Arial" w:cs="Arial" w:eastAsia="Arial" w:hAnsi="Arial"/>
          <w:sz w:val="18"/>
          <w:szCs w:val="18"/>
          <w:color w:val="231F20"/>
        </w:rPr>
        <w:t>. At December 31, 2017</w:t>
      </w:r>
      <w:r>
        <w:rPr>
          <w:rFonts w:ascii="Arial" w:cs="Arial" w:eastAsia="Arial" w:hAnsi="Arial"/>
          <w:sz w:val="18"/>
          <w:szCs w:val="18"/>
          <w:color w:val="000000"/>
        </w:rPr>
        <w:t>, the</w:t>
      </w:r>
      <w:r>
        <w:rPr>
          <w:rFonts w:ascii="Arial" w:cs="Arial" w:eastAsia="Arial" w:hAnsi="Arial"/>
          <w:sz w:val="18"/>
          <w:szCs w:val="18"/>
          <w:color w:val="231F20"/>
        </w:rPr>
        <w:t xml:space="preserve"> </w:t>
      </w:r>
      <w:r>
        <w:rPr>
          <w:rFonts w:ascii="Arial" w:cs="Arial" w:eastAsia="Arial" w:hAnsi="Arial"/>
          <w:sz w:val="18"/>
          <w:szCs w:val="18"/>
          <w:color w:val="000000"/>
        </w:rPr>
        <w:t>aggregate allowance for credit losses was $3.2 million on five impaired loans with a total carrying value of $5.1 million and unpaid principal of $8.4 million. At December 31, 2017, impairments in the bank loan portfolio largely reflect the impact of declining energy prices on the market values of loans to oil and gas companies in the energy sector.</w:t>
      </w:r>
    </w:p>
    <w:p>
      <w:pPr>
        <w:spacing w:after="0" w:line="7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 xml:space="preserve">At December 31, 2017, the Company held a participation in a loan with unpaid principal of </w:t>
      </w:r>
      <w:r>
        <w:rPr>
          <w:rFonts w:ascii="Arial" w:cs="Arial" w:eastAsia="Arial" w:hAnsi="Arial"/>
          <w:sz w:val="18"/>
          <w:szCs w:val="18"/>
          <w:color w:val="231F20"/>
        </w:rPr>
        <w:t>$807,000</w:t>
      </w:r>
      <w:r>
        <w:rPr>
          <w:rFonts w:ascii="Arial" w:cs="Arial" w:eastAsia="Arial" w:hAnsi="Arial"/>
          <w:sz w:val="18"/>
          <w:szCs w:val="18"/>
          <w:color w:val="auto"/>
        </w:rPr>
        <w:t xml:space="preserve"> issued by a company that produces and supplies power to Puerto Rico. Management concluded that an allowance for credit losses should be established on the loan at December 31, 2017 to reduce its carrying value to zero. </w:t>
      </w:r>
      <w:r>
        <w:rPr>
          <w:rFonts w:ascii="Arial" w:cs="Arial" w:eastAsia="Arial" w:hAnsi="Arial"/>
          <w:sz w:val="18"/>
          <w:szCs w:val="18"/>
          <w:color w:val="231F20"/>
        </w:rPr>
        <w:t>In the first quarter of 2018, the full outstanding principal on the loan was repaid and the Company recognized a realized gain of</w:t>
      </w:r>
      <w:r>
        <w:rPr>
          <w:rFonts w:ascii="Arial" w:cs="Arial" w:eastAsia="Arial" w:hAnsi="Arial"/>
          <w:sz w:val="18"/>
          <w:szCs w:val="18"/>
          <w:color w:val="auto"/>
        </w:rPr>
        <w:t xml:space="preserve"> </w:t>
      </w:r>
      <w:r>
        <w:rPr>
          <w:rFonts w:ascii="Arial" w:cs="Arial" w:eastAsia="Arial" w:hAnsi="Arial"/>
          <w:sz w:val="18"/>
          <w:szCs w:val="18"/>
          <w:color w:val="231F20"/>
        </w:rPr>
        <w:t>$807,000 on the repayment.</w:t>
      </w:r>
    </w:p>
    <w:p>
      <w:pPr>
        <w:spacing w:after="0" w:line="7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The average recorded investment in impaired bank loans was $3.5 million, $2.6 million, and $5.8 million during the years ended December 31, 2019, 2018, and 2017, respectively, and investment income of $293,000, $125,000, and $300,000 was recognized during the time that the loans were impaired. The Company recorded losses of $8.9 million, $858,000, and $2.4 million during the years ended December 31, 2019, 2018, and 2017, respectively, for changes in the fair value of impaired bank loans.</w:t>
      </w:r>
    </w:p>
    <w:p>
      <w:pPr>
        <w:spacing w:after="0" w:line="79" w:lineRule="exact"/>
        <w:rPr>
          <w:sz w:val="20"/>
          <w:szCs w:val="20"/>
          <w:color w:val="auto"/>
        </w:rPr>
      </w:pPr>
    </w:p>
    <w:p>
      <w:pPr>
        <w:ind w:right="60" w:firstLine="351"/>
        <w:spacing w:after="0" w:line="277" w:lineRule="auto"/>
        <w:rPr>
          <w:sz w:val="20"/>
          <w:szCs w:val="20"/>
          <w:color w:val="auto"/>
        </w:rPr>
      </w:pPr>
      <w:r>
        <w:rPr>
          <w:rFonts w:ascii="Arial" w:cs="Arial" w:eastAsia="Arial" w:hAnsi="Arial"/>
          <w:sz w:val="18"/>
          <w:szCs w:val="18"/>
          <w:color w:val="auto"/>
        </w:rPr>
        <w:t>At December 31, 2019, unamortized discounts on bank loan participations were $2.4 million, and unamortized premiums were $4,000. At December 31, 2018, unamortized discounts on bank loan participations were $1.8 million, and unamortized premiums were $17,000.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34,129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18,279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invested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Gross investment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80,373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65,490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75,652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61,256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61,119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Arial" w:cs="Arial" w:eastAsia="Arial" w:hAnsi="Arial"/>
                <w:sz w:val="18"/>
                <w:szCs w:val="18"/>
                <w:color w:val="auto"/>
              </w:rPr>
              <w:t>F-19</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27" w:name="page128"/>
    <w:bookmarkEnd w:id="1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realized and unrealized losses and gains on investments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fair values of equity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Bank loan participations: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Short-term investments and other:</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 in the Company’s available-for-sale gross unrealized gains or losses by investment type: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unrealized gains (losses):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Fixed maturity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6,571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5,356</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(22,643)</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11,927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351"/>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7"/>
              </w:rPr>
              <w:t>Carrying Value</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Investment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4"/>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center"/>
              <w:ind w:left="478"/>
              <w:spacing w:after="0"/>
              <w:rPr>
                <w:sz w:val="20"/>
                <w:szCs w:val="20"/>
                <w:color w:val="auto"/>
              </w:rPr>
            </w:pPr>
            <w:r>
              <w:rPr>
                <w:rFonts w:ascii="Arial" w:cs="Arial" w:eastAsia="Arial" w:hAnsi="Arial"/>
                <w:sz w:val="14"/>
                <w:szCs w:val="14"/>
                <w:b w:val="1"/>
                <w:bCs w:val="1"/>
                <w:i w:val="1"/>
                <w:iCs w:val="1"/>
                <w:color w:val="auto"/>
                <w:w w:val="89"/>
              </w:rPr>
              <w:t>(in thousands)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Renewable energy LLCs</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31,219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29,795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2,181</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10,578</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Renewable energy notes receivable</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526</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Limited partnerships</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16,741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2,632</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Bank holding companies</w:t>
            </w:r>
            <w:r>
              <w:rPr>
                <w:rFonts w:ascii="Arial" w:cs="Arial" w:eastAsia="Arial" w:hAnsi="Arial"/>
                <w:sz w:val="25"/>
                <w:szCs w:val="25"/>
                <w:color w:val="auto"/>
                <w:vertAlign w:val="superscript"/>
              </w:rPr>
              <w:t>(d)</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343</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invested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61,210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72,321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6,254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14,079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40" w:right="40" w:hanging="332"/>
        <w:spacing w:after="0" w:line="25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Corporate and Other segment owns equity interests ranging from 2.6% to 32.2% in various LLCs whose principal objective is capital appreciation and income generation from owning and operating renewable energy production facilities (wind and solar). The LLCs are managed by an entity for which one of our directors and one of our recent former directors serve as officers, and the Company’s Executive Chairman and Chief Executive Officer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$757,000 and $5.8 million for the years ended December 31, 2019 and 2018, respectively.</w:t>
      </w:r>
    </w:p>
    <w:p>
      <w:pPr>
        <w:spacing w:after="0" w:line="111" w:lineRule="exact"/>
        <w:rPr>
          <w:rFonts w:ascii="Arial" w:cs="Arial" w:eastAsia="Arial" w:hAnsi="Arial"/>
          <w:sz w:val="18"/>
          <w:szCs w:val="18"/>
          <w:color w:val="auto"/>
        </w:rPr>
      </w:pPr>
    </w:p>
    <w:p>
      <w:pPr>
        <w:ind w:left="340" w:hanging="332"/>
        <w:spacing w:after="0" w:line="30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Company's Corporate and Other segment has invested in notes receivable for renewable energy projects. </w:t>
      </w:r>
      <w:r>
        <w:rPr>
          <w:rFonts w:ascii="Arial" w:cs="Arial" w:eastAsia="Arial" w:hAnsi="Arial"/>
          <w:sz w:val="18"/>
          <w:szCs w:val="18"/>
          <w:color w:val="231F20"/>
        </w:rPr>
        <w:t>At</w:t>
      </w:r>
      <w:r>
        <w:rPr>
          <w:rFonts w:ascii="Arial" w:cs="Arial" w:eastAsia="Arial" w:hAnsi="Arial"/>
          <w:sz w:val="18"/>
          <w:szCs w:val="18"/>
          <w:color w:val="auto"/>
        </w:rPr>
        <w:t xml:space="preserve"> December 31, 2019 </w:t>
      </w:r>
      <w:r>
        <w:rPr>
          <w:rFonts w:ascii="Arial" w:cs="Arial" w:eastAsia="Arial" w:hAnsi="Arial"/>
          <w:sz w:val="18"/>
          <w:szCs w:val="18"/>
          <w:color w:val="231F20"/>
        </w:rPr>
        <w:t>and</w:t>
      </w:r>
      <w:r>
        <w:rPr>
          <w:rFonts w:ascii="Arial" w:cs="Arial" w:eastAsia="Arial" w:hAnsi="Arial"/>
          <w:sz w:val="18"/>
          <w:szCs w:val="18"/>
          <w:color w:val="auto"/>
        </w:rPr>
        <w:t xml:space="preserve"> 2018</w:t>
      </w:r>
      <w:r>
        <w:rPr>
          <w:rFonts w:ascii="Arial" w:cs="Arial" w:eastAsia="Arial" w:hAnsi="Arial"/>
          <w:sz w:val="18"/>
          <w:szCs w:val="18"/>
          <w:color w:val="231F20"/>
        </w:rPr>
        <w:t>, the</w:t>
      </w:r>
      <w:r>
        <w:rPr>
          <w:rFonts w:ascii="Arial" w:cs="Arial" w:eastAsia="Arial" w:hAnsi="Arial"/>
          <w:sz w:val="18"/>
          <w:szCs w:val="18"/>
          <w:color w:val="auto"/>
        </w:rPr>
        <w:t xml:space="preserve"> </w:t>
      </w:r>
      <w:r>
        <w:rPr>
          <w:rFonts w:ascii="Arial" w:cs="Arial" w:eastAsia="Arial" w:hAnsi="Arial"/>
          <w:sz w:val="18"/>
          <w:szCs w:val="18"/>
          <w:color w:val="231F20"/>
        </w:rPr>
        <w:t xml:space="preserve">Company held one $8.8 million note issued by an </w:t>
      </w:r>
      <w:r>
        <w:rPr>
          <w:rFonts w:ascii="Arial" w:cs="Arial" w:eastAsia="Arial" w:hAnsi="Arial"/>
          <w:sz w:val="18"/>
          <w:szCs w:val="18"/>
          <w:color w:val="000000"/>
        </w:rPr>
        <w:t>entity for which one of our directors and one of our recent former directors serve as officers</w:t>
      </w:r>
      <w:r>
        <w:rPr>
          <w:rFonts w:ascii="Arial" w:cs="Arial" w:eastAsia="Arial" w:hAnsi="Arial"/>
          <w:sz w:val="18"/>
          <w:szCs w:val="18"/>
          <w:color w:val="231F20"/>
        </w:rPr>
        <w:t xml:space="preserve">. </w:t>
      </w:r>
      <w:r>
        <w:rPr>
          <w:rFonts w:ascii="Arial" w:cs="Arial" w:eastAsia="Arial" w:hAnsi="Arial"/>
          <w:sz w:val="18"/>
          <w:szCs w:val="18"/>
          <w:color w:val="000000"/>
        </w:rPr>
        <w:t>Interest on</w:t>
      </w:r>
      <w:r>
        <w:rPr>
          <w:rFonts w:ascii="Arial" w:cs="Arial" w:eastAsia="Arial" w:hAnsi="Arial"/>
          <w:sz w:val="18"/>
          <w:szCs w:val="18"/>
          <w:color w:val="231F20"/>
        </w:rPr>
        <w:t xml:space="preserve"> </w:t>
      </w:r>
      <w:r>
        <w:rPr>
          <w:rFonts w:ascii="Arial" w:cs="Arial" w:eastAsia="Arial" w:hAnsi="Arial"/>
          <w:sz w:val="18"/>
          <w:szCs w:val="18"/>
          <w:color w:val="000000"/>
        </w:rPr>
        <w:t>the note, which matures in 2021, is fixed at 15%. Interest income on the note was $1.3 million, $1.3 million, and $526,000 for the years ended December 31, 2019, 2018, and 2017, respectively.</w:t>
      </w:r>
    </w:p>
    <w:p>
      <w:pPr>
        <w:spacing w:after="0" w:line="78" w:lineRule="exact"/>
        <w:rPr>
          <w:rFonts w:ascii="Arial" w:cs="Arial" w:eastAsia="Arial" w:hAnsi="Arial"/>
          <w:sz w:val="18"/>
          <w:szCs w:val="18"/>
          <w:color w:val="auto"/>
        </w:rPr>
      </w:pPr>
    </w:p>
    <w:p>
      <w:pPr>
        <w:ind w:left="340" w:hanging="332"/>
        <w:spacing w:after="0" w:line="30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owns investments in limited partnerships that invest in concentrated portfolios including publicly-traded small cap equities, loans of middle market private equity sponsored companies, equity tranches of collateralized loan obligations ("CLOs"), and tranches of distressed home loans. Income from the partnerships is recognized under the equity method of accounting. The Company’s Corporate and Other segment held an investment in a limited partnership with a carrying value of $3.4 million and $3.1 million at December 31, 2019 and 2018, and recognized investment income of $327,000, $70,000, and $394,000 for the years ended December 31, 2019, 2018 and 2017, respectively. The Company’s Excess and Surplus Lines segment holds investments in limited partnerships of $13.3 million and $26.2 million at December 31, 2019 and 2018, respectively. Investment income of $2.1 million, $496,000, and $2.2 million were recognized on these investments for the years ended December 31, 2019, 2018, and 2017, respectively. At December 31, 2019, the Company’s Excess and Surplus Lines segment has outstanding commitments to invest another $625,000 in these limited partnerships.</w:t>
      </w:r>
    </w:p>
    <w:p>
      <w:pPr>
        <w:spacing w:after="0" w:line="61" w:lineRule="exact"/>
        <w:rPr>
          <w:rFonts w:ascii="Arial" w:cs="Arial" w:eastAsia="Arial" w:hAnsi="Arial"/>
          <w:sz w:val="18"/>
          <w:szCs w:val="18"/>
          <w:color w:val="auto"/>
        </w:rPr>
      </w:pPr>
    </w:p>
    <w:p>
      <w:pPr>
        <w:ind w:left="340" w:right="340" w:hanging="332"/>
        <w:spacing w:after="0" w:line="279"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Company's Corporate and Other segment holds $4.5 million of subordinated notes issued by a bank holding company for which the Company’s Executive Chairman and Chief Executive Officer was previously the Lead Independent Director and an investor and for which one of the Company’s directors was an investor and is currently a lender (the "Bank Holding Company"). Interest on the notes, which mature in 2023, is fixed at 7.6% per annum. Interest income on the notes was $343,000 in each of the years ended December 31, 2019, 2018 and 2017.</w:t>
      </w:r>
    </w:p>
    <w:p>
      <w:pPr>
        <w:spacing w:after="0" w:line="6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previously held common shares issued by the Bank Holding Company. Realized gains of $409,000 were recognized on the sale of the common shares for the year ended December 31, 2017.</w:t>
      </w:r>
    </w:p>
    <w:p>
      <w:pPr>
        <w:spacing w:after="0" w:line="62"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At December 31, 2019 and 2018, the Company held an investment in a collateralized loan obligation (CLO) where one of the underlying loans was issued by the Bank Holding Company. The investment, with a carrying value of $3.2 million and $4.2 million at December 31, 2019 and 2018, is classified as an available-for-sale fixed maturity.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maintains fixed maturity securities, short-term investments, accrued investment income, and cash and cash equivalents amounting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$464.5 million at December 31, 2019 in trust accounts or on deposit as collateral for outstanding letters of credit issued as security to third-party reinsureds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reinsurance assumed by JRG Re.</w:t>
      </w:r>
    </w:p>
    <w:p>
      <w:pPr>
        <w:spacing w:after="0" w:line="103" w:lineRule="exact"/>
        <w:rPr>
          <w:sz w:val="20"/>
          <w:szCs w:val="20"/>
          <w:color w:val="auto"/>
        </w:rPr>
      </w:pPr>
    </w:p>
    <w:p>
      <w:pPr>
        <w:ind w:right="420" w:firstLine="351"/>
        <w:spacing w:after="0" w:line="277" w:lineRule="auto"/>
        <w:rPr>
          <w:sz w:val="20"/>
          <w:szCs w:val="20"/>
          <w:color w:val="auto"/>
        </w:rPr>
      </w:pPr>
      <w:r>
        <w:rPr>
          <w:rFonts w:ascii="Arial" w:cs="Arial" w:eastAsia="Arial" w:hAnsi="Arial"/>
          <w:sz w:val="18"/>
          <w:szCs w:val="18"/>
          <w:color w:val="auto"/>
        </w:rPr>
        <w:t>At December 31, 2019 and 2018, cash and investments with a fair value of $36.6 million and $25.5 million, respectively, were on deposit with state insurance departments to satisfy regulatory requirements.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December 31, 2019, the Company held no investments in securitizations of alternative-A mortgages or sub-prime mortgages.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An analysis of deferred policy acquisition costs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54,450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72,365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Policy acquisition costs deferred:</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107,387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Underwriting and other issue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20,715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16,190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93,188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123,577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(116,001)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7,576</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54,450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72,365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jc w:val="both"/>
        <w:ind w:right="400" w:firstLine="351"/>
        <w:spacing w:after="0" w:line="264"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73"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All of the Company’s goodwill is an asset of the Excess and Surplus Lines segment. The Company’s annual testing performed in the fourth quarter of 2019, 2018 and 2017 indicated that no impairment of goodwill had occurred. The carrying amount of goodwill at December 31, 2019 and 2018 was $181.8 million. Accumulated goodwill impairment losses were $99.6 million at December 31, 2019 and 2018. The most recent goodwill impairment losses occurred in 2010.</w:t>
      </w:r>
    </w:p>
    <w:p>
      <w:pPr>
        <w:spacing w:after="0" w:line="7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color w:val="auto"/>
        </w:rPr>
        <w:t>Specifically identifiable intangible assets were acquired in the Merger. During the fourth quarters of 2019, 2018 and 2017, the indefinite-lived intangible assets for trademarks and insurance licenses and authorities were tested for impairment. Intangible assets for broker relationships that have specific lives and are subject to amortization were also reviewed for impairment. In the Specialty Admitted Insurance segment, Falls Lake General Insurance Company was merged into Falls Lake National in the fourth quarter of 2018. In connection with this merger, Falls Lake General Insurance Company surrendered its licenses to the various state insurance departments and reduced the carrying value of its intangible asset for "State Licenses" to $0. This caused a $200,000 impairment in 2018 in the Specialty Admitted Insurance segment. There were no impairments recognized in 2019 or 2017.</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920" w:type="dxa"/>
            <w:vAlign w:val="bottom"/>
          </w:tcPr>
          <w:p>
            <w:pPr>
              <w:spacing w:after="0"/>
              <w:rPr>
                <w:sz w:val="12"/>
                <w:szCs w:val="12"/>
                <w:color w:val="auto"/>
              </w:rPr>
            </w:pPr>
          </w:p>
        </w:tc>
        <w:tc>
          <w:tcPr>
            <w:tcW w:w="11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2"/>
                <w:szCs w:val="12"/>
                <w:color w:val="auto"/>
              </w:rPr>
            </w:pPr>
          </w:p>
        </w:tc>
        <w:tc>
          <w:tcPr>
            <w:tcW w:w="9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right"/>
              <w:ind w:right="696"/>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Insurance licenses and authorities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intangibles not subject to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subject to amortization</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gridSpan w:val="2"/>
            <w:vMerge w:val="restart"/>
          </w:tcPr>
          <w:p>
            <w:pPr>
              <w:ind w:left="620"/>
              <w:spacing w:after="0"/>
              <w:rPr>
                <w:sz w:val="20"/>
                <w:szCs w:val="20"/>
                <w:color w:val="auto"/>
              </w:rPr>
            </w:pPr>
            <w:r>
              <w:rPr>
                <w:rFonts w:ascii="Arial" w:cs="Arial" w:eastAsia="Arial" w:hAnsi="Arial"/>
                <w:sz w:val="18"/>
                <w:szCs w:val="18"/>
                <w:color w:val="auto"/>
              </w:rPr>
              <w:t>F-22</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30" w:name="page131"/>
    <w:bookmarkEnd w:id="1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estimated amortization of specifically identifiable intangible assets as of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0"/>
        </w:trPr>
        <w:tc>
          <w:tcPr>
            <w:tcW w:w="8360" w:type="dxa"/>
            <w:vAlign w:val="bottom"/>
            <w:gridSpan w:val="7"/>
            <w:vMerge w:val="restart"/>
          </w:tcPr>
          <w:p>
            <w:pPr>
              <w:ind w:left="360"/>
              <w:spacing w:after="0"/>
              <w:rPr>
                <w:sz w:val="20"/>
                <w:szCs w:val="20"/>
                <w:color w:val="auto"/>
              </w:rPr>
            </w:pPr>
            <w:r>
              <w:rPr>
                <w:rFonts w:ascii="Arial" w:cs="Arial" w:eastAsia="Arial" w:hAnsi="Arial"/>
                <w:sz w:val="18"/>
                <w:szCs w:val="18"/>
                <w:color w:val="auto"/>
                <w:w w:val="91"/>
              </w:rPr>
              <w:t>The table below summarizes the changes in the net carrying values of intangible assets by segment for 2019:</w:t>
            </w: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3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 Carrying</w:t>
            </w:r>
          </w:p>
        </w:tc>
        <w:tc>
          <w:tcPr>
            <w:tcW w:w="22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4"/>
                <w:szCs w:val="14"/>
                <w:color w:val="auto"/>
              </w:rPr>
            </w:pPr>
          </w:p>
        </w:tc>
        <w:tc>
          <w:tcPr>
            <w:tcW w:w="1340" w:type="dxa"/>
            <w:vAlign w:val="bottom"/>
          </w:tcPr>
          <w:p>
            <w:pPr>
              <w:jc w:val="center"/>
              <w:ind w:right="33"/>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Insurance licenses and authorities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 relationships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36,940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the changes in the net carrying values of intangible assets by segment for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 Carrying</w:t>
            </w:r>
          </w:p>
        </w:tc>
        <w:tc>
          <w:tcPr>
            <w:tcW w:w="22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4"/>
                <w:szCs w:val="14"/>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licenses and authorities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Broker relationships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Admitted Insurance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Insurance licenses and authorities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 relationships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38,334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37,537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131" w:name="page132"/>
    <w:bookmarkEnd w:id="1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200" w:firstLine="351"/>
        <w:spacing w:after="0" w:line="277" w:lineRule="auto"/>
        <w:rPr>
          <w:sz w:val="20"/>
          <w:szCs w:val="20"/>
          <w:color w:val="auto"/>
        </w:rPr>
      </w:pPr>
      <w:r>
        <w:rPr>
          <w:rFonts w:ascii="Arial" w:cs="Arial" w:eastAsia="Arial" w:hAnsi="Arial"/>
          <w:sz w:val="18"/>
          <w:szCs w:val="18"/>
          <w:color w:val="auto"/>
        </w:rPr>
        <w:t>Amortization of intangible assets was $362,000 for the Excess and Surplus Lines segment and $235,000 for the Specialty Admitted Insurance segment for the year ended December 31, 2017.</w:t>
      </w:r>
    </w:p>
    <w:p>
      <w:pPr>
        <w:spacing w:after="0" w:line="20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Property and equipment, net of accumulated depreciation, is included in "other assets" on the consolidated balance sheets and consists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leased for which the Company was previously deemed the owner for accounting purposes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Electronic data processing hardware and software</w:t>
            </w:r>
          </w:p>
        </w:tc>
        <w:tc>
          <w:tcPr>
            <w:tcW w:w="92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7,423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cost basis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41,056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(7,934)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23,311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Company has entered into operating leases for office space in Bermuda, North Carolina, Virginia, Arizona, and Georgia. Following the adoption of </w:t>
      </w:r>
      <w:r>
        <w:rPr>
          <w:rFonts w:ascii="Arial" w:cs="Arial" w:eastAsia="Arial" w:hAnsi="Arial"/>
          <w:sz w:val="18"/>
          <w:szCs w:val="18"/>
          <w:color w:val="231F20"/>
        </w:rPr>
        <w:t xml:space="preserve">ASU 2016-02, </w:t>
      </w:r>
      <w:r>
        <w:rPr>
          <w:rFonts w:ascii="Arial" w:cs="Arial" w:eastAsia="Arial" w:hAnsi="Arial"/>
          <w:sz w:val="18"/>
          <w:szCs w:val="18"/>
          <w:i w:val="1"/>
          <w:iCs w:val="1"/>
          <w:color w:val="231F20"/>
        </w:rPr>
        <w:t>Leases (Topic 842)</w:t>
      </w:r>
      <w:r>
        <w:rPr>
          <w:rFonts w:ascii="Arial" w:cs="Arial" w:eastAsia="Arial" w:hAnsi="Arial"/>
          <w:sz w:val="18"/>
          <w:szCs w:val="18"/>
          <w:i w:val="1"/>
          <w:iCs w:val="1"/>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effective January 1, 2019, the present value of future lease payments for the Company’s leases with terms greater than 12</w:t>
      </w:r>
      <w:r>
        <w:rPr>
          <w:rFonts w:ascii="Arial" w:cs="Arial" w:eastAsia="Arial" w:hAnsi="Arial"/>
          <w:sz w:val="18"/>
          <w:szCs w:val="18"/>
          <w:color w:val="231F20"/>
        </w:rPr>
        <w:t xml:space="preserve"> </w:t>
      </w:r>
      <w:r>
        <w:rPr>
          <w:rFonts w:ascii="Arial" w:cs="Arial" w:eastAsia="Arial" w:hAnsi="Arial"/>
          <w:sz w:val="18"/>
          <w:szCs w:val="18"/>
          <w:color w:val="000000"/>
        </w:rPr>
        <w:t>months are included on the consolidated balance sheet as lease liabilities and right-of-use lease assets.</w:t>
      </w:r>
    </w:p>
    <w:p>
      <w:pPr>
        <w:spacing w:after="0" w:line="7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Total expected lease payments are based on the lease payments specified in the contract and the stated term, including any options to extend or terminate that the Company is reasonably certain to exercise. The Company has elected the practical expedient to account for lease components and any associated non-lease components as a single lease component, and therefore allocates all of the expected lease payments to the lease component.</w:t>
      </w:r>
    </w:p>
    <w:p>
      <w:pPr>
        <w:spacing w:after="0" w:line="3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lease liabilities and right-of-use assets associated with the Company's operating leases were $18.2 million and $17.2 million, respectively. The weighted-average discount rate and weighted average remaining lease term for operating leases was 4.3% and 5.3 years, respectively, as of December 31, 2019.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table below summarizes maturities of the Company’s operating lease liabilities as of December 31, 2019, which reconciles to total lease liabilities included in other liabilities on the Company’s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6"/>
                <w:szCs w:val="16"/>
                <w:b w:val="1"/>
                <w:bCs w:val="1"/>
                <w:i w:val="1"/>
                <w:iCs w:val="1"/>
                <w:color w:val="auto"/>
                <w:w w:val="94"/>
              </w:rPr>
              <w:t>(in thousands)</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4,024</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3,800</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2,422</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20,404</w:t>
            </w:r>
          </w:p>
        </w:tc>
      </w:tr>
      <w:tr>
        <w:trPr>
          <w:trHeight w:val="27"/>
        </w:trPr>
        <w:tc>
          <w:tcPr>
            <w:tcW w:w="10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18,232</w:t>
            </w: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Operating lease liabilities include $11.9 million associated with office space in a building that is owned by a partnership in which the Company has a minority interest.</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Operating lease costs were $5.2 million, $4.6 million, and $4.2 million for the years </w:t>
      </w:r>
      <w:r>
        <w:rPr>
          <w:rFonts w:ascii="Arial" w:cs="Arial" w:eastAsia="Arial" w:hAnsi="Arial"/>
          <w:sz w:val="18"/>
          <w:szCs w:val="18"/>
          <w:color w:val="231F20"/>
        </w:rPr>
        <w:t>ended</w:t>
      </w:r>
      <w:r>
        <w:rPr>
          <w:rFonts w:ascii="Arial" w:cs="Arial" w:eastAsia="Arial" w:hAnsi="Arial"/>
          <w:sz w:val="18"/>
          <w:szCs w:val="18"/>
          <w:color w:val="auto"/>
        </w:rPr>
        <w:t xml:space="preserve"> December 31, 2019</w:t>
      </w:r>
      <w:r>
        <w:rPr>
          <w:rFonts w:ascii="Arial" w:cs="Arial" w:eastAsia="Arial" w:hAnsi="Arial"/>
          <w:sz w:val="18"/>
          <w:szCs w:val="18"/>
          <w:color w:val="231F20"/>
        </w:rPr>
        <w:t>, 2018, and 2017, respectively. Operating</w:t>
      </w:r>
      <w:r>
        <w:rPr>
          <w:rFonts w:ascii="Arial" w:cs="Arial" w:eastAsia="Arial" w:hAnsi="Arial"/>
          <w:sz w:val="18"/>
          <w:szCs w:val="18"/>
          <w:color w:val="auto"/>
        </w:rPr>
        <w:t xml:space="preserve"> lease costs are primarily comprised of rental expense for operating leases. Rental expense is recognized on a straight line basis over the lease term and includes amortization of the right-of-use lease asset and imputed interest on the lease liability. Operating lease costs are included in other operating expenses in the Company's consolidated statements of income and comprehensive income.</w:t>
      </w:r>
    </w:p>
    <w:p>
      <w:pPr>
        <w:spacing w:after="0" w:line="22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Losses and Loss Adjustment Expenses</w:t>
      </w:r>
    </w:p>
    <w:p>
      <w:pPr>
        <w:spacing w:after="0" w:line="13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establishing the reserve for losses and loss adjustment expenses, the Company’s internal actuaries estimate an initial expected ultimate loss ratio for each of our lines of business by accident year (or for our Casualty Reinsurance segment, on a contract by contract basis). Input from the Company’s underwriting and claims departments, including premium pricing assumptions and historical experience, are considered by the Company’s internal actuaries in estimating the initial expected loss ratios. The Company’s internal actuaries generally utilize five actuarial methods in their estimation process for the reserve for losses and loss adjustment expenses. These five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81" w:lineRule="exact"/>
        <w:rPr>
          <w:sz w:val="20"/>
          <w:szCs w:val="20"/>
          <w:color w:val="auto"/>
        </w:rPr>
      </w:pPr>
    </w:p>
    <w:p>
      <w:pPr>
        <w:ind w:right="20" w:firstLine="351"/>
        <w:spacing w:after="0" w:line="269" w:lineRule="auto"/>
        <w:rPr>
          <w:sz w:val="20"/>
          <w:szCs w:val="20"/>
          <w:color w:val="auto"/>
        </w:rPr>
      </w:pPr>
      <w:r>
        <w:rPr>
          <w:rFonts w:ascii="Arial" w:cs="Arial" w:eastAsia="Arial" w:hAnsi="Arial"/>
          <w:sz w:val="17"/>
          <w:szCs w:val="17"/>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five actuarial methods to be used for each accident year and line of business. For the Excess and Surplus Lines and Specialty Admitted Insurance segments, the internal actuaries perform a study on each of these parameters annually and make recommendations for the initial expected loss ratios, the incurred and paid loss development factors and the weighting of the five actuarial methods by accident year and line of business. Members of management’s Reserve Committee review and approve the parameter review actuarial recommendations, and these approved parameters are used in the reserve estimation process for the next four quarters at which time a new parameter study is performed. For the Casualty Reinsurance segment, periodic assessments are made on a contract by contract basis with the goal of keeping the initial expected loss ratios and the incurred and paid loss development factors as constant as possible until sufficient evidence presents itself to support adjustments. Method weights are generally less rigid for the Casualty Reinsurance segment given the heterogeneous nature of the various contracts, and the potential for significant changes in mix of business within individual treaties.</w:t>
      </w:r>
    </w:p>
    <w:p>
      <w:pPr>
        <w:spacing w:after="0" w:line="7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Different reserving methods are appropriate in different situations, and the Company’s internal actuaries use their judgment and experience to determine the weighting of the methods to use for each accident year and each line of business and, for our Casualty Reinsurance segment, on a contract by contract basis. For example, the current accident year has very little 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development data is available for the oldest accident years, so more weight is given to this development data and less weight is given to the initial expected loss ratio.</w:t>
      </w:r>
    </w:p>
    <w:p>
      <w:pPr>
        <w:spacing w:after="0" w:line="62"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net of reinsurance, to the gross amounts reported in the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Reserve for losses and loss adjustment expenses net of reinsurance recoverables at beginning of</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1,194,088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989,825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761,128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582,604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533,905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17,672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incurred losses and loss and adjustment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600,276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555,377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309,658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223,475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 and loss adjustment expense payments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488,729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396,013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326,680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w w:val="89"/>
              </w:rPr>
              <w:t>Reserve for losses and loss adjustment expenses net of reinsurance recoverables at end of period</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1,377,461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1,194,088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989,825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Add: Reinsurance recoverables on unpaid losses and loss adjustment expenses at end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668,045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467,371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302,524</w:t>
            </w: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8"/>
                <w:szCs w:val="18"/>
                <w:color w:val="auto"/>
                <w:w w:val="92"/>
              </w:rPr>
              <w:t>Reserve for losses and loss adjustment expenses gross of reinsurance recoverables on unpaid</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2,045,506</w:t>
            </w:r>
          </w:p>
        </w:tc>
        <w:tc>
          <w:tcPr>
            <w:tcW w:w="6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1,661,459</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1,292,349</w:t>
            </w: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losses and loss adjustment expenses at end of period</w:t>
            </w:r>
          </w:p>
        </w:tc>
        <w:tc>
          <w:tcPr>
            <w:tcW w:w="3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 xml:space="preserve">The foregoing reconciliation shows that $69.0 million of adverse development was experienced in 2019 on the reserve for losses and loss adjustment expenses held at December 31, 2018. This adverse reserve development included $51.2 million of adverse development in the Excess and Surplus Lines segment including $57.4 million of adverse development in the commercial auto line of business that was primarily related to the 2016 and 2017 accident years with Rasier LLC and its affiliates </w:t>
      </w:r>
      <w:r>
        <w:rPr>
          <w:rFonts w:ascii="Arial" w:cs="Arial" w:eastAsia="Arial" w:hAnsi="Arial"/>
          <w:sz w:val="16"/>
          <w:szCs w:val="16"/>
          <w:color w:val="212529"/>
        </w:rPr>
        <w:t>(collectively, “Rasier”)</w:t>
      </w:r>
      <w:r>
        <w:rPr>
          <w:rFonts w:ascii="Arial" w:cs="Arial" w:eastAsia="Arial" w:hAnsi="Arial"/>
          <w:sz w:val="16"/>
          <w:szCs w:val="16"/>
          <w:color w:val="auto"/>
        </w:rPr>
        <w:t>. Rasier's business was new, complex, and rapidly changing, and the Company's underwriting assumptions and the related pricing of this risk did not keep pace with the insured's escalating loss trends. As a result of changes in the risk, including most recently the enactment of California Assembly Bill 5 (AB5) and its anticipated impact on the Rasier business, unsatisfactory underwriting profits from the Rasier business, and a desire to refocus on the Company’s growing E&amp;S core (non-commercial auto) lines of business where the Company has experienced many years of profitable underwriting results, on October 8, 2019, the Company delivered a notice of early cancellation to Rasier, effective December 31, 2019. The adverse development for commercial auto was partially offset by $6.2 million of favorable development in other Excess and Surplus Lines underwriting divisions. The Company also experienced $5.3 million of favorable development on prior accident years in the Specialty Admitted Insurance segment, as losses on our workers’ compensation business written prior to 2018 continued to develop more favorably than we had anticipated. The Casualty Reinsurance segment experienced $23.1 million of adverse development on prior accident years primarily in accident years 2011 through 2016. This adverse development was mainly in the general liability and commercial auto lines of business.</w:t>
      </w:r>
    </w:p>
    <w:p>
      <w:pPr>
        <w:spacing w:after="0" w:line="67" w:lineRule="exact"/>
        <w:rPr>
          <w:sz w:val="20"/>
          <w:szCs w:val="20"/>
          <w:color w:val="auto"/>
        </w:rPr>
      </w:pPr>
    </w:p>
    <w:p>
      <w:pPr>
        <w:ind w:right="20" w:firstLine="351"/>
        <w:spacing w:after="0" w:line="270" w:lineRule="auto"/>
        <w:rPr>
          <w:sz w:val="20"/>
          <w:szCs w:val="20"/>
          <w:color w:val="auto"/>
        </w:rPr>
      </w:pPr>
      <w:r>
        <w:rPr>
          <w:rFonts w:ascii="Arial" w:cs="Arial" w:eastAsia="Arial" w:hAnsi="Arial"/>
          <w:sz w:val="17"/>
          <w:szCs w:val="17"/>
          <w:color w:val="auto"/>
        </w:rPr>
        <w:t>The foregoing reconciliation shows that $17.7 million of adverse development was experienced in 2018 on the reserve for losses and loss adjustment expenses held at December 31, 2017. This adverse reserve development included $15.0 million of adverse development in the Excess and Surplus Lines segment, including $20.7 million of adverse development in the commercial auto line of business that was primarily related to the 2016 contract year with Rasier. The adverse development for commercial auto was partially offset by $5.7 million of favorable development in other Excess and Surplus Lines underwriting divisions primarily from favorable development in the Excess Property underwriting division related to the 2017 hurricanes. Favorable reserve development in the Specialty Admitted Insurance segment was $5.6 million and primarily came from accident years 2014 through 2016, as loss emergence on our workers’ compensation business written prior to 2016 continued to develop more favorably than we had anticipated. In addition, $8.2 million of adverse development occurred in the Casualty Reinsurance segment, with a majority of this adverse development coming from accident years at least four years old and treaties the Company has since non-renewed.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The foregoing reconciliation shows that $21.5 million of adverse development was experienced in 2017 on the reserve for losses and loss adjustment expenses held at December 31, 2016. This adverse reserve development included $20.0 million of adverse development in the Excess and Surplus Lines segment, including $38.7 million of adverse development in the commercial auto line of business that was primarily related to the 2016 contract year with Rasier. The adverse development for commercial auto was partially offset by favorable development of $18.6 million in other Excess and Surplus Lines underwriting divisions primarily from the 2014 through 2016 accident years. This favorable development occurred because our actuarial studies at December 31, 2017 for the Excess and Surplus Lines segment indicated that our loss experience on our casualty business excluding commercial auto continued to be below our initial expected ultimate loss ratios. The Company also experienced $2.7 million of favorable development on prior accident years in the Specialty Admitted Insurance segment primarily from accident years 2010 through 2015, as losses on our workers’ compensation business written prior to 2016 continued to develop more favorably than we had anticipated. The Casualty Reinsurance segment experienced $4.2 million of adverse development on prior accident years primarily from two contracts from 2010 through 2013 that had higher than expected reported losses in 2017.</w:t>
      </w:r>
    </w:p>
    <w:p>
      <w:pPr>
        <w:spacing w:after="0" w:line="61" w:lineRule="exact"/>
        <w:rPr>
          <w:sz w:val="20"/>
          <w:szCs w:val="20"/>
          <w:color w:val="auto"/>
        </w:rPr>
      </w:pPr>
    </w:p>
    <w:p>
      <w:pPr>
        <w:ind w:right="160" w:firstLine="351"/>
        <w:spacing w:after="0" w:line="257" w:lineRule="auto"/>
        <w:rPr>
          <w:sz w:val="20"/>
          <w:szCs w:val="20"/>
          <w:color w:val="auto"/>
        </w:rPr>
      </w:pPr>
      <w:r>
        <w:rPr>
          <w:rFonts w:ascii="Arial" w:cs="Arial" w:eastAsia="Arial" w:hAnsi="Arial"/>
          <w:sz w:val="18"/>
          <w:szCs w:val="18"/>
          <w:color w:val="auto"/>
        </w:rPr>
        <w:t>The following tables present incurred and paid losses and loss adjustment expenses, net of reinsurance as of December 31, 2019 for: (1) the Excess and Surplus Lines segment split between all excess and surplus lines business excluding commercial auto and commercial auto, (2) the Specialty Admitted Insurance segment split between individual risk workers’ compensation and fronting and programs, and (3) the Casualty Reinsurance segment. The information provided herein about incurred and paid accident year claims development for the years ended December 31, 2018 and prior is presented as unaudited supplementary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r>
      <w:tr>
        <w:trPr>
          <w:trHeight w:val="22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78,424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80,569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78,117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73,035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69,080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69,964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70,294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70,913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71,312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69,594</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111,190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114,473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105,173</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97,908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98,672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97,829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96,497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97,306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99,619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103,061</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82,732</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114,942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104,092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90,267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82,232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84,074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88,904</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103,688</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138,507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125,093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126,050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126,971</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132,136</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167,004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158,458</w:t>
            </w: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214,653</w:t>
            </w:r>
          </w:p>
        </w:tc>
      </w:tr>
      <w:tr>
        <w:trPr>
          <w:trHeight w:val="244"/>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1,185,370</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135" w:name="page136"/>
    <w:bookmarkEnd w:id="1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Accident Year</w:t>
            </w: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8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4"/>
        </w:trPr>
        <w:tc>
          <w:tcPr>
            <w:tcW w:w="1160" w:type="dxa"/>
            <w:vAlign w:val="bottom"/>
          </w:tcPr>
          <w:p>
            <w:pPr>
              <w:ind w:left="40"/>
              <w:spacing w:after="0"/>
              <w:rPr>
                <w:sz w:val="20"/>
                <w:szCs w:val="20"/>
                <w:color w:val="auto"/>
              </w:rPr>
            </w:pPr>
            <w:r>
              <w:rPr>
                <w:rFonts w:ascii="Arial" w:cs="Arial" w:eastAsia="Arial" w:hAnsi="Arial"/>
                <w:sz w:val="16"/>
                <w:szCs w:val="16"/>
                <w:color w:val="auto"/>
              </w:rPr>
              <w:t>2010</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   13,673</w:t>
            </w:r>
          </w:p>
        </w:tc>
        <w:tc>
          <w:tcPr>
            <w:tcW w:w="12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   26,418</w:t>
            </w: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   35,812</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45,641</w:t>
            </w: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52,071</w:t>
            </w:r>
          </w:p>
        </w:tc>
        <w:tc>
          <w:tcPr>
            <w:tcW w:w="1100" w:type="dxa"/>
            <w:vAlign w:val="bottom"/>
            <w:gridSpan w:val="6"/>
          </w:tcPr>
          <w:p>
            <w:pPr>
              <w:jc w:val="right"/>
              <w:ind w:right="100"/>
              <w:spacing w:after="0"/>
              <w:rPr>
                <w:sz w:val="20"/>
                <w:szCs w:val="20"/>
                <w:color w:val="auto"/>
              </w:rPr>
            </w:pPr>
            <w:r>
              <w:rPr>
                <w:rFonts w:ascii="Arial" w:cs="Arial" w:eastAsia="Arial" w:hAnsi="Arial"/>
                <w:sz w:val="16"/>
                <w:szCs w:val="16"/>
                <w:color w:val="auto"/>
              </w:rPr>
              <w:t>$   57,371</w:t>
            </w:r>
          </w:p>
        </w:tc>
        <w:tc>
          <w:tcPr>
            <w:tcW w:w="1000" w:type="dxa"/>
            <w:vAlign w:val="bottom"/>
            <w:gridSpan w:val="4"/>
          </w:tcPr>
          <w:p>
            <w:pPr>
              <w:jc w:val="right"/>
              <w:ind w:right="10"/>
              <w:spacing w:after="0"/>
              <w:rPr>
                <w:sz w:val="20"/>
                <w:szCs w:val="20"/>
                <w:color w:val="auto"/>
              </w:rPr>
            </w:pPr>
            <w:r>
              <w:rPr>
                <w:rFonts w:ascii="Arial" w:cs="Arial" w:eastAsia="Arial" w:hAnsi="Arial"/>
                <w:sz w:val="16"/>
                <w:szCs w:val="16"/>
                <w:color w:val="auto"/>
              </w:rPr>
              <w:t>$   61,307</w:t>
            </w: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   64,214</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65,246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4"/>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
              <w:spacing w:after="0"/>
              <w:rPr>
                <w:sz w:val="20"/>
                <w:szCs w:val="20"/>
                <w:color w:val="auto"/>
              </w:rPr>
            </w:pPr>
            <w:r>
              <w:rPr>
                <w:rFonts w:ascii="Arial" w:cs="Arial" w:eastAsia="Arial" w:hAnsi="Arial"/>
                <w:sz w:val="16"/>
                <w:szCs w:val="16"/>
                <w:color w:val="auto"/>
              </w:rPr>
              <w:t>65,915</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27,684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81,696</w:t>
            </w:r>
          </w:p>
        </w:tc>
        <w:tc>
          <w:tcPr>
            <w:tcW w:w="110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90,884</w:t>
            </w:r>
          </w:p>
        </w:tc>
        <w:tc>
          <w:tcPr>
            <w:tcW w:w="10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6"/>
                <w:szCs w:val="16"/>
                <w:color w:val="auto"/>
              </w:rPr>
              <w:t>94,998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98,684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101,728</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2012</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33,757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49,604</w:t>
            </w:r>
          </w:p>
        </w:tc>
        <w:tc>
          <w:tcPr>
            <w:tcW w:w="1100" w:type="dxa"/>
            <w:vAlign w:val="bottom"/>
            <w:gridSpan w:val="6"/>
          </w:tcPr>
          <w:p>
            <w:pPr>
              <w:jc w:val="right"/>
              <w:ind w:right="100"/>
              <w:spacing w:after="0"/>
              <w:rPr>
                <w:sz w:val="20"/>
                <w:szCs w:val="20"/>
                <w:color w:val="auto"/>
              </w:rPr>
            </w:pPr>
            <w:r>
              <w:rPr>
                <w:rFonts w:ascii="Arial" w:cs="Arial" w:eastAsia="Arial" w:hAnsi="Arial"/>
                <w:sz w:val="16"/>
                <w:szCs w:val="16"/>
                <w:color w:val="auto"/>
              </w:rPr>
              <w:t>63,216</w:t>
            </w:r>
          </w:p>
        </w:tc>
        <w:tc>
          <w:tcPr>
            <w:tcW w:w="1000" w:type="dxa"/>
            <w:vAlign w:val="bottom"/>
            <w:gridSpan w:val="4"/>
          </w:tcPr>
          <w:p>
            <w:pPr>
              <w:jc w:val="right"/>
              <w:ind w:right="10"/>
              <w:spacing w:after="0"/>
              <w:rPr>
                <w:sz w:val="20"/>
                <w:szCs w:val="20"/>
                <w:color w:val="auto"/>
              </w:rPr>
            </w:pPr>
            <w:r>
              <w:rPr>
                <w:rFonts w:ascii="Arial" w:cs="Arial" w:eastAsia="Arial" w:hAnsi="Arial"/>
                <w:sz w:val="16"/>
                <w:szCs w:val="16"/>
                <w:color w:val="auto"/>
              </w:rPr>
              <w:t>74,869</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82,545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88,812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6"/>
                <w:szCs w:val="16"/>
                <w:color w:val="auto"/>
              </w:rPr>
              <w:t>94,588</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14,509</w:t>
            </w:r>
          </w:p>
        </w:tc>
        <w:tc>
          <w:tcPr>
            <w:tcW w:w="110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6"/>
                <w:szCs w:val="16"/>
                <w:color w:val="auto"/>
              </w:rPr>
              <w:t>30,382</w:t>
            </w:r>
          </w:p>
        </w:tc>
        <w:tc>
          <w:tcPr>
            <w:tcW w:w="10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6"/>
                <w:szCs w:val="16"/>
                <w:color w:val="auto"/>
              </w:rPr>
              <w:t>44,421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71,035</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2014</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3,412</w:t>
            </w:r>
          </w:p>
        </w:tc>
        <w:tc>
          <w:tcPr>
            <w:tcW w:w="1100" w:type="dxa"/>
            <w:vAlign w:val="bottom"/>
            <w:gridSpan w:val="6"/>
          </w:tcPr>
          <w:p>
            <w:pPr>
              <w:jc w:val="right"/>
              <w:ind w:right="100"/>
              <w:spacing w:after="0"/>
              <w:rPr>
                <w:sz w:val="20"/>
                <w:szCs w:val="20"/>
                <w:color w:val="auto"/>
              </w:rPr>
            </w:pPr>
            <w:r>
              <w:rPr>
                <w:rFonts w:ascii="Arial" w:cs="Arial" w:eastAsia="Arial" w:hAnsi="Arial"/>
                <w:sz w:val="16"/>
                <w:szCs w:val="16"/>
                <w:color w:val="auto"/>
              </w:rPr>
              <w:t>16,969</w:t>
            </w:r>
          </w:p>
        </w:tc>
        <w:tc>
          <w:tcPr>
            <w:tcW w:w="1000" w:type="dxa"/>
            <w:vAlign w:val="bottom"/>
            <w:gridSpan w:val="4"/>
          </w:tcPr>
          <w:p>
            <w:pPr>
              <w:jc w:val="right"/>
              <w:ind w:right="10"/>
              <w:spacing w:after="0"/>
              <w:rPr>
                <w:sz w:val="20"/>
                <w:szCs w:val="20"/>
                <w:color w:val="auto"/>
              </w:rPr>
            </w:pPr>
            <w:r>
              <w:rPr>
                <w:rFonts w:ascii="Arial" w:cs="Arial" w:eastAsia="Arial" w:hAnsi="Arial"/>
                <w:sz w:val="16"/>
                <w:szCs w:val="16"/>
                <w:color w:val="auto"/>
              </w:rPr>
              <w:t>28,212</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43,891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58,774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6"/>
                <w:szCs w:val="16"/>
                <w:color w:val="auto"/>
              </w:rPr>
              <w:t>71,549</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4"/>
              </w:rPr>
              <w:t>4,048</w:t>
            </w:r>
          </w:p>
        </w:tc>
        <w:tc>
          <w:tcPr>
            <w:tcW w:w="10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6"/>
                <w:szCs w:val="16"/>
                <w:color w:val="auto"/>
              </w:rPr>
              <w:t>17,164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73,455</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2016</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4"/>
          </w:tcPr>
          <w:p>
            <w:pPr>
              <w:jc w:val="right"/>
              <w:ind w:right="10"/>
              <w:spacing w:after="0"/>
              <w:rPr>
                <w:sz w:val="20"/>
                <w:szCs w:val="20"/>
                <w:color w:val="auto"/>
              </w:rPr>
            </w:pPr>
            <w:r>
              <w:rPr>
                <w:rFonts w:ascii="Arial" w:cs="Arial" w:eastAsia="Arial" w:hAnsi="Arial"/>
                <w:sz w:val="16"/>
                <w:szCs w:val="16"/>
                <w:color w:val="auto"/>
              </w:rPr>
              <w:t>5,180</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22,852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46,045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6"/>
                <w:szCs w:val="16"/>
                <w:color w:val="auto"/>
              </w:rPr>
              <w:t>70,105</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42,764</w:t>
            </w:r>
          </w:p>
        </w:tc>
        <w:tc>
          <w:tcPr>
            <w:tcW w:w="0" w:type="dxa"/>
            <w:vAlign w:val="bottom"/>
          </w:tcPr>
          <w:p>
            <w:pPr>
              <w:spacing w:after="0"/>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6"/>
                <w:szCs w:val="16"/>
                <w:color w:val="auto"/>
              </w:rPr>
              <w:t>2018</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6"/>
                <w:szCs w:val="16"/>
                <w:color w:val="auto"/>
              </w:rPr>
              <w:t>26,160</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8,235</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color w:val="auto"/>
              </w:rPr>
              <w:t>625,534</w:t>
            </w: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gridSpan w:val="25"/>
            <w:shd w:val="clear" w:color="auto" w:fill="CCEEFF"/>
          </w:tcPr>
          <w:p>
            <w:pPr>
              <w:ind w:left="40"/>
              <w:spacing w:after="0"/>
              <w:rPr>
                <w:sz w:val="20"/>
                <w:szCs w:val="20"/>
                <w:color w:val="auto"/>
              </w:rPr>
            </w:pPr>
            <w:r>
              <w:rPr>
                <w:rFonts w:ascii="Arial" w:cs="Arial" w:eastAsia="Arial" w:hAnsi="Arial"/>
                <w:sz w:val="16"/>
                <w:szCs w:val="16"/>
                <w:color w:val="auto"/>
                <w:w w:val="93"/>
              </w:rPr>
              <w:t>All outstanding losses and loss adjustment expenses prior to 2010, net of reinsurance (60 claims outstanding)</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8,978</w:t>
            </w:r>
          </w:p>
        </w:tc>
        <w:tc>
          <w:tcPr>
            <w:tcW w:w="0" w:type="dxa"/>
            <w:vAlign w:val="bottom"/>
          </w:tcPr>
          <w:p>
            <w:pPr>
              <w:spacing w:after="0"/>
              <w:rPr>
                <w:sz w:val="1"/>
                <w:szCs w:val="1"/>
                <w:color w:val="auto"/>
              </w:rPr>
            </w:pPr>
          </w:p>
        </w:tc>
      </w:tr>
      <w:tr>
        <w:trPr>
          <w:trHeight w:val="20"/>
        </w:trPr>
        <w:tc>
          <w:tcPr>
            <w:tcW w:w="2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gridSpan w:val="13"/>
          </w:tcPr>
          <w:p>
            <w:pPr>
              <w:ind w:left="40"/>
              <w:spacing w:after="0"/>
              <w:rPr>
                <w:sz w:val="20"/>
                <w:szCs w:val="20"/>
                <w:color w:val="auto"/>
              </w:rPr>
            </w:pPr>
            <w:r>
              <w:rPr>
                <w:rFonts w:ascii="Arial" w:cs="Arial" w:eastAsia="Arial" w:hAnsi="Arial"/>
                <w:sz w:val="16"/>
                <w:szCs w:val="16"/>
                <w:color w:val="auto"/>
                <w:w w:val="95"/>
              </w:rPr>
              <w:t>Total outstanding losses and loss adjustment expenses, net of reinsurance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568,814</w:t>
            </w:r>
          </w:p>
        </w:tc>
        <w:tc>
          <w:tcPr>
            <w:tcW w:w="0" w:type="dxa"/>
            <w:vAlign w:val="bottom"/>
          </w:tcPr>
          <w:p>
            <w:pPr>
              <w:spacing w:after="0"/>
              <w:rPr>
                <w:sz w:val="1"/>
                <w:szCs w:val="1"/>
                <w:color w:val="auto"/>
              </w:rPr>
            </w:pPr>
          </w:p>
        </w:tc>
      </w:tr>
      <w:tr>
        <w:trPr>
          <w:trHeight w:val="20"/>
        </w:trPr>
        <w:tc>
          <w:tcPr>
            <w:tcW w:w="41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Excess and Surplus Lines — Commercial Auto</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0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19"/>
          </w:tcPr>
          <w:p>
            <w:pPr>
              <w:spacing w:after="0"/>
              <w:rPr>
                <w:sz w:val="20"/>
                <w:szCs w:val="20"/>
                <w:color w:val="auto"/>
              </w:rPr>
            </w:pPr>
            <w:r>
              <w:rPr>
                <w:rFonts w:ascii="Arial" w:cs="Arial" w:eastAsia="Arial" w:hAnsi="Arial"/>
                <w:sz w:val="18"/>
                <w:szCs w:val="18"/>
                <w:b w:val="1"/>
                <w:bCs w:val="1"/>
                <w:color w:val="auto"/>
                <w:w w:val="94"/>
              </w:rPr>
              <w:t>Incurred losses and adjustment expenses, net of reinsurance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Accident Year</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2013</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1,255</w:t>
            </w:r>
          </w:p>
        </w:tc>
        <w:tc>
          <w:tcPr>
            <w:tcW w:w="520" w:type="dxa"/>
            <w:vAlign w:val="bottom"/>
            <w:gridSpan w:val="2"/>
          </w:tcPr>
          <w:p>
            <w:pPr>
              <w:jc w:val="center"/>
              <w:ind w:right="108"/>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1,451</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20,487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18,953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2015</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30,109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33,113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35,149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36,139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5"/>
              </w:rPr>
              <w:t>109,286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126,791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147,122</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2017</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w w:val="95"/>
              </w:rPr>
              <w:t>207,355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w w:val="92"/>
              </w:rPr>
              <w:t>208,743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272,421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255,881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230,220</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262,306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968,285</w:t>
            </w:r>
          </w:p>
        </w:tc>
        <w:tc>
          <w:tcPr>
            <w:tcW w:w="0" w:type="dxa"/>
            <w:vAlign w:val="bottom"/>
          </w:tcPr>
          <w:p>
            <w:pPr>
              <w:spacing w:after="0"/>
              <w:rPr>
                <w:sz w:val="1"/>
                <w:szCs w:val="1"/>
                <w:color w:val="auto"/>
              </w:rPr>
            </w:pPr>
          </w:p>
        </w:tc>
      </w:tr>
      <w:tr>
        <w:trPr>
          <w:trHeight w:val="20"/>
        </w:trPr>
        <w:tc>
          <w:tcPr>
            <w:tcW w:w="6800" w:type="dxa"/>
            <w:vAlign w:val="bottom"/>
            <w:gridSpan w:val="22"/>
            <w:vMerge w:val="restart"/>
          </w:tcPr>
          <w:p>
            <w:pPr>
              <w:spacing w:after="0"/>
              <w:rPr>
                <w:sz w:val="20"/>
                <w:szCs w:val="20"/>
                <w:color w:val="auto"/>
              </w:rPr>
            </w:pPr>
            <w:r>
              <w:rPr>
                <w:rFonts w:ascii="Arial" w:cs="Arial" w:eastAsia="Arial" w:hAnsi="Arial"/>
                <w:sz w:val="18"/>
                <w:szCs w:val="18"/>
                <w:b w:val="1"/>
                <w:bCs w:val="1"/>
                <w:color w:val="auto"/>
                <w:w w:val="89"/>
              </w:rPr>
              <w:t>Cumulative paid losses and loss adjustment expenses, net of reinsurance (in thousands)</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00" w:type="dxa"/>
            <w:vAlign w:val="bottom"/>
            <w:gridSpan w:val="2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Accident Year</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2013</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520" w:type="dxa"/>
            <w:vAlign w:val="bottom"/>
            <w:gridSpan w:val="2"/>
          </w:tcPr>
          <w:p>
            <w:pPr>
              <w:jc w:val="center"/>
              <w:ind w:right="108"/>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1,182</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16,359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2015</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31,592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34,819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54,054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89,381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125,108</w:t>
            </w:r>
          </w:p>
        </w:tc>
        <w:tc>
          <w:tcPr>
            <w:tcW w:w="0" w:type="dxa"/>
            <w:vAlign w:val="bottom"/>
          </w:tcPr>
          <w:p>
            <w:pPr>
              <w:spacing w:after="0"/>
              <w:rPr>
                <w:sz w:val="1"/>
                <w:szCs w:val="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2017</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41,467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w w:val="92"/>
              </w:rPr>
              <w:t>107,377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192,961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119,099</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44,225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535,232</w:t>
            </w:r>
          </w:p>
        </w:tc>
        <w:tc>
          <w:tcPr>
            <w:tcW w:w="0" w:type="dxa"/>
            <w:vAlign w:val="bottom"/>
          </w:tcPr>
          <w:p>
            <w:pPr>
              <w:spacing w:after="0"/>
              <w:rPr>
                <w:sz w:val="1"/>
                <w:szCs w:val="1"/>
                <w:color w:val="auto"/>
              </w:rPr>
            </w:pPr>
          </w:p>
        </w:tc>
      </w:tr>
      <w:tr>
        <w:trPr>
          <w:trHeight w:val="257"/>
        </w:trPr>
        <w:tc>
          <w:tcPr>
            <w:tcW w:w="5660" w:type="dxa"/>
            <w:vAlign w:val="bottom"/>
            <w:gridSpan w:val="16"/>
          </w:tcPr>
          <w:p>
            <w:pPr>
              <w:ind w:left="40"/>
              <w:spacing w:after="0"/>
              <w:rPr>
                <w:sz w:val="20"/>
                <w:szCs w:val="20"/>
                <w:color w:val="auto"/>
              </w:rPr>
            </w:pPr>
            <w:r>
              <w:rPr>
                <w:rFonts w:ascii="Arial" w:cs="Arial" w:eastAsia="Arial" w:hAnsi="Arial"/>
                <w:sz w:val="18"/>
                <w:szCs w:val="18"/>
                <w:color w:val="auto"/>
                <w:w w:val="94"/>
              </w:rPr>
              <w:t>Total outstanding losses and loss adjustment expenses, net of reinsurance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433,053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25" w:right="239" w:bottom="1440" w:gutter="0" w:footer="0" w:header="0"/>
          <w:type w:val="continuous"/>
        </w:sectPr>
      </w:pPr>
    </w:p>
    <w:bookmarkStart w:id="136" w:name="page137"/>
    <w:bookmarkEnd w:id="1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Individual Risk Workers’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22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27,209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28,736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30,464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30,373</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28,963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8"/>
              </w:rPr>
              <w:t>28,938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27,590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27,098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27,099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27,099</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38,311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36,593</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32,116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32,420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31,490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29,689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28,255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28,186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28,186</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12,786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16,638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16,652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13,890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12,704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12,704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20,938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17,626</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21,678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20,299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18,050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15,800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19,779</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16,432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16,288</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20,253</w:t>
            </w:r>
          </w:p>
        </w:tc>
        <w:tc>
          <w:tcPr>
            <w:tcW w:w="0" w:type="dxa"/>
            <w:vAlign w:val="bottom"/>
          </w:tcPr>
          <w:p>
            <w:pPr>
              <w:spacing w:after="0"/>
              <w:rPr>
                <w:sz w:val="1"/>
                <w:szCs w:val="1"/>
                <w:color w:val="auto"/>
              </w:rPr>
            </w:pPr>
          </w:p>
        </w:tc>
      </w:tr>
      <w:tr>
        <w:trPr>
          <w:trHeight w:val="244"/>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205,237</w:t>
            </w:r>
          </w:p>
        </w:tc>
        <w:tc>
          <w:tcPr>
            <w:tcW w:w="0" w:type="dxa"/>
            <w:vAlign w:val="bottom"/>
          </w:tcPr>
          <w:p>
            <w:pPr>
              <w:spacing w:after="0"/>
              <w:rPr>
                <w:sz w:val="1"/>
                <w:szCs w:val="1"/>
                <w:color w:val="auto"/>
              </w:rPr>
            </w:pPr>
          </w:p>
        </w:tc>
      </w:tr>
      <w:tr>
        <w:trPr>
          <w:trHeight w:val="20"/>
        </w:trPr>
        <w:tc>
          <w:tcPr>
            <w:tcW w:w="6700" w:type="dxa"/>
            <w:vAlign w:val="bottom"/>
            <w:gridSpan w:val="18"/>
            <w:vMerge w:val="restart"/>
          </w:tcPr>
          <w:p>
            <w:pPr>
              <w:jc w:val="center"/>
              <w:spacing w:after="0"/>
              <w:rPr>
                <w:sz w:val="20"/>
                <w:szCs w:val="20"/>
                <w:color w:val="auto"/>
              </w:rPr>
            </w:pPr>
            <w:r>
              <w:rPr>
                <w:rFonts w:ascii="Arial" w:cs="Arial" w:eastAsia="Arial" w:hAnsi="Arial"/>
                <w:sz w:val="18"/>
                <w:szCs w:val="18"/>
                <w:b w:val="1"/>
                <w:bCs w:val="1"/>
                <w:color w:val="auto"/>
                <w:w w:val="87"/>
              </w:rPr>
              <w:t>Cumulative paid losses and loss adjustment expenses, net of reinsurance (in thousands)</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00" w:type="dxa"/>
            <w:vAlign w:val="bottom"/>
            <w:gridSpan w:val="18"/>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20" w:type="dxa"/>
            <w:vAlign w:val="bottom"/>
          </w:tcPr>
          <w:p>
            <w:pPr>
              <w:spacing w:after="0"/>
              <w:rPr>
                <w:sz w:val="24"/>
                <w:szCs w:val="24"/>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ind w:right="22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7,157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16,245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21,805</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23,898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25,210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8"/>
              </w:rPr>
              <w:t>25,477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26,345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26,352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26,358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26,365</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34,240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34,638</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9,222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20,308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24,755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26,435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26,897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26,932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26,963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26,994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10,337</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4,633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10,648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12,041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12,282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15,901</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4,664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12,432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14,285</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4,497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167,741</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gridSpan w:val="20"/>
            <w:shd w:val="clear" w:color="auto" w:fill="CCEEFF"/>
          </w:tcPr>
          <w:p>
            <w:pPr>
              <w:ind w:left="40"/>
              <w:spacing w:after="0"/>
              <w:rPr>
                <w:sz w:val="20"/>
                <w:szCs w:val="20"/>
                <w:color w:val="auto"/>
              </w:rPr>
            </w:pPr>
            <w:r>
              <w:rPr>
                <w:rFonts w:ascii="Arial" w:cs="Arial" w:eastAsia="Arial" w:hAnsi="Arial"/>
                <w:sz w:val="16"/>
                <w:szCs w:val="16"/>
                <w:color w:val="auto"/>
                <w:w w:val="95"/>
              </w:rPr>
              <w:t>All outstanding losses and loss adjustment expenses prior to 2010, net of reinsurance (4 claims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0"/>
        </w:trPr>
        <w:tc>
          <w:tcPr>
            <w:tcW w:w="7400" w:type="dxa"/>
            <w:vAlign w:val="bottom"/>
            <w:gridSpan w:val="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0" w:type="dxa"/>
            <w:vAlign w:val="bottom"/>
            <w:tcBorders>
              <w:bottom w:val="single" w:sz="8" w:color="CCEEFF"/>
            </w:tcBorders>
            <w:gridSpan w:val="20"/>
          </w:tcPr>
          <w:p>
            <w:pPr>
              <w:ind w:left="40"/>
              <w:spacing w:after="0"/>
              <w:rPr>
                <w:sz w:val="20"/>
                <w:szCs w:val="20"/>
                <w:color w:val="auto"/>
              </w:rPr>
            </w:pPr>
            <w:r>
              <w:rPr>
                <w:rFonts w:ascii="Arial" w:cs="Arial" w:eastAsia="Arial" w:hAnsi="Arial"/>
                <w:sz w:val="16"/>
                <w:szCs w:val="16"/>
                <w:color w:val="auto"/>
                <w:w w:val="97"/>
              </w:rPr>
              <w:t>Outstanding losses and loss adjustment expenses assumed from involuntary workers’ compensation pools</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4,656</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14"/>
            <w:shd w:val="clear" w:color="auto" w:fill="CCEEFF"/>
          </w:tcPr>
          <w:p>
            <w:pPr>
              <w:ind w:left="40"/>
              <w:spacing w:after="0"/>
              <w:rPr>
                <w:sz w:val="20"/>
                <w:szCs w:val="20"/>
                <w:color w:val="auto"/>
              </w:rPr>
            </w:pPr>
            <w:r>
              <w:rPr>
                <w:rFonts w:ascii="Arial" w:cs="Arial" w:eastAsia="Arial" w:hAnsi="Arial"/>
                <w:sz w:val="16"/>
                <w:szCs w:val="16"/>
                <w:color w:val="auto"/>
              </w:rPr>
              <w:t>Total outstanding losses and loss adjustment expenses, net of reinsurance</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43,191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Fronting and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43"/>
        </w:trPr>
        <w:tc>
          <w:tcPr>
            <w:tcW w:w="2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3,818</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3,228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9,632</w:t>
            </w: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8,974</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8,384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11,542</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14,682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24,271</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25,201</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21,758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20,677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18,832</w:t>
            </w: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91,751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6" w:right="239" w:bottom="1440" w:gutter="0" w:footer="0" w:header="0"/>
          <w:type w:val="continuous"/>
        </w:sectPr>
      </w:pPr>
    </w:p>
    <w:bookmarkStart w:id="137" w:name="page138"/>
    <w:bookmarkEnd w:id="13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paid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8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43"/>
        </w:trPr>
        <w:tc>
          <w:tcPr>
            <w:tcW w:w="2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2,854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4,666</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6,165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6,919</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7,329</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6,888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10,732</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6,682</w:t>
            </w:r>
          </w:p>
        </w:tc>
        <w:tc>
          <w:tcPr>
            <w:tcW w:w="2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13,065</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885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4,972</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4,358</w:t>
            </w:r>
          </w:p>
        </w:tc>
      </w:tr>
      <w:tr>
        <w:trPr>
          <w:trHeight w:val="27"/>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43,424</w:t>
            </w:r>
          </w:p>
        </w:tc>
      </w:tr>
      <w:tr>
        <w:trPr>
          <w:trHeight w:val="20"/>
        </w:trPr>
        <w:tc>
          <w:tcPr>
            <w:tcW w:w="26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300" w:type="dxa"/>
            <w:vAlign w:val="bottom"/>
            <w:tcBorders>
              <w:bottom w:val="single" w:sz="8" w:color="CCEEFF"/>
            </w:tcBorders>
            <w:gridSpan w:val="9"/>
          </w:tcPr>
          <w:p>
            <w:pPr>
              <w:ind w:left="40"/>
              <w:spacing w:after="0"/>
              <w:rPr>
                <w:sz w:val="20"/>
                <w:szCs w:val="20"/>
                <w:color w:val="auto"/>
              </w:rPr>
            </w:pPr>
            <w:r>
              <w:rPr>
                <w:rFonts w:ascii="Arial" w:cs="Arial" w:eastAsia="Arial" w:hAnsi="Arial"/>
                <w:sz w:val="18"/>
                <w:szCs w:val="18"/>
                <w:color w:val="auto"/>
                <w:w w:val="91"/>
              </w:rPr>
              <w:t>All outstanding losses and loss adjustment expenses, net of reinsurance</w:t>
            </w: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48,327</w:t>
            </w:r>
          </w:p>
        </w:tc>
      </w:tr>
      <w:tr>
        <w:trPr>
          <w:trHeight w:val="251"/>
        </w:trPr>
        <w:tc>
          <w:tcPr>
            <w:tcW w:w="6540" w:type="dxa"/>
            <w:vAlign w:val="bottom"/>
            <w:tcBorders>
              <w:bottom w:val="single" w:sz="8" w:color="CCEEFF"/>
            </w:tcBorders>
            <w:gridSpan w:val="12"/>
            <w:shd w:val="clear" w:color="auto" w:fill="CCEEFF"/>
          </w:tcPr>
          <w:p>
            <w:pPr>
              <w:ind w:left="40"/>
              <w:spacing w:after="0"/>
              <w:rPr>
                <w:sz w:val="20"/>
                <w:szCs w:val="20"/>
                <w:color w:val="auto"/>
              </w:rPr>
            </w:pPr>
            <w:r>
              <w:rPr>
                <w:rFonts w:ascii="Arial" w:cs="Arial" w:eastAsia="Arial" w:hAnsi="Arial"/>
                <w:sz w:val="18"/>
                <w:szCs w:val="18"/>
                <w:color w:val="auto"/>
                <w:w w:val="97"/>
              </w:rPr>
              <w:t>Outstanding losses and loss adjustment expenses, assumed from involuntary pools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r>
      <w:tr>
        <w:trPr>
          <w:trHeight w:val="20"/>
        </w:trPr>
        <w:tc>
          <w:tcPr>
            <w:tcW w:w="26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300" w:type="dxa"/>
            <w:vAlign w:val="bottom"/>
            <w:gridSpan w:val="9"/>
          </w:tcPr>
          <w:p>
            <w:pPr>
              <w:ind w:left="40"/>
              <w:spacing w:after="0"/>
              <w:rPr>
                <w:sz w:val="20"/>
                <w:szCs w:val="20"/>
                <w:color w:val="auto"/>
              </w:rPr>
            </w:pPr>
            <w:r>
              <w:rPr>
                <w:rFonts w:ascii="Arial" w:cs="Arial" w:eastAsia="Arial" w:hAnsi="Arial"/>
                <w:sz w:val="18"/>
                <w:szCs w:val="18"/>
                <w:color w:val="auto"/>
                <w:w w:val="88"/>
              </w:rPr>
              <w:t>Total outstanding losses and loss adjustment expenses, net of reinsurance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48,727</w:t>
            </w: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Casualty Reinsurance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losses and loss adjustment expenses, net of reinsurance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64,413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60,476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61,068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62,714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61,344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60,949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60,978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61,619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62,605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63,357</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105,333</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148,251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132,388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131,281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135,594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136,813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139,978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143,305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146,045</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146,760</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118,881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115,927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114,636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116,981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121,200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126,160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114,517</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112,759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105,533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103,544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108,222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129,800</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121,529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119,098</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86,022</w:t>
            </w:r>
          </w:p>
        </w:tc>
        <w:tc>
          <w:tcPr>
            <w:tcW w:w="0" w:type="dxa"/>
            <w:vAlign w:val="bottom"/>
          </w:tcPr>
          <w:p>
            <w:pPr>
              <w:spacing w:after="0"/>
              <w:rPr>
                <w:sz w:val="1"/>
                <w:szCs w:val="1"/>
                <w:color w:val="auto"/>
              </w:rPr>
            </w:pPr>
          </w:p>
        </w:tc>
      </w:tr>
      <w:tr>
        <w:trPr>
          <w:trHeight w:val="244"/>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1,145,314</w:t>
            </w:r>
          </w:p>
        </w:tc>
        <w:tc>
          <w:tcPr>
            <w:tcW w:w="0" w:type="dxa"/>
            <w:vAlign w:val="bottom"/>
          </w:tcPr>
          <w:p>
            <w:pPr>
              <w:spacing w:after="0"/>
              <w:rPr>
                <w:sz w:val="1"/>
                <w:szCs w:val="1"/>
                <w:color w:val="auto"/>
              </w:rPr>
            </w:pPr>
          </w:p>
        </w:tc>
      </w:tr>
      <w:tr>
        <w:trPr>
          <w:trHeight w:val="20"/>
        </w:trPr>
        <w:tc>
          <w:tcPr>
            <w:tcW w:w="7400" w:type="dxa"/>
            <w:vAlign w:val="bottom"/>
            <w:gridSpan w:val="20"/>
            <w:vMerge w:val="restart"/>
          </w:tcPr>
          <w:p>
            <w:pPr>
              <w:jc w:val="center"/>
              <w:ind w:right="720"/>
              <w:spacing w:after="0"/>
              <w:rPr>
                <w:sz w:val="20"/>
                <w:szCs w:val="20"/>
                <w:color w:val="auto"/>
              </w:rPr>
            </w:pPr>
            <w:r>
              <w:rPr>
                <w:rFonts w:ascii="Arial" w:cs="Arial" w:eastAsia="Arial" w:hAnsi="Arial"/>
                <w:sz w:val="18"/>
                <w:szCs w:val="18"/>
                <w:b w:val="1"/>
                <w:bCs w:val="1"/>
                <w:color w:val="auto"/>
                <w:w w:val="87"/>
              </w:rPr>
              <w:t>Cumulative paid losses and loss adjustment expenses, net of reinsurance (in thousands)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00" w:type="dxa"/>
            <w:vAlign w:val="bottom"/>
            <w:gridSpan w:val="20"/>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Accident Year</w:t>
            </w:r>
          </w:p>
        </w:tc>
        <w:tc>
          <w:tcPr>
            <w:tcW w:w="220" w:type="dxa"/>
            <w:vAlign w:val="bottom"/>
          </w:tcPr>
          <w:p>
            <w:pPr>
              <w:spacing w:after="0"/>
              <w:rPr>
                <w:sz w:val="24"/>
                <w:szCs w:val="24"/>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21,918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31,500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38,430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44,921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49,263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52,761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54,659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57,013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58,707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59,634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99,511</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73,124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81,859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97,215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113,943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121,026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128,567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133,606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137,430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134,644</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41,421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58,601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76,302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89,899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101,366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110,374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90,661</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36,268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50,905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65,409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78,145</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90,117</w:t>
            </w:r>
          </w:p>
        </w:tc>
        <w:tc>
          <w:tcPr>
            <w:tcW w:w="0" w:type="dxa"/>
            <w:vAlign w:val="bottom"/>
          </w:tcPr>
          <w:p>
            <w:pPr>
              <w:spacing w:after="0"/>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30,903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50,274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12,646</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863,436</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15"/>
            <w:shd w:val="clear" w:color="auto" w:fill="CCEEFF"/>
          </w:tcPr>
          <w:p>
            <w:pPr>
              <w:ind w:left="40"/>
              <w:spacing w:after="0"/>
              <w:rPr>
                <w:sz w:val="20"/>
                <w:szCs w:val="20"/>
                <w:color w:val="auto"/>
              </w:rPr>
            </w:pPr>
            <w:r>
              <w:rPr>
                <w:rFonts w:ascii="Arial" w:cs="Arial" w:eastAsia="Arial" w:hAnsi="Arial"/>
                <w:sz w:val="16"/>
                <w:szCs w:val="16"/>
                <w:color w:val="auto"/>
                <w:w w:val="91"/>
              </w:rPr>
              <w:t>All outstanding losses and loss adjustment expenses prior to 2010, net of reinsurance</w:t>
            </w: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0"/>
        </w:trPr>
        <w:tc>
          <w:tcPr>
            <w:tcW w:w="538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gridSpan w:val="14"/>
          </w:tcPr>
          <w:p>
            <w:pPr>
              <w:ind w:left="40"/>
              <w:spacing w:after="0"/>
              <w:rPr>
                <w:sz w:val="20"/>
                <w:szCs w:val="20"/>
                <w:color w:val="auto"/>
              </w:rPr>
            </w:pPr>
            <w:r>
              <w:rPr>
                <w:rFonts w:ascii="Arial" w:cs="Arial" w:eastAsia="Arial" w:hAnsi="Arial"/>
                <w:sz w:val="16"/>
                <w:szCs w:val="16"/>
                <w:color w:val="auto"/>
              </w:rPr>
              <w:t>Total outstanding losses and loss adjustment expenses, net of reinsurance</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283,676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-3197860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-3197860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138" w:name="page139"/>
    <w:bookmarkEnd w:id="1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460" w:firstLine="351"/>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the reserve for losses and loss adjustment expenses in the consolidated balance sheet at December 31, 2019 is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80"/>
              <w:spacing w:after="0"/>
              <w:rPr>
                <w:sz w:val="20"/>
                <w:szCs w:val="20"/>
                <w:color w:val="auto"/>
              </w:rPr>
            </w:pPr>
            <w:r>
              <w:rPr>
                <w:rFonts w:ascii="Arial" w:cs="Arial" w:eastAsia="Arial" w:hAnsi="Arial"/>
                <w:sz w:val="18"/>
                <w:szCs w:val="18"/>
                <w:color w:val="auto"/>
              </w:rPr>
              <w:t>E&amp;S – excluding commercial auto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568,814</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E&amp;S – commercial auto</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433,053</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Specialty Admitted – individual risk workers’ compensation</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43,191</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Specialty Admitted – fronting and programs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48,727</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Casualty Reinsurance</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283,676</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reserve for losses and loss adjustment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1,377,461</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Reinsurance recoverables on unpaid losses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668,045</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reserve for losses and loss adjustment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2,045,506</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The following is unaudited supplementary information about average annual percentage payouts of incurred claims by age, net of reinsurance, for the Excess and Surplus Lines segment and the Specialty Admitted Insurance segments as of December 31,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1</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2</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3</w:t>
            </w: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4</w:t>
            </w: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5</w:t>
            </w: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6</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7</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8</w:t>
            </w: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9</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Year 10</w:t>
            </w:r>
          </w:p>
        </w:tc>
      </w:tr>
      <w:tr>
        <w:trPr>
          <w:trHeight w:val="33"/>
        </w:trPr>
        <w:tc>
          <w:tcPr>
            <w:tcW w:w="3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ind w:left="40"/>
              <w:spacing w:after="0"/>
              <w:rPr>
                <w:sz w:val="20"/>
                <w:szCs w:val="20"/>
                <w:color w:val="auto"/>
              </w:rPr>
            </w:pPr>
            <w:r>
              <w:rPr>
                <w:rFonts w:ascii="Arial" w:cs="Arial" w:eastAsia="Arial" w:hAnsi="Arial"/>
                <w:sz w:val="16"/>
                <w:szCs w:val="16"/>
                <w:color w:val="auto"/>
              </w:rPr>
              <w:t>E&amp;S – excluding commercial auto</w:t>
            </w:r>
          </w:p>
        </w:tc>
        <w:tc>
          <w:tcPr>
            <w:tcW w:w="7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E&amp;S – commercial auto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rPr>
              <w:t>Specialty Admitted – individual risk workers’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32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Specialty Admitted – fronting and programs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Casualty Reinsurance</w:t>
            </w:r>
          </w:p>
        </w:tc>
        <w:tc>
          <w:tcPr>
            <w:tcW w:w="72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34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determining the cumulative number of reported claims, the Company measures claim counts by individual claimant for individual risk workers’ compensation policies in the Specialty Admitted Insurance segment. In the Excess and Surplus Lines insurance segment and for fronting and programs in the Specialty Admitted Insurance segment, the Company measures claim counts by claim event. The claim counts include all claims reported, even if the Company does not establish a liability for the claim (i.e. reserve for loss and loss adjustment expenses).</w:t>
      </w:r>
    </w:p>
    <w:p>
      <w:pPr>
        <w:spacing w:after="0" w:line="79" w:lineRule="exact"/>
        <w:rPr>
          <w:sz w:val="20"/>
          <w:szCs w:val="20"/>
          <w:color w:val="auto"/>
        </w:rPr>
      </w:pPr>
    </w:p>
    <w:p>
      <w:pPr>
        <w:ind w:right="20" w:firstLine="351"/>
        <w:spacing w:after="0" w:line="276" w:lineRule="auto"/>
        <w:rPr>
          <w:sz w:val="20"/>
          <w:szCs w:val="20"/>
          <w:color w:val="auto"/>
        </w:rPr>
      </w:pPr>
      <w:r>
        <w:rPr>
          <w:rFonts w:ascii="Arial" w:cs="Arial" w:eastAsia="Arial" w:hAnsi="Arial"/>
          <w:sz w:val="17"/>
          <w:szCs w:val="17"/>
          <w:color w:val="auto"/>
        </w:rPr>
        <w:t>The Casualty Reinsurance segment typically assumes written premium under quota share arrangements. The Company typically does not have direct access to claim frequency information underlying its assumed quota arrangements given the nature of that business. In addition, multiple claims are often aggregated by the ceding company before being reported to the Company. We do not use claim frequency information in the Casualty Reinsurance segment in the determination of loss reserves or for other internal purposes. Based on these considerations, the Company does not believe providing claims frequency information is practicable as it relates to the Casualty Reinsurance segment.</w:t>
      </w:r>
    </w:p>
    <w:p>
      <w:pPr>
        <w:spacing w:after="0" w:line="64"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and Surplus Lines — Excluding Commercial Auto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Incurred Losses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480" w:type="dxa"/>
            <w:vAlign w:val="bottom"/>
          </w:tcPr>
          <w:p>
            <w:pPr>
              <w:spacing w:after="0"/>
              <w:rPr>
                <w:sz w:val="12"/>
                <w:szCs w:val="12"/>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IBNR</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Expenses</w:t>
            </w:r>
          </w:p>
        </w:tc>
        <w:tc>
          <w:tcPr>
            <w:tcW w:w="4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244"/>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i w:val="1"/>
                <w:iCs w:val="1"/>
                <w:color w:val="auto"/>
                <w:w w:val="87"/>
              </w:rPr>
              <w:t>in thousands)</w:t>
            </w: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69,594</w:t>
            </w:r>
          </w:p>
        </w:tc>
        <w:tc>
          <w:tcPr>
            <w:tcW w:w="4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1,347</w:t>
            </w:r>
          </w:p>
        </w:tc>
        <w:tc>
          <w:tcPr>
            <w:tcW w:w="2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105,173</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103,061</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2,042</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82,732</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88,904</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9,855</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103,688</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126,971</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23,882</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132,136</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53,525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158,458</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95,477</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214,653</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178,172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32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Excess and Surplus Lines — Commercial Auto</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Incurred Losses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480" w:type="dxa"/>
            <w:vAlign w:val="bottom"/>
          </w:tcPr>
          <w:p>
            <w:pPr>
              <w:spacing w:after="0"/>
              <w:rPr>
                <w:sz w:val="12"/>
                <w:szCs w:val="12"/>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IBNR</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Expenses</w:t>
            </w:r>
          </w:p>
        </w:tc>
        <w:tc>
          <w:tcPr>
            <w:tcW w:w="4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244"/>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i w:val="1"/>
                <w:iCs w:val="1"/>
                <w:color w:val="auto"/>
                <w:w w:val="87"/>
              </w:rPr>
              <w:t>in thousands)</w:t>
            </w: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1,277</w:t>
            </w:r>
          </w:p>
        </w:tc>
        <w:tc>
          <w:tcPr>
            <w:tcW w:w="4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18,303</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36,636</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41,757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147,122</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89,003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272,421</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11,473</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133,654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230,220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34,896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95,889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262,306</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167,476</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67,380</w:t>
            </w:r>
          </w:p>
        </w:tc>
        <w:tc>
          <w:tcPr>
            <w:tcW w:w="0" w:type="dxa"/>
            <w:vAlign w:val="bottom"/>
          </w:tcPr>
          <w:p>
            <w:pPr>
              <w:spacing w:after="0"/>
              <w:rPr>
                <w:sz w:val="1"/>
                <w:szCs w:val="1"/>
                <w:color w:val="auto"/>
              </w:rPr>
            </w:pPr>
          </w:p>
        </w:tc>
      </w:tr>
      <w:tr>
        <w:trPr>
          <w:trHeight w:val="56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Specialty Admitted - Individual Risk Workers’ Compensation</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Incurred Losses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2"/>
                <w:szCs w:val="12"/>
                <w:color w:val="auto"/>
              </w:rPr>
            </w:pPr>
          </w:p>
        </w:tc>
        <w:tc>
          <w:tcPr>
            <w:tcW w:w="13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480" w:type="dxa"/>
            <w:vAlign w:val="bottom"/>
          </w:tcPr>
          <w:p>
            <w:pPr>
              <w:spacing w:after="0"/>
              <w:rPr>
                <w:sz w:val="12"/>
                <w:szCs w:val="12"/>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IBNR</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Expenses</w:t>
            </w:r>
          </w:p>
        </w:tc>
        <w:tc>
          <w:tcPr>
            <w:tcW w:w="4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244"/>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0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i w:val="1"/>
                <w:iCs w:val="1"/>
                <w:color w:val="auto"/>
                <w:w w:val="87"/>
              </w:rPr>
              <w:t>in thousands)</w:t>
            </w: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27,099</w:t>
            </w:r>
          </w:p>
        </w:tc>
        <w:tc>
          <w:tcPr>
            <w:tcW w:w="48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36,593</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28,186</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1,090</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10,909</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12,704</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17,626</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15,800</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3,245</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19,779</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16,288</w:t>
            </w:r>
          </w:p>
        </w:tc>
        <w:tc>
          <w:tcPr>
            <w:tcW w:w="4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3,495</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20,253</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2,965</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40" w:name="page141"/>
    <w:bookmarkEnd w:id="14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Admitted — Fronting and Programs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Incurred Losses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3"/>
              </w:rPr>
              <w:t>Cumulative # of</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180" w:type="dxa"/>
            <w:vAlign w:val="bottom"/>
          </w:tcPr>
          <w:p>
            <w:pPr>
              <w:spacing w:after="0"/>
              <w:rPr>
                <w:sz w:val="12"/>
                <w:szCs w:val="12"/>
                <w:color w:val="auto"/>
              </w:rPr>
            </w:pPr>
          </w:p>
        </w:tc>
        <w:tc>
          <w:tcPr>
            <w:tcW w:w="13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rPr>
              <w:t>IBNR</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Reported Claims</w:t>
            </w:r>
          </w:p>
        </w:tc>
        <w:tc>
          <w:tcPr>
            <w:tcW w:w="0" w:type="dxa"/>
            <w:vAlign w:val="bottom"/>
          </w:tcPr>
          <w:p>
            <w:pPr>
              <w:spacing w:after="0"/>
              <w:rPr>
                <w:sz w:val="1"/>
                <w:szCs w:val="1"/>
                <w:color w:val="auto"/>
              </w:rPr>
            </w:pPr>
          </w:p>
        </w:tc>
      </w:tr>
      <w:tr>
        <w:trPr>
          <w:trHeight w:val="244"/>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i w:val="1"/>
                <w:iCs w:val="1"/>
                <w:color w:val="auto"/>
                <w:w w:val="88"/>
              </w:rPr>
              <w:t>($ in thousands)</w:t>
            </w: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6,751</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10,142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10,961</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567"/>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The table below provides information on IBNR liabilities for the Casualty Reinsurance segment: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Incurred Losses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Accident Year</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and Loss Adj</w:t>
            </w:r>
          </w:p>
        </w:tc>
        <w:tc>
          <w:tcPr>
            <w:tcW w:w="260" w:type="dxa"/>
            <w:vAlign w:val="bottom"/>
          </w:tcPr>
          <w:p>
            <w:pPr>
              <w:spacing w:after="0"/>
              <w:rPr>
                <w:sz w:val="12"/>
                <w:szCs w:val="1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IBNR</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Expenses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3"/>
          </w:tcPr>
          <w:p>
            <w:pPr>
              <w:jc w:val="right"/>
              <w:ind w:right="953"/>
              <w:spacing w:after="0"/>
              <w:rPr>
                <w:sz w:val="20"/>
                <w:szCs w:val="20"/>
                <w:color w:val="auto"/>
              </w:rPr>
            </w:pPr>
            <w:r>
              <w:rPr>
                <w:rFonts w:ascii="Arial" w:cs="Arial" w:eastAsia="Arial" w:hAnsi="Arial"/>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63,357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105,333</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146,045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146,760</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126,160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114,517</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108,222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129,800</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36,167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119,098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29,472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86,022</w:t>
            </w: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68,499</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17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2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84"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At December 31, 2019, the Company had reinsurance recoverables on unpaid losses of $668.0 million and reinsurance recoverables on paid losses of $33.2 million. All material reinsurance recoverables are from companies with A.M. Best Company ratings of “A-” (Excellent) or better, or are collateralized with letters of credit or by a trust agreement.</w:t>
      </w:r>
    </w:p>
    <w:p>
      <w:pPr>
        <w:spacing w:after="0" w:line="73" w:lineRule="exact"/>
        <w:rPr>
          <w:sz w:val="20"/>
          <w:szCs w:val="20"/>
          <w:color w:val="auto"/>
        </w:rPr>
      </w:pPr>
    </w:p>
    <w:p>
      <w:pPr>
        <w:ind w:right="200" w:firstLine="351"/>
        <w:spacing w:after="0" w:line="277" w:lineRule="auto"/>
        <w:rPr>
          <w:sz w:val="20"/>
          <w:szCs w:val="20"/>
          <w:color w:val="auto"/>
        </w:rPr>
      </w:pPr>
      <w:r>
        <w:rPr>
          <w:rFonts w:ascii="Arial" w:cs="Arial" w:eastAsia="Arial" w:hAnsi="Arial"/>
          <w:sz w:val="18"/>
          <w:szCs w:val="18"/>
          <w:color w:val="auto"/>
        </w:rPr>
        <w:t>At December 31, 2019, reinsurance recoverables on unpaid losses from the Company’s three largest reinsurers were $191.4 million, $59.6 million, and $58.0 million, representing 46.3% of the total balance.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380" w:firstLine="351"/>
        <w:spacing w:after="0" w:line="277" w:lineRule="auto"/>
        <w:rPr>
          <w:sz w:val="20"/>
          <w:szCs w:val="20"/>
          <w:color w:val="auto"/>
        </w:rPr>
      </w:pPr>
      <w:r>
        <w:rPr>
          <w:rFonts w:ascii="Arial" w:cs="Arial" w:eastAsia="Arial" w:hAnsi="Arial"/>
          <w:sz w:val="18"/>
          <w:szCs w:val="18"/>
          <w:color w:val="auto"/>
        </w:rPr>
        <w:t>At December 31, 2019, prepaid reinsurance premiums ceded to three reinsurers totaled $27.2 million, $24.5 million, and $22.3 million, representing 41.3% of the total balance.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Premiums written, premiums earned, and losses and loss adjustment expenses incurred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Written premiums: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1,305,948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1,027,222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843,719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(315,279)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896,150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762,672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766,626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Earned premiums: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1,182,501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842,182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Assumed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208,192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173,472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(274,545)</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823,746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815,398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741,109</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953,548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769,490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626,318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142,818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Ceded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(213,759)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672,102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600,276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555,377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135" w:lineRule="exact"/>
        <w:rPr>
          <w:sz w:val="20"/>
          <w:szCs w:val="20"/>
          <w:color w:val="auto"/>
        </w:rPr>
      </w:pPr>
    </w:p>
    <w:p>
      <w:pPr>
        <w:ind w:right="480" w:firstLine="351"/>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December 31, 2019:</w:t>
      </w:r>
    </w:p>
    <w:p>
      <w:pPr>
        <w:spacing w:after="0" w:line="89" w:lineRule="exact"/>
        <w:rPr>
          <w:sz w:val="20"/>
          <w:szCs w:val="20"/>
          <w:color w:val="auto"/>
        </w:rPr>
      </w:pPr>
    </w:p>
    <w:p>
      <w:pPr>
        <w:ind w:left="660" w:right="180" w:hanging="328"/>
        <w:spacing w:after="0" w:line="31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$102.5 million secured revolving facility utilized by JRG Re to issue letters of credit for the benefit of third-party reinsureds. This portion of our credit facility is secured by our investment securities. At December 31, 2019, the Company had $77.6 million of letters of credit issued under the secured facility.</w:t>
      </w:r>
    </w:p>
    <w:p>
      <w:pPr>
        <w:spacing w:after="0" w:line="68" w:lineRule="exact"/>
        <w:rPr>
          <w:rFonts w:ascii="Arial" w:cs="Arial" w:eastAsia="Arial" w:hAnsi="Arial"/>
          <w:sz w:val="18"/>
          <w:szCs w:val="18"/>
          <w:color w:val="auto"/>
        </w:rPr>
      </w:pPr>
    </w:p>
    <w:p>
      <w:pPr>
        <w:ind w:left="660" w:right="100" w:hanging="328"/>
        <w:spacing w:after="0" w:line="31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LIBOR plus a margin which at December 31, 2019 was 1.375%, which is subject to change according to terms in the credit agreement. At December 31, 2019 and 2018, the Company had a drawn balance of $133.3 million and $73.3 million, respectively, outstanding on the unsecured revolver.</w:t>
      </w:r>
    </w:p>
    <w:p>
      <w:pPr>
        <w:spacing w:after="0" w:line="48" w:lineRule="exact"/>
        <w:rPr>
          <w:sz w:val="20"/>
          <w:szCs w:val="20"/>
          <w:color w:val="auto"/>
        </w:rPr>
      </w:pPr>
    </w:p>
    <w:p>
      <w:pPr>
        <w:ind w:right="160" w:firstLine="351"/>
        <w:spacing w:after="0" w:line="302" w:lineRule="auto"/>
        <w:rPr>
          <w:sz w:val="20"/>
          <w:szCs w:val="20"/>
          <w:color w:val="auto"/>
        </w:rPr>
      </w:pPr>
      <w:r>
        <w:rPr>
          <w:rFonts w:ascii="Arial" w:cs="Arial" w:eastAsia="Arial" w:hAnsi="Arial"/>
          <w:sz w:val="16"/>
          <w:szCs w:val="16"/>
          <w:color w:val="auto"/>
        </w:rPr>
        <w:t>James River Group Holdings, Ltd. and JRG Re are borrowers on the 2013 Facility. 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46"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A subsidiary of the Bank Holding Company is one of the lenders for the 2013 Facility, with a $36.0 million commitment allocation on the total $315.0 million 2013 Facility.</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2019.</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August 2, 2017, the Company and its wholly-owned subsidiary, JRG Re, together as borrowers, entered into a credit agreement (the "2017 Facility") that provides the Company with a revolving line of credit of up to $100.0 million, which may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6" w:right="239" w:bottom="1440" w:gutter="0" w:footer="0" w:header="0"/>
        </w:sectPr>
      </w:pPr>
    </w:p>
    <w:bookmarkStart w:id="142" w:name="page143"/>
    <w:bookmarkEnd w:id="14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 used for loans and letters of credit made or issued, at the borrowers' option, on a secured or unsecured basis. The loans and letters of credit made or issued under the revolving line of credit may be used to finance the Borrowers’ general corporate purposes. On November 8, 2019, the Company entered into a First Amendment to Credit Agreement which, among other things, lowered the applicable interest rate and modified certain negative covenants to be less restrictive. Obligations under the 2017 Facility carry a variable rate of interest subject to terms in the credit agreement and will mature 30 days after notice of termination from the lender. Interest accrues quarterly and is payable in arrears at variable rates which are subject to change according to terms in the credit agreement. At December 31, 2019, unsecured loans of $10.0 million and secured letters of credit totaling $21.9 million were outstanding under the facility.</w:t>
      </w:r>
    </w:p>
    <w:p>
      <w:pPr>
        <w:spacing w:after="0" w:line="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order to secure borrowings and letters of credit made or issued under the secured portion of the revolving line of credit, JRG Re entered into a pledge and security agreement on August 2, 2017 with the lender, pursuant to which JRG Re will pledge certain investment securities. In the event the Company elects to pledge investment securities as collateral for the secured portion of the revolving credit facility, the Company will enter into a similar pledge and security agreement.</w:t>
      </w:r>
    </w:p>
    <w:p>
      <w:pPr>
        <w:spacing w:after="0" w:line="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lender under the credit agreement and its affiliate is a joint bookrunner and joint lead arranger under the Company’s Second Amended and Restated Credit Agreement dated as of November 8, 2019, as amended, and its affiliate was also an underwriter in the December 2014 initial public offering of the Company’s common shares.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2017 Facility contains certain financial and other covenants which we are in compliance with at December 31, 2019.</w:t>
      </w:r>
    </w:p>
    <w:p>
      <w:pPr>
        <w:spacing w:after="0" w:line="11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LIBOR on the Determination Date (as defined in the indenture) plus 3.85%. The Senior Debt is redeemable prior to its stated maturity in whole or in part, at the option of James River Group.</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terms of the indenture generally provide that so long as the Senior Debt is outstanding, neither James River Group nor any of its subsidiaries may:</w:t>
      </w:r>
    </w:p>
    <w:p>
      <w:pPr>
        <w:spacing w:after="0" w:line="167" w:lineRule="exact"/>
        <w:rPr>
          <w:sz w:val="20"/>
          <w:szCs w:val="20"/>
          <w:color w:val="auto"/>
        </w:rPr>
      </w:pPr>
    </w:p>
    <w:p>
      <w:pPr>
        <w:ind w:left="660" w:right="160" w:hanging="328"/>
        <w:spacing w:after="0" w:line="34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assume or permit to exist any indebtedness that is secured by any encumbrance on the capital stock of James River Group or any of its subsidiaries which is senior to the Senior Debt; or</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 sell, transfer or otherwise dispose of any shares of, securities convertible into, or warrants, rights or options to subscribe for or purchase shares of, capital stock of any subsidiary.</w:t>
      </w:r>
    </w:p>
    <w:p>
      <w:pPr>
        <w:spacing w:after="0" w:line="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terms of the Senior Debt contain certain covenants, with which we are in compliance at December 31, 2019, and which, among other things, restrict our ability to assume senior indebtedness secured by our U.S. holding company's common stock or its subsidiaries' capital stock or to issue shares of its subsidiaries' capital stock.</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payable is included in “accrued expenses” in the accompanying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Junior Subordinated Debt</w:t>
      </w:r>
    </w:p>
    <w:p>
      <w:pPr>
        <w:spacing w:after="0" w:line="1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9" w:lineRule="exact"/>
        <w:rPr>
          <w:sz w:val="20"/>
          <w:szCs w:val="20"/>
          <w:color w:val="auto"/>
        </w:rPr>
      </w:pPr>
    </w:p>
    <w:p>
      <w:pPr>
        <w:ind w:firstLine="351"/>
        <w:spacing w:after="0" w:line="302" w:lineRule="auto"/>
        <w:rPr>
          <w:sz w:val="20"/>
          <w:szCs w:val="20"/>
          <w:color w:val="auto"/>
        </w:rPr>
      </w:pPr>
      <w:r>
        <w:rPr>
          <w:rFonts w:ascii="Arial" w:cs="Arial" w:eastAsia="Arial" w:hAnsi="Arial"/>
          <w:sz w:val="16"/>
          <w:szCs w:val="16"/>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126" w:right="279" w:bottom="1440" w:gutter="0" w:footer="0" w:header="0"/>
        </w:sectPr>
      </w:pPr>
    </w:p>
    <w:bookmarkStart w:id="143" w:name="page144"/>
    <w:bookmarkEnd w:id="14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IV</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 in thousands)</w:t>
            </w: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 date</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May 26, 2004</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December 15, 2004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15, 2006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11, 2007</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10, 2008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Principal amount of Trust Preferred Securities</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$7,000</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$15,000</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$20,000</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$54,000</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$30,000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 amount of Junior Subordinated Debt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$7,217</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$15,464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$20,619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$55,670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$30,928</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Carrying amount of Junior Subordinated Debt net of</w:t>
            </w: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repurchases</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$7,217</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$15,464</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$20,619</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$44,827</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$15,928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Maturity date of Junior Subordinated Debt, unless accelerated</w:t>
            </w: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earlier</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May 24, 2034</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December 15, 2034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15, 2036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December 15, 2037</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15, 2038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Trust common stock</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$217</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$464</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$619</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$1,670</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$928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per annum</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Three-Month</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Three-Month</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Three-Month</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Three-Month</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Three-Month</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4.0%</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3.4%</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LIBOR plus 3.1%</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LIBOR plus 4.0%</w:t>
            </w:r>
          </w:p>
        </w:tc>
        <w:tc>
          <w:tcPr>
            <w:tcW w:w="0" w:type="dxa"/>
            <w:vAlign w:val="bottom"/>
          </w:tcPr>
          <w:p>
            <w:pPr>
              <w:spacing w:after="0"/>
              <w:rPr>
                <w:sz w:val="1"/>
                <w:szCs w:val="1"/>
                <w:color w:val="auto"/>
              </w:rPr>
            </w:pPr>
          </w:p>
        </w:tc>
      </w:tr>
      <w:tr>
        <w:trPr>
          <w:trHeight w:val="33"/>
        </w:trPr>
        <w:tc>
          <w:tcPr>
            <w:tcW w:w="4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351"/>
        <w:spacing w:after="0" w:line="312" w:lineRule="auto"/>
        <w:rPr>
          <w:sz w:val="20"/>
          <w:szCs w:val="20"/>
          <w:color w:val="auto"/>
        </w:rPr>
      </w:pPr>
      <w:r>
        <w:rPr>
          <w:rFonts w:ascii="Arial" w:cs="Arial" w:eastAsia="Arial" w:hAnsi="Arial"/>
          <w:sz w:val="16"/>
          <w:szCs w:val="16"/>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39" w:lineRule="exact"/>
        <w:rPr>
          <w:sz w:val="20"/>
          <w:szCs w:val="20"/>
          <w:color w:val="auto"/>
        </w:rPr>
      </w:pPr>
    </w:p>
    <w:p>
      <w:pPr>
        <w:ind w:right="280" w:firstLine="351"/>
        <w:spacing w:after="0" w:line="279" w:lineRule="auto"/>
        <w:rPr>
          <w:sz w:val="20"/>
          <w:szCs w:val="20"/>
          <w:color w:val="auto"/>
        </w:rPr>
      </w:pPr>
      <w:r>
        <w:rPr>
          <w:rFonts w:ascii="Arial" w:cs="Arial" w:eastAsia="Arial" w:hAnsi="Arial"/>
          <w:sz w:val="17"/>
          <w:szCs w:val="17"/>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2019.</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is included in “accrued expenses” on the accompanying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Capital Stock</w:t>
      </w:r>
    </w:p>
    <w:p>
      <w:pPr>
        <w:spacing w:after="0" w:line="148" w:lineRule="exact"/>
        <w:rPr>
          <w:sz w:val="20"/>
          <w:szCs w:val="20"/>
          <w:color w:val="auto"/>
        </w:rPr>
      </w:pPr>
    </w:p>
    <w:p>
      <w:pPr>
        <w:ind w:right="60" w:firstLine="351"/>
        <w:spacing w:after="0" w:line="308" w:lineRule="auto"/>
        <w:rPr>
          <w:sz w:val="20"/>
          <w:szCs w:val="20"/>
          <w:color w:val="auto"/>
        </w:rPr>
      </w:pPr>
      <w:r>
        <w:rPr>
          <w:rFonts w:ascii="Arial" w:cs="Arial" w:eastAsia="Arial" w:hAnsi="Arial"/>
          <w:sz w:val="17"/>
          <w:szCs w:val="17"/>
          <w:color w:val="auto"/>
        </w:rPr>
        <w:t>The Company’s authorized share capital consists of 200,000,000 common shares, par value $0.0002 per share (30,424,391 shares issued and outstanding at December 31, 2019) and 20,000,000 undesignated preferred shares, par value $0.00125 per share (no shares issued or outstanding).</w:t>
      </w:r>
    </w:p>
    <w:p>
      <w:pPr>
        <w:spacing w:after="0" w:line="38"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Share activity in 2018 and 2019 includes issuances from stock option exercises and RSU vesting, increasing the number of common shares outstanding from 29,696,682 at December 31, 2017 to 29,988,460 at December 31, 2018 and 30,424,391 at December 31, 2019.</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4,325,963 common shares reserved for future issuance upon exercise or vesting of equity awards, as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6" w:right="239" w:bottom="1440" w:gutter="0" w:footer="0" w:header="0"/>
        </w:sectPr>
      </w:pPr>
    </w:p>
    <w:bookmarkStart w:id="144" w:name="page145"/>
    <w:bookmarkEnd w:id="144"/>
    <w:p>
      <w:pPr>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0" w:type="dxa"/>
        <w:tblCellMar>
          <w:top w:w="0" w:type="dxa"/>
          <w:left w:w="0" w:type="dxa"/>
          <w:bottom w:w="0" w:type="dxa"/>
          <w:right w:w="0" w:type="dxa"/>
        </w:tblCellMar>
      </w:tblPr>
      <w:tr>
        <w:trPr>
          <w:trHeight w:val="254"/>
        </w:trPr>
        <w:tc>
          <w:tcPr>
            <w:tcW w:w="4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80" w:type="dxa"/>
            <w:vAlign w:val="bottom"/>
            <w:tcBorders>
              <w:top w:val="single" w:sz="8" w:color="0000EE"/>
            </w:tcBorders>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James River Group Holdings, LTD. and Subsidiaries</w:t>
            </w:r>
          </w:p>
        </w:tc>
        <w:tc>
          <w:tcPr>
            <w:tcW w:w="3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Years ended December 31, 2019, 2018, and 2017</w:t>
            </w: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60" w:type="dxa"/>
            <w:vAlign w:val="bottom"/>
            <w:gridSpan w:val="9"/>
          </w:tcPr>
          <w:p>
            <w:pPr>
              <w:spacing w:after="0"/>
              <w:rPr>
                <w:sz w:val="20"/>
                <w:szCs w:val="20"/>
                <w:color w:val="auto"/>
              </w:rPr>
            </w:pPr>
            <w:r>
              <w:rPr>
                <w:rFonts w:ascii="Arial" w:cs="Arial" w:eastAsia="Arial" w:hAnsi="Arial"/>
                <w:sz w:val="18"/>
                <w:szCs w:val="18"/>
                <w:color w:val="auto"/>
              </w:rPr>
              <w:t>The Board of Directors declared the following cash dividends in 2019, 2018, and 2017:</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Date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Dividend per</w:t>
            </w:r>
          </w:p>
        </w:tc>
        <w:tc>
          <w:tcPr>
            <w:tcW w:w="120" w:type="dxa"/>
            <w:vAlign w:val="bottom"/>
          </w:tcPr>
          <w:p>
            <w:pPr>
              <w:spacing w:after="0"/>
              <w:rPr>
                <w:sz w:val="24"/>
                <w:szCs w:val="24"/>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Payable to Shareholders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Declaration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Share</w:t>
            </w:r>
          </w:p>
        </w:tc>
        <w:tc>
          <w:tcPr>
            <w:tcW w:w="120" w:type="dxa"/>
            <w:vAlign w:val="bottom"/>
          </w:tcPr>
          <w:p>
            <w:pPr>
              <w:spacing w:after="0"/>
              <w:rPr>
                <w:sz w:val="20"/>
                <w:szCs w:val="20"/>
                <w:color w:val="auto"/>
              </w:rPr>
            </w:pPr>
          </w:p>
        </w:tc>
        <w:tc>
          <w:tcPr>
            <w:tcW w:w="2260" w:type="dxa"/>
            <w:vAlign w:val="bottom"/>
            <w:gridSpan w:val="2"/>
          </w:tcPr>
          <w:p>
            <w:pPr>
              <w:ind w:left="580"/>
              <w:spacing w:after="0"/>
              <w:rPr>
                <w:sz w:val="20"/>
                <w:szCs w:val="20"/>
                <w:color w:val="auto"/>
              </w:rPr>
            </w:pPr>
            <w:r>
              <w:rPr>
                <w:rFonts w:ascii="Arial" w:cs="Arial" w:eastAsia="Arial" w:hAnsi="Arial"/>
                <w:sz w:val="18"/>
                <w:szCs w:val="18"/>
                <w:b w:val="1"/>
                <w:bCs w:val="1"/>
                <w:color w:val="auto"/>
              </w:rPr>
              <w:t>of Record on</w:t>
            </w:r>
          </w:p>
        </w:tc>
        <w:tc>
          <w:tcPr>
            <w:tcW w:w="2260" w:type="dxa"/>
            <w:vAlign w:val="bottom"/>
            <w:gridSpan w:val="2"/>
          </w:tcPr>
          <w:p>
            <w:pPr>
              <w:ind w:left="540"/>
              <w:spacing w:after="0"/>
              <w:rPr>
                <w:sz w:val="20"/>
                <w:szCs w:val="20"/>
                <w:color w:val="auto"/>
              </w:rPr>
            </w:pPr>
            <w:r>
              <w:rPr>
                <w:rFonts w:ascii="Arial" w:cs="Arial" w:eastAsia="Arial" w:hAnsi="Arial"/>
                <w:sz w:val="18"/>
                <w:szCs w:val="18"/>
                <w:b w:val="1"/>
                <w:bCs w:val="1"/>
                <w:color w:val="auto"/>
              </w:rPr>
              <w:t>Payment Date</w:t>
            </w:r>
          </w:p>
        </w:tc>
        <w:tc>
          <w:tcPr>
            <w:tcW w:w="320" w:type="dxa"/>
            <w:vAlign w:val="bottom"/>
          </w:tcPr>
          <w:p>
            <w:pPr>
              <w:spacing w:after="0"/>
              <w:rPr>
                <w:sz w:val="20"/>
                <w:szCs w:val="20"/>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 Amount</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2019</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February 20, 2019</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11, 2019</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29,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9,146,357</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April 30, 2019</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10, 2019</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June 28,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9,204,804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July 30, 2019</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16, 2019</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9,230,801</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November 5, 2019</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December 16, 2019</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9,228,656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36,810,618</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2018</w:t>
            </w: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February 22, 2018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12, 2018</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30,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9,049,476</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May 1,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11, 2018</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June 29,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9,066,023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August 1, 2018</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10, 2018</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28,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9,080,519</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November 7, 2018</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December 14, 2018</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December 28, 2018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9,088,542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36,284,560</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February 14,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13,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8,878,147</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May 2,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12, 2017</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8,917,471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August 1,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11,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29,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8,943,279</w:t>
            </w:r>
          </w:p>
        </w:tc>
        <w:tc>
          <w:tcPr>
            <w:tcW w:w="0" w:type="dxa"/>
            <w:vAlign w:val="bottom"/>
          </w:tcPr>
          <w:p>
            <w:pPr>
              <w:spacing w:after="0"/>
              <w:rPr>
                <w:sz w:val="1"/>
                <w:szCs w:val="1"/>
                <w:color w:val="auto"/>
              </w:rPr>
            </w:pPr>
          </w:p>
        </w:tc>
      </w:tr>
      <w:tr>
        <w:trPr>
          <w:trHeight w:val="243"/>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November 1, 2017</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$0.30</w:t>
            </w: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December 15, 2017</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December 28,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8,974,196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November 1, 2017</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15, 2017</w:t>
            </w: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28,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14,956,994</w:t>
            </w:r>
          </w:p>
        </w:tc>
        <w:tc>
          <w:tcPr>
            <w:tcW w:w="0" w:type="dxa"/>
            <w:vAlign w:val="bottom"/>
          </w:tcPr>
          <w:p>
            <w:pPr>
              <w:spacing w:after="0"/>
              <w:rPr>
                <w:sz w:val="1"/>
                <w:szCs w:val="1"/>
                <w:color w:val="auto"/>
              </w:rPr>
            </w:pPr>
          </w:p>
        </w:tc>
      </w:tr>
      <w:tr>
        <w:trPr>
          <w:trHeight w:val="257"/>
        </w:trPr>
        <w:tc>
          <w:tcPr>
            <w:tcW w:w="242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$1.70</w:t>
            </w:r>
          </w:p>
        </w:tc>
        <w:tc>
          <w:tcPr>
            <w:tcW w:w="120" w:type="dxa"/>
            <w:vAlign w:val="bottom"/>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50,670,087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0" w:firstLine="351"/>
        <w:spacing w:after="0" w:line="277" w:lineRule="auto"/>
        <w:rPr>
          <w:sz w:val="20"/>
          <w:szCs w:val="20"/>
          <w:color w:val="auto"/>
        </w:rPr>
      </w:pPr>
      <w:r>
        <w:rPr>
          <w:rFonts w:ascii="Arial" w:cs="Arial" w:eastAsia="Arial" w:hAnsi="Arial"/>
          <w:sz w:val="18"/>
          <w:szCs w:val="18"/>
          <w:color w:val="auto"/>
        </w:rPr>
        <w:t>Included in the dividends are $433,000, $391,000 and $450,000 of dividend equivalents on RSUs, of which $623,000, $557,000 and $434,000 were payable as of December 31,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firstLine="351"/>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December 31, 2019, 1,575,359 shares are available for grant.</w:t>
      </w:r>
    </w:p>
    <w:p>
      <w:pPr>
        <w:spacing w:after="0" w:line="7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At the 2019 Annual General Meeting of Shareholders of the Company held on April 30, 2019, the Company's shareholders approved an amendment to the 2014 Director Plan. The Board of Directors of the Company had previously approved the amendment. The amendment increased the number of the Company's common shares authorized for issuance under the 2014 Director Plan by 100,000 shares. The maximum number of shares available for issuance under the 2014 Director Plan is 150,000, and at December 31, 2019, 108,594 shares are available for grant.</w:t>
      </w:r>
    </w:p>
    <w:p>
      <w:pPr>
        <w:spacing w:after="0" w:line="85" w:lineRule="exact"/>
        <w:rPr>
          <w:sz w:val="20"/>
          <w:szCs w:val="20"/>
          <w:color w:val="auto"/>
        </w:rPr>
      </w:pPr>
    </w:p>
    <w:p>
      <w:pPr>
        <w:ind w:right="100" w:firstLine="351"/>
        <w:spacing w:after="0" w:line="342" w:lineRule="auto"/>
        <w:rPr>
          <w:sz w:val="20"/>
          <w:szCs w:val="20"/>
          <w:color w:val="auto"/>
        </w:rPr>
      </w:pPr>
      <w:r>
        <w:rPr>
          <w:rFonts w:ascii="Arial" w:cs="Arial" w:eastAsia="Arial" w:hAnsi="Arial"/>
          <w:sz w:val="16"/>
          <w:szCs w:val="16"/>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11" w:right="239" w:bottom="1440" w:gutter="0" w:footer="0" w:header="0"/>
        </w:sectPr>
      </w:pPr>
    </w:p>
    <w:bookmarkStart w:id="145" w:name="page146"/>
    <w:bookmarkEnd w:id="14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option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1,115,324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1,479,236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2,234,699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205,244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(459,415)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(12,058)</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(62,489)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643,851</w:t>
            </w:r>
          </w:p>
        </w:tc>
        <w:tc>
          <w:tcPr>
            <w:tcW w:w="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1,115,324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1,479,236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Exercisable, end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590,340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814,421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846,371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80" w:firstLine="351"/>
        <w:spacing w:after="0" w:line="277" w:lineRule="auto"/>
        <w:rPr>
          <w:sz w:val="20"/>
          <w:szCs w:val="20"/>
          <w:color w:val="auto"/>
        </w:rPr>
      </w:pPr>
      <w:r>
        <w:rPr>
          <w:rFonts w:ascii="Arial" w:cs="Arial" w:eastAsia="Arial" w:hAnsi="Arial"/>
          <w:sz w:val="18"/>
          <w:szCs w:val="18"/>
          <w:color w:val="auto"/>
        </w:rPr>
        <w:t>All of the outstanding options vest over three years and have a contractual life of seven years from the original date of grant. All of the outstanding options have an exercise price equal to the fair value of the underlying shares at the date of grant.</w:t>
      </w:r>
    </w:p>
    <w:p>
      <w:pPr>
        <w:spacing w:after="0" w:line="62" w:lineRule="exact"/>
        <w:rPr>
          <w:sz w:val="20"/>
          <w:szCs w:val="20"/>
          <w:color w:val="auto"/>
        </w:rPr>
      </w:pPr>
    </w:p>
    <w:p>
      <w:pPr>
        <w:ind w:right="20" w:firstLine="351"/>
        <w:spacing w:after="0" w:line="297" w:lineRule="auto"/>
        <w:rPr>
          <w:sz w:val="20"/>
          <w:szCs w:val="20"/>
          <w:color w:val="auto"/>
        </w:rPr>
      </w:pPr>
      <w:r>
        <w:rPr>
          <w:rFonts w:ascii="Arial" w:cs="Arial" w:eastAsia="Arial" w:hAnsi="Arial"/>
          <w:sz w:val="16"/>
          <w:szCs w:val="16"/>
          <w:color w:val="auto"/>
        </w:rPr>
        <w:t>The intrinsic value of each option is determined based on the difference between the fair value of the underlying share and the exercise price of the underlying option. The total intrinsic value of options exercised during 2019, 2018 and 2017 was $8.2 million, $4.6 million and $20.4 million, respectively. The aggregate intrinsic value of options outstanding at December 31, 2019, 2018 and 2017 was $7.1 million, $9.4 million and $18.5 million, respectively. The aggregate intrinsic value of options exercisable at December 31, 2019, 2018 and 2017 was $7.1 million, $8.5 million and $14.9 million, respectively. The fair value used for calculating intrinsic values was $41.21, $36.54 and $40.01 at December 31, 2019, 2018 and 2017, respectively.</w:t>
      </w:r>
    </w:p>
    <w:p>
      <w:pPr>
        <w:spacing w:after="0" w:line="50" w:lineRule="exact"/>
        <w:rPr>
          <w:sz w:val="20"/>
          <w:szCs w:val="20"/>
          <w:color w:val="auto"/>
        </w:rPr>
      </w:pPr>
    </w:p>
    <w:p>
      <w:pPr>
        <w:jc w:val="both"/>
        <w:ind w:right="340" w:firstLine="351"/>
        <w:spacing w:after="0" w:line="312" w:lineRule="auto"/>
        <w:rPr>
          <w:sz w:val="20"/>
          <w:szCs w:val="20"/>
          <w:color w:val="auto"/>
        </w:rPr>
      </w:pPr>
      <w:r>
        <w:rPr>
          <w:rFonts w:ascii="Arial" w:cs="Arial" w:eastAsia="Arial" w:hAnsi="Arial"/>
          <w:sz w:val="16"/>
          <w:szCs w:val="16"/>
          <w:color w:val="auto"/>
        </w:rPr>
        <w:t>The weighted-average remaining contractual life of the options outstanding and options exercisable at December 31, 2019 is 2.9 years and 2.8 years, respectively. There were no options granted in 2019 or 2018. The weighted-average fair value of options granted during 2017 was $8.21. The value of the options granted was estimated at the date of grant using the Black-Scholes-Merton option pricing model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4"/>
              </w:rPr>
              <w:t>Year Ended December</w:t>
            </w:r>
          </w:p>
        </w:tc>
      </w:tr>
      <w:tr>
        <w:trPr>
          <w:trHeight w:val="186"/>
        </w:trPr>
        <w:tc>
          <w:tcPr>
            <w:tcW w:w="7100" w:type="dxa"/>
            <w:vAlign w:val="bottom"/>
          </w:tcPr>
          <w:p>
            <w:pPr>
              <w:spacing w:after="0"/>
              <w:rPr>
                <w:sz w:val="16"/>
                <w:szCs w:val="16"/>
                <w:color w:val="auto"/>
              </w:rPr>
            </w:pPr>
          </w:p>
        </w:tc>
        <w:tc>
          <w:tcPr>
            <w:tcW w:w="1480" w:type="dxa"/>
            <w:vAlign w:val="bottom"/>
          </w:tcPr>
          <w:p>
            <w:pPr>
              <w:jc w:val="right"/>
              <w:ind w:right="578"/>
              <w:spacing w:after="0"/>
              <w:rPr>
                <w:sz w:val="20"/>
                <w:szCs w:val="20"/>
                <w:color w:val="auto"/>
              </w:rPr>
            </w:pPr>
            <w:r>
              <w:rPr>
                <w:rFonts w:ascii="Arial" w:cs="Arial" w:eastAsia="Arial" w:hAnsi="Arial"/>
                <w:sz w:val="14"/>
                <w:szCs w:val="14"/>
                <w:b w:val="1"/>
                <w:bCs w:val="1"/>
                <w:color w:val="auto"/>
              </w:rPr>
              <w:t>31,</w:t>
            </w:r>
          </w:p>
        </w:tc>
      </w:tr>
      <w:tr>
        <w:trPr>
          <w:trHeight w:val="209"/>
        </w:trPr>
        <w:tc>
          <w:tcPr>
            <w:tcW w:w="7100" w:type="dxa"/>
            <w:vAlign w:val="bottom"/>
          </w:tcPr>
          <w:p>
            <w:pPr>
              <w:spacing w:after="0"/>
              <w:rPr>
                <w:sz w:val="18"/>
                <w:szCs w:val="18"/>
                <w:color w:val="auto"/>
              </w:rPr>
            </w:pPr>
          </w:p>
        </w:tc>
        <w:tc>
          <w:tcPr>
            <w:tcW w:w="14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7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Expected share price volatility</w:t>
            </w:r>
          </w:p>
        </w:tc>
        <w:tc>
          <w:tcPr>
            <w:tcW w:w="1480" w:type="dxa"/>
            <w:vAlign w:val="bottom"/>
          </w:tcPr>
          <w:p>
            <w:pPr>
              <w:jc w:val="right"/>
              <w:spacing w:after="0"/>
              <w:rPr>
                <w:sz w:val="20"/>
                <w:szCs w:val="20"/>
                <w:color w:val="auto"/>
              </w:rPr>
            </w:pPr>
            <w:r>
              <w:rPr>
                <w:rFonts w:ascii="Arial" w:cs="Arial" w:eastAsia="Arial" w:hAnsi="Arial"/>
                <w:sz w:val="18"/>
                <w:szCs w:val="18"/>
                <w:color w:val="auto"/>
              </w:rPr>
              <w:t>27.39%</w:t>
            </w:r>
          </w:p>
        </w:tc>
      </w:tr>
      <w:tr>
        <w:trPr>
          <w:trHeight w:val="27"/>
        </w:trPr>
        <w:tc>
          <w:tcPr>
            <w:tcW w:w="7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4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5.0 years</w:t>
            </w:r>
          </w:p>
        </w:tc>
      </w:tr>
      <w:tr>
        <w:trPr>
          <w:trHeight w:val="27"/>
        </w:trPr>
        <w:tc>
          <w:tcPr>
            <w:tcW w:w="7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60" w:firstLine="351"/>
        <w:spacing w:after="0" w:line="257" w:lineRule="auto"/>
        <w:rPr>
          <w:sz w:val="20"/>
          <w:szCs w:val="20"/>
          <w:color w:val="auto"/>
        </w:rPr>
      </w:pPr>
      <w:r>
        <w:rPr>
          <w:rFonts w:ascii="Arial" w:cs="Arial" w:eastAsia="Arial" w:hAnsi="Arial"/>
          <w:sz w:val="18"/>
          <w:szCs w:val="18"/>
          <w:color w:val="auto"/>
        </w:rPr>
        <w:t>The risk-free interest rate assumption is based on the five-year U.S. Treasury rate at the date of the grant. The dividend yield assumption was based upon dividends expected to be declared over the life of the options at the date of grant. The share price volatility assumption was based upon the Company's 100-day realized volatility. The expected life is determined using the simplified method, which factors in the average of the midpoint and the contractual term of each tranche in determining a single expected life. The simplified method is used as the Company does not have sufficient historical exercise data to estimate an expected term.</w:t>
      </w:r>
    </w:p>
    <w:p>
      <w:pPr>
        <w:spacing w:after="0" w:line="80" w:lineRule="exact"/>
        <w:rPr>
          <w:sz w:val="20"/>
          <w:szCs w:val="20"/>
          <w:color w:val="auto"/>
        </w:rPr>
      </w:pPr>
    </w:p>
    <w:p>
      <w:pPr>
        <w:ind w:right="20" w:firstLine="351"/>
        <w:spacing w:after="0" w:line="257" w:lineRule="auto"/>
        <w:rPr>
          <w:sz w:val="20"/>
          <w:szCs w:val="20"/>
          <w:color w:val="auto"/>
        </w:rPr>
      </w:pPr>
      <w:r>
        <w:rPr>
          <w:rFonts w:ascii="Arial" w:cs="Arial" w:eastAsia="Arial" w:hAnsi="Arial"/>
          <w:sz w:val="18"/>
          <w:szCs w:val="18"/>
          <w:color w:val="auto"/>
        </w:rPr>
        <w:t>The Black-Scholes-Merton option pricing model was developed for use in estimating the fair value of traded options that have no vesting restrictions and are fully transferable. In addition, option valuation models require the input of highly subjective assumptions including expected share price volatility. Because the Company’s share options have characteristics significantly different from those of traded options and because changes in the subjective input assumptions can materially affect the fair value estimate, the existing models do not necessarily provide a reliable single measure of the fair value of such share options.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RSU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Unvested, beginning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300,142</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196,800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227,481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137,034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(134,407)</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(132,764)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41.32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Unvested, end of year</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340,368</w:t>
            </w:r>
          </w:p>
        </w:tc>
        <w:tc>
          <w:tcPr>
            <w:tcW w:w="60" w:type="dxa"/>
            <w:vAlign w:val="bottom"/>
            <w:tcBorders>
              <w:top w:val="single" w:sz="8" w:color="auto"/>
              <w:bottom w:val="single" w:sz="8" w:color="auto"/>
            </w:tcBorders>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300,142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178,882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351"/>
        <w:spacing w:after="0" w:line="257" w:lineRule="auto"/>
        <w:rPr>
          <w:sz w:val="20"/>
          <w:szCs w:val="20"/>
          <w:color w:val="auto"/>
        </w:rPr>
      </w:pPr>
      <w:r>
        <w:rPr>
          <w:rFonts w:ascii="Arial" w:cs="Arial" w:eastAsia="Arial" w:hAnsi="Arial"/>
          <w:sz w:val="18"/>
          <w:szCs w:val="18"/>
          <w:color w:val="auto"/>
        </w:rPr>
        <w:t>The vesting period of RSUs granted to employees range from one to five years and vest ratably over the respective vesting period, with the majority vesting in three years. All RSUs granted to date to non-employee directors had a one year vesting period. The total fair value of shares vested in 2019, 2018 and 2017 was $5.3 million, $3.2 million and $5.5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17" w:lineRule="exact"/>
        <w:rPr>
          <w:sz w:val="20"/>
          <w:szCs w:val="20"/>
          <w:color w:val="auto"/>
        </w:rPr>
      </w:pPr>
    </w:p>
    <w:p>
      <w:pPr>
        <w:ind w:right="580" w:firstLine="351"/>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center"/>
              <w:ind w:right="259"/>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670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7,178</w:t>
            </w: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9"/>
              <w:spacing w:after="0"/>
              <w:rPr>
                <w:sz w:val="20"/>
                <w:szCs w:val="20"/>
                <w:color w:val="auto"/>
              </w:rPr>
            </w:pPr>
            <w:r>
              <w:rPr>
                <w:rFonts w:ascii="Arial" w:cs="Arial" w:eastAsia="Arial" w:hAnsi="Arial"/>
                <w:sz w:val="18"/>
                <w:szCs w:val="18"/>
                <w:color w:val="auto"/>
              </w:rPr>
              <w:t>6,228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7,688</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U.S. tax benefit on share based compensation expense</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872</w:t>
            </w: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9"/>
              <w:spacing w:after="0"/>
              <w:rPr>
                <w:sz w:val="20"/>
                <w:szCs w:val="20"/>
                <w:color w:val="auto"/>
              </w:rPr>
            </w:pPr>
            <w:r>
              <w:rPr>
                <w:rFonts w:ascii="Arial" w:cs="Arial" w:eastAsia="Arial" w:hAnsi="Arial"/>
                <w:sz w:val="18"/>
                <w:szCs w:val="18"/>
                <w:color w:val="auto"/>
              </w:rPr>
              <w:t>716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2,093</w:t>
            </w:r>
          </w:p>
        </w:tc>
      </w:tr>
    </w:tbl>
    <w:p>
      <w:pPr>
        <w:spacing w:after="0" w:line="337"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As of December 31, 2019, the Company had $8.6 million of unrecognized share based compensation expense expected to be charged to earnings over a weighted-average period of 1.7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48"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Under current Bermuda law, James River Group Holdings, Ltd. and its Bermuda based subsidiaries, JRG Re and Carolina Re, are not required to pay any Bermuda taxes on their income or capital gains. Those companies have received an undertaking from the Minister of Finance in Bermuda that, in the event of any taxes being imposed, the Company will be exempt from taxation in Bermuda until March 2035.</w:t>
      </w:r>
    </w:p>
    <w:p>
      <w:pPr>
        <w:spacing w:after="0" w:line="73" w:lineRule="exact"/>
        <w:rPr>
          <w:sz w:val="20"/>
          <w:szCs w:val="20"/>
          <w:color w:val="auto"/>
        </w:rPr>
      </w:pPr>
    </w:p>
    <w:p>
      <w:pPr>
        <w:ind w:right="20" w:firstLine="351"/>
        <w:spacing w:after="0" w:line="264" w:lineRule="auto"/>
        <w:rPr>
          <w:sz w:val="20"/>
          <w:szCs w:val="20"/>
          <w:color w:val="auto"/>
        </w:rPr>
      </w:pPr>
      <w:r>
        <w:rPr>
          <w:rFonts w:ascii="Arial" w:cs="Arial" w:eastAsia="Arial" w:hAnsi="Arial"/>
          <w:sz w:val="18"/>
          <w:szCs w:val="18"/>
          <w:color w:val="auto"/>
        </w:rPr>
        <w:t>Distributions from the Company’s U.S. subsidiaries to its U.K. intermediate holding company, James River UK, are generally subject to a 5% dividend withholding tax. James River Group paid a $21.1 million dividend to James River UK during 2017 and remitted $1.1 million of dividend withholding taxes to the U.S. tax authorities for the year ending December 31, 2017. No similar distributions occurred in 2019 or 2018.</w:t>
      </w:r>
    </w:p>
    <w:p>
      <w:pPr>
        <w:spacing w:after="0" w:line="73" w:lineRule="exact"/>
        <w:rPr>
          <w:sz w:val="20"/>
          <w:szCs w:val="20"/>
          <w:color w:val="auto"/>
        </w:rPr>
      </w:pPr>
    </w:p>
    <w:p>
      <w:pPr>
        <w:ind w:right="100" w:firstLine="351"/>
        <w:spacing w:after="0" w:line="286" w:lineRule="auto"/>
        <w:rPr>
          <w:sz w:val="20"/>
          <w:szCs w:val="20"/>
          <w:color w:val="auto"/>
        </w:rPr>
      </w:pPr>
      <w:r>
        <w:rPr>
          <w:rFonts w:ascii="Arial" w:cs="Arial" w:eastAsia="Arial" w:hAnsi="Arial"/>
          <w:sz w:val="17"/>
          <w:szCs w:val="17"/>
          <w:color w:val="auto"/>
        </w:rPr>
        <w:t>The Company’s U.S. subsidiaries are subject to federal, state and local corporate income taxes, and other taxes applicable to U.S. corporations. In addition, Carolina Re is subject to Federal income taxes as a result of its irrevocable election to be taxed as a U.S. domestic corporation under Section 953(d) of the Code. The Company’s U.S.-domiciled subsidiaries and Carolina Re file a consolidated U.S. federal income tax return.</w:t>
      </w:r>
    </w:p>
    <w:p>
      <w:pPr>
        <w:spacing w:after="0" w:line="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U.S.-based subsidiaries are generally no longer subject to income tax examination by U.S. income tax authorities for the tax years ending before January 1, 2016.</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results for 2017 reflect provisional amounts related to the December 2017 enactment of the Tax Act.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40" w:firstLine="351"/>
        <w:spacing w:after="0" w:line="270" w:lineRule="auto"/>
        <w:rPr>
          <w:sz w:val="20"/>
          <w:szCs w:val="20"/>
          <w:color w:val="auto"/>
        </w:rPr>
      </w:pPr>
      <w:r>
        <w:rPr>
          <w:rFonts w:ascii="Arial" w:cs="Arial" w:eastAsia="Arial" w:hAnsi="Arial"/>
          <w:sz w:val="17"/>
          <w:szCs w:val="17"/>
          <w:color w:val="auto"/>
        </w:rPr>
        <w:t>The Company did not record any amounts related to the changes in loss reserve discounting required by the Tax Act during 2017. These changes required the Internal Revenue Service to publish new discount factors based on loss payment patterns and interest rates determined under the Tax Act. During 2018, factors were published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 regulations were finalized in 2019, and the remaining reserve adjustment at December 31, 2019 based on these final regulations is $5.7 million to be recognized over the next six years at $950,000 per year. There were other provisions of the Tax Act for which the Company finalized its estimates during 2018, and the impact of these was immaterial.</w:t>
      </w:r>
    </w:p>
    <w:p>
      <w:pPr>
        <w:spacing w:after="0" w:line="74"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color w:val="auto"/>
        </w:rPr>
        <w:t>The expected income tax provision computed from pre-tax income at the weighted-average tax rate has been calculated as the sum of the pre-tax income in each jurisdiction multiplied by that jurisdiction’s applicable Federal statutory tax rate. Federal statutory tax rates of 0% and 21% have been used in 2019 and 2018 for Bermuda and the U.S., respectively. A Federal statutory rate of 35% has been used for the U.S. in 2017. U.S. deferred taxes were remeasured at 21% at December 31, 2017. U.S. income before Federal income taxes was $70.7 million, $37.5 million, and $50.1 million for the years ending December 31, 2019, 2018, and 2017, respectively. A reconciliation of the difference between the Company’s Federal income tax provision on U.S. income and the expected Federal tax provision on U.S. income using the weighted-average tax rate as well as a reconciliation to total tax expense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90"/>
        </w:trPr>
        <w:tc>
          <w:tcPr>
            <w:tcW w:w="4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4800" w:type="dxa"/>
            <w:vAlign w:val="bottom"/>
          </w:tcPr>
          <w:p>
            <w:pPr>
              <w:ind w:left="40"/>
              <w:spacing w:after="0"/>
              <w:rPr>
                <w:sz w:val="20"/>
                <w:szCs w:val="20"/>
                <w:color w:val="auto"/>
              </w:rPr>
            </w:pPr>
            <w:r>
              <w:rPr>
                <w:rFonts w:ascii="Arial" w:cs="Arial" w:eastAsia="Arial" w:hAnsi="Arial"/>
                <w:sz w:val="18"/>
                <w:szCs w:val="18"/>
                <w:color w:val="auto"/>
              </w:rPr>
              <w:t>Federal income tax expense at applicable statutory rates</w:t>
            </w:r>
          </w:p>
        </w:tc>
        <w:tc>
          <w:tcPr>
            <w:tcW w:w="2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14,843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17,541</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investment income</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Dividends received deduction</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on share based compensation</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Effect of tax rate reduction on deferred tax liability</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(3,498)</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Federal income tax expense</w:t>
            </w:r>
          </w:p>
        </w:tc>
        <w:tc>
          <w:tcPr>
            <w:tcW w:w="22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10,461</w:t>
            </w:r>
          </w:p>
        </w:tc>
      </w:tr>
      <w:tr>
        <w:trPr>
          <w:trHeight w:val="27"/>
        </w:trPr>
        <w:tc>
          <w:tcPr>
            <w:tcW w:w="4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 income tax expense (benefit)</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U.S. dividend withholding tax</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1,053</w:t>
            </w:r>
          </w:p>
        </w:tc>
      </w:tr>
      <w:tr>
        <w:trPr>
          <w:trHeight w:val="27"/>
        </w:trPr>
        <w:tc>
          <w:tcPr>
            <w:tcW w:w="48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43"/>
        </w:trPr>
        <w:tc>
          <w:tcPr>
            <w:tcW w:w="4800" w:type="dxa"/>
            <w:vAlign w:val="bottom"/>
          </w:tcPr>
          <w:p>
            <w:pPr>
              <w:spacing w:after="0"/>
              <w:rPr>
                <w:sz w:val="24"/>
                <w:szCs w:val="24"/>
                <w:color w:val="auto"/>
              </w:rPr>
            </w:pPr>
          </w:p>
        </w:tc>
        <w:tc>
          <w:tcPr>
            <w:tcW w:w="2620" w:type="dxa"/>
            <w:vAlign w:val="bottom"/>
            <w:gridSpan w:val="2"/>
          </w:tcPr>
          <w:p>
            <w:pPr>
              <w:jc w:val="right"/>
              <w:ind w:right="1450"/>
              <w:spacing w:after="0"/>
              <w:rPr>
                <w:sz w:val="20"/>
                <w:szCs w:val="20"/>
                <w:color w:val="auto"/>
              </w:rPr>
            </w:pPr>
            <w:r>
              <w:rPr>
                <w:rFonts w:ascii="Arial" w:cs="Arial" w:eastAsia="Arial" w:hAnsi="Arial"/>
                <w:sz w:val="18"/>
                <w:szCs w:val="18"/>
                <w:color w:val="auto"/>
              </w:rPr>
              <w:t>F-40</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320" w:firstLine="351"/>
        <w:spacing w:after="0" w:line="277" w:lineRule="auto"/>
        <w:rPr>
          <w:sz w:val="20"/>
          <w:szCs w:val="20"/>
          <w:color w:val="auto"/>
        </w:rPr>
      </w:pPr>
      <w:r>
        <w:rPr>
          <w:rFonts w:ascii="Arial" w:cs="Arial" w:eastAsia="Arial" w:hAnsi="Arial"/>
          <w:sz w:val="18"/>
          <w:szCs w:val="18"/>
          <w:color w:val="auto"/>
        </w:rPr>
        <w:t>The significant components of net deferred tax assets (liabilities) at the corporate income tax rate of 21% for the years ended December 31, 2019 and 2018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compensation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 for losses and loss adjustment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5,711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1,903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unrealized gains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9,316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8,582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27,071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Deferred income taxes have not been accrued with respect to certain undistributed earnings of foreign subsidiaries. If the earnings were to be distributed, as dividends or otherwise, such amounts may be subject to withholding taxation in the jurisdiction of the paying entity. The Company asserts that U.S. unremitted earnings as of December 31, 2019 will be permanently reinvested in the U.S. and, accordingly, no provision for withholding taxes arising in respect to U.S. unremitted earnings has been made.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had no reserve for future tax contingencies or liabilities (“unrecognized tax benefits”) at December 31, 2019 or 2018.</w:t>
      </w:r>
    </w:p>
    <w:p>
      <w:pPr>
        <w:spacing w:after="0" w:line="11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The U.S. imposes a 1% excise tax on reinsurance premiums paid to non-U.S. reinsurers with respect to risks located in the U.S. The rates of tax are established based on the nature of the risk, unless reduced by an applicable U.S. tax treaty. For the years ended December 31, 2019, 2018, and 2017, the Company paid $586,000, $823,000, and $3.4 million, respectively, of federal excise taxes on its intercompany reinsurance transactions. The Company also paid excise taxes of $1.5 million, $2.1 million, and $2.2 million for the years ended December 31, 2019, 2018, and 2017, respectively, on written premiums assumed from third-party insurers with respect to risks located in the U.S. These excise taxes are reflected as “other operating expenses” in the Company’s consolidated income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Operating Expenses and Other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83,893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116,001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underwriting expenses of the insurance segments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59,351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63,029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55,662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170,908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201,035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196,993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6" w:right="239" w:bottom="1440" w:gutter="0" w:footer="0" w:header="0"/>
          <w:type w:val="continuous"/>
        </w:sectPr>
      </w:pPr>
    </w:p>
    <w:bookmarkStart w:id="149" w:name="page150"/>
    <w:bookmarkEnd w:id="14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James River Group Holdings, LTD. and Subsidiaries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Other expenses consist of the following: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8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9" w:lineRule="exact"/>
        <w:rPr>
          <w:sz w:val="20"/>
          <w:szCs w:val="20"/>
          <w:color w:val="auto"/>
        </w:rPr>
      </w:pPr>
    </w:p>
    <w:p>
      <w:pPr>
        <w:jc w:val="center"/>
        <w:ind w:right="3880"/>
        <w:spacing w:after="0"/>
        <w:rPr>
          <w:sz w:val="20"/>
          <w:szCs w:val="20"/>
          <w:color w:val="auto"/>
        </w:rPr>
      </w:pPr>
      <w:r>
        <w:rPr>
          <w:rFonts w:ascii="Arial" w:cs="Arial" w:eastAsia="Arial" w:hAnsi="Arial"/>
          <w:sz w:val="16"/>
          <w:szCs w:val="16"/>
          <w:b w:val="1"/>
          <w:bCs w:val="1"/>
          <w:color w:val="auto"/>
        </w:rPr>
        <w:t>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1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23495</wp:posOffset>
            </wp:positionV>
            <wp:extent cx="29502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3160" w:space="720"/>
            <w:col w:w="7540"/>
          </w:cols>
          <w:pgMar w:left="240" w:top="126" w:right="239" w:bottom="1440" w:gutter="0" w:footer="0" w:header="0"/>
          <w:type w:val="continuous"/>
        </w:sect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severance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6"/>
              </w:rPr>
              <w:t>Income on leased building the Company was previously deemed to own for accounting</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00" w:type="dxa"/>
            <w:vAlign w:val="bottom"/>
          </w:tcPr>
          <w:p>
            <w:pPr>
              <w:ind w:left="200"/>
              <w:spacing w:after="0"/>
              <w:rPr>
                <w:sz w:val="20"/>
                <w:szCs w:val="20"/>
                <w:color w:val="auto"/>
              </w:rPr>
            </w:pPr>
            <w:r>
              <w:rPr>
                <w:rFonts w:ascii="Arial" w:cs="Arial" w:eastAsia="Arial" w:hAnsi="Arial"/>
                <w:sz w:val="18"/>
                <w:szCs w:val="18"/>
                <w:color w:val="auto"/>
              </w:rPr>
              <w:t>purposes</w:t>
            </w:r>
          </w:p>
        </w:tc>
        <w:tc>
          <w:tcPr>
            <w:tcW w:w="9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6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and professional services related to secondary share offerings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105</w:t>
            </w:r>
          </w:p>
        </w:tc>
      </w:tr>
      <w:tr>
        <w:trPr>
          <w:trHeight w:val="27"/>
        </w:trPr>
        <w:tc>
          <w:tcPr>
            <w:tcW w:w="6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intangible asset</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539</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Benefits</w:t>
      </w:r>
    </w:p>
    <w:p>
      <w:pPr>
        <w:spacing w:after="0" w:line="148" w:lineRule="exact"/>
        <w:rPr>
          <w:sz w:val="20"/>
          <w:szCs w:val="20"/>
          <w:color w:val="auto"/>
        </w:rPr>
      </w:pPr>
    </w:p>
    <w:p>
      <w:pPr>
        <w:ind w:right="140" w:firstLine="351"/>
        <w:spacing w:after="0" w:line="257" w:lineRule="auto"/>
        <w:rPr>
          <w:sz w:val="20"/>
          <w:szCs w:val="20"/>
          <w:color w:val="auto"/>
        </w:rPr>
      </w:pPr>
      <w:r>
        <w:rPr>
          <w:rFonts w:ascii="Arial" w:cs="Arial" w:eastAsia="Arial" w:hAnsi="Arial"/>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2019, 2018, and 2017, the expense associated with the Savings Plans totaled $3.2 million, $2.9 million, and $2.5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148" w:lineRule="exact"/>
        <w:rPr>
          <w:sz w:val="20"/>
          <w:szCs w:val="20"/>
          <w:color w:val="auto"/>
        </w:rPr>
      </w:pPr>
    </w:p>
    <w:p>
      <w:pPr>
        <w:ind w:right="240" w:firstLine="351"/>
        <w:spacing w:after="0" w:line="277" w:lineRule="auto"/>
        <w:rPr>
          <w:sz w:val="20"/>
          <w:szCs w:val="20"/>
          <w:color w:val="auto"/>
        </w:rPr>
      </w:pPr>
      <w:r>
        <w:rPr>
          <w:rFonts w:ascii="Arial" w:cs="Arial" w:eastAsia="Arial" w:hAnsi="Arial"/>
          <w:sz w:val="18"/>
          <w:szCs w:val="18"/>
          <w:color w:val="auto"/>
        </w:rPr>
        <w:t>The Company is a party to various lawsuits arising in the ordinary course of its operations. The Company believes that the ultimate resolution of these matters will not materially impact its financial position, cash flows, or results of operations.</w:t>
      </w:r>
    </w:p>
    <w:p>
      <w:pPr>
        <w:spacing w:after="0" w:line="62"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color w:val="auto"/>
        </w:rPr>
        <w:t>The Company’s reinsurance subsidiary, JRG Re, entered into three letter of credit facilities with banks as security to third-party reinsureds on reinsurance assumed by JRG Re. JRG Re has established custodial accounts to secure these letters of credit. Under a $75.0 million facility, $22.7 million of letters of credit were issued through December 31, 2019 which were secured by deposits of $35.9 million. Under the 2013 Facility, $77.6 million of letters of credit were issued through December 31, 2019 which were secured by deposits of $93.9 million. Under the 2017 Facility, $21.9 million of letters of credit were issued through December 31, 2019 which were secured by deposits of $51.5 million. JRG Re has also established trust accounts to secure its obligations to selected reinsureds. The total amount deposited in the trust accounts for the benefit of third-party reinsureds was $283.2 million at December 31, 2019.</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December 31, 2019, the Company held collateral funds of $1,199.2 million. The funds withdrawn from the trust account, currently invested in short term U.S. Treasury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6" w:right="239" w:bottom="1440" w:gutter="0" w:footer="0" w:header="0"/>
          <w:type w:val="continuous"/>
        </w:sectPr>
      </w:pPr>
    </w:p>
    <w:bookmarkStart w:id="150" w:name="page151"/>
    <w:bookmarkEnd w:id="15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other comprehensive income (loss):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arising during the period, before U.S.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arising during the period, net of U.S.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reclassification adjustment:</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U.S.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investment gains (losses) realized in net income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(22,203)</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9,219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to the $1.1 million of net realized investment gains and $554,000 and $835,000 of net realized investment losses on available-for-sale fixed maturity securities for the years ended December 31, 2019, 2018, and 2017, the Company recognized $10.1 million of net realized and unrealized investment losses, $1.1 million of net realized and unrealized investment gains, and $1.2 million of net realized and unrealized investment losses in the respective years on its investments in bank loan participations. Net realized and unrealized gains and losses on investments for 2019 and 2018 also include $6.3 million of net gains and $6.0 million of net losses, respectively, for the change in net unrealized gains on equity securities in accordance with the Company's adoption of ASU 2016-01 effective January 1,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48" w:lineRule="exact"/>
        <w:rPr>
          <w:sz w:val="20"/>
          <w:szCs w:val="20"/>
          <w:color w:val="auto"/>
        </w:rPr>
      </w:pPr>
    </w:p>
    <w:p>
      <w:pPr>
        <w:ind w:right="80" w:firstLine="351"/>
        <w:spacing w:after="0" w:line="271" w:lineRule="auto"/>
        <w:rPr>
          <w:sz w:val="20"/>
          <w:szCs w:val="20"/>
          <w:color w:val="auto"/>
        </w:rPr>
      </w:pPr>
      <w:r>
        <w:rPr>
          <w:rFonts w:ascii="Arial" w:cs="Arial" w:eastAsia="Arial" w:hAnsi="Arial"/>
          <w:sz w:val="17"/>
          <w:szCs w:val="17"/>
          <w:color w:val="auto"/>
        </w:rPr>
        <w:t>The Company has four reportable segments, three of which are separately managed business units and the fourth (“Corporate and Other”) includes the Company’s remaining operations. The Excess and Surplus Lines segment primarily offers commercial excess and surplus lines liability and excess property insurance products. The Specialty Admitted Insurance segment offers workers’ compensation insurance coverage as well as specialty admitted fronting and program business. The Casualty Reinsurance segment offers commercial liability and non-catastrophe property reinsurance to U.S. insurance companies and to the Company’s U.S.-based insurance subsidiaries. The Corporate and Other segment consists of certain management and treasury activities of James River Group, James River UK, and JRG Holdings as well as interest expense associated with senior debt and Junior Subordinated Debt, and investment income from investments classified as trading or other invested assets. The accounting policies of the reportable segments are the same as those described in the summary of significant accounting policies.</w:t>
      </w:r>
    </w:p>
    <w:p>
      <w:pPr>
        <w:spacing w:after="0" w:line="7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Segment revenues for each reportable segment consist of net earned premiums, net investment income, and realized and unrealized (losses) gains on investments. Segment profit (loss) for each reportable segment is measured by underwriting profit (loss), which is generally defined as net earned premiums less losses and loss adjustment expenses and other operating expenses of the operating segments. Gross fee income of the Excess and Surplus Lines segment is included in that segment’s underwriting profit (loss). Gross fee income of $9.1 million, $13.9 million and $17.0 million was included in underwriting profit for the years ended December 31, 2019, 2018 and 2017, respectively. Segment results are reported prior to the effects of the intercompany reinsurance agreements between the Company’s insurance subsidiaries. All gross written premiums and net earned premiums for all periods presented were generated from policies issued to U.S. based insureds.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6" w:right="239" w:bottom="1440" w:gutter="0" w:footer="0" w:header="0"/>
        </w:sectPr>
      </w:pPr>
    </w:p>
    <w:bookmarkStart w:id="151" w:name="page152"/>
    <w:bookmarkEnd w:id="1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Excess and</w:t>
            </w:r>
          </w:p>
        </w:tc>
        <w:tc>
          <w:tcPr>
            <w:tcW w:w="460" w:type="dxa"/>
            <w:vAlign w:val="bottom"/>
          </w:tcPr>
          <w:p>
            <w:pPr>
              <w:spacing w:after="0"/>
              <w:rPr>
                <w:sz w:val="14"/>
                <w:szCs w:val="14"/>
                <w:color w:val="auto"/>
              </w:rPr>
            </w:pPr>
          </w:p>
        </w:tc>
        <w:tc>
          <w:tcPr>
            <w:tcW w:w="106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Specialty</w:t>
            </w:r>
          </w:p>
        </w:tc>
        <w:tc>
          <w:tcPr>
            <w:tcW w:w="300" w:type="dxa"/>
            <w:vAlign w:val="bottom"/>
          </w:tcPr>
          <w:p>
            <w:pPr>
              <w:spacing w:after="0"/>
              <w:rPr>
                <w:sz w:val="14"/>
                <w:szCs w:val="14"/>
                <w:color w:val="auto"/>
              </w:rPr>
            </w:pPr>
          </w:p>
        </w:tc>
        <w:tc>
          <w:tcPr>
            <w:tcW w:w="12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2"/>
              </w:rPr>
              <w:t>Casualty</w:t>
            </w:r>
          </w:p>
        </w:tc>
        <w:tc>
          <w:tcPr>
            <w:tcW w:w="320" w:type="dxa"/>
            <w:vAlign w:val="bottom"/>
          </w:tcPr>
          <w:p>
            <w:pPr>
              <w:spacing w:after="0"/>
              <w:rPr>
                <w:sz w:val="14"/>
                <w:szCs w:val="14"/>
                <w:color w:val="auto"/>
              </w:rPr>
            </w:pPr>
          </w:p>
        </w:tc>
        <w:tc>
          <w:tcPr>
            <w:tcW w:w="112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Corporate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8"/>
              </w:rPr>
              <w:t>Admitted</w:t>
            </w: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and</w:t>
            </w:r>
          </w:p>
        </w:tc>
        <w:tc>
          <w:tcPr>
            <w:tcW w:w="42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Surplus Lines</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0"/>
              </w:rPr>
              <w:t>Insurance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Reinsurance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Other</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32"/>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and for the Year Ended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922,320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387,642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160,773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earned premiums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625,528</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54,338</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143,880</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823,746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657,501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61,241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183,700</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907,125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21,358</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3,802</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46,325</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4,167</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Underwriting profit (loss) of operating segments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19,157</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5,913</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(7,161)</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2,481,934</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786,433</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1,699,473</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56,565</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5,024,405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5"/>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and for the Year Ended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656,538</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374,346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135,889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1,166,773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earned premiums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555,684</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55,146</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204,568</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815,398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580,785</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243,178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885,599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14,456</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3,262</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38,838</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4,700</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Underwriting profit of operating segments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42,834</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6,972</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5,103</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972,111</w:t>
            </w:r>
          </w:p>
        </w:tc>
        <w:tc>
          <w:tcPr>
            <w:tcW w:w="4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633,689</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1,453,754</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77,222</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3,136,776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0"/>
        </w:trPr>
        <w:tc>
          <w:tcPr>
            <w:tcW w:w="4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As of and for the Year Ended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530,120</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316,430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235,355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1,081,905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463,521</w:t>
            </w:r>
          </w:p>
        </w:tc>
        <w:tc>
          <w:tcPr>
            <w:tcW w:w="4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68,110</w:t>
            </w:r>
          </w:p>
        </w:tc>
        <w:tc>
          <w:tcPr>
            <w:tcW w:w="3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209,478</w:t>
            </w:r>
          </w:p>
        </w:tc>
        <w:tc>
          <w:tcPr>
            <w:tcW w:w="3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741,109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493,853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70,366</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240,751</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12,655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15,014</w:t>
            </w:r>
          </w:p>
        </w:tc>
        <w:tc>
          <w:tcPr>
            <w:tcW w:w="4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2,532</w:t>
            </w:r>
          </w:p>
        </w:tc>
        <w:tc>
          <w:tcPr>
            <w:tcW w:w="3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31,507</w:t>
            </w:r>
          </w:p>
        </w:tc>
        <w:tc>
          <w:tcPr>
            <w:tcW w:w="3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12,066</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8,974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29,693</w:t>
            </w:r>
          </w:p>
        </w:tc>
        <w:tc>
          <w:tcPr>
            <w:tcW w:w="4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3,166</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(1,765)</w:t>
            </w:r>
          </w:p>
        </w:tc>
        <w:tc>
          <w:tcPr>
            <w:tcW w:w="3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31,094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843,486</w:t>
            </w:r>
          </w:p>
        </w:tc>
        <w:tc>
          <w:tcPr>
            <w:tcW w:w="4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439,416</w:t>
            </w:r>
          </w:p>
        </w:tc>
        <w:tc>
          <w:tcPr>
            <w:tcW w:w="3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1,379,866</w:t>
            </w:r>
          </w:p>
        </w:tc>
        <w:tc>
          <w:tcPr>
            <w:tcW w:w="3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93,927</w:t>
            </w:r>
          </w:p>
        </w:tc>
        <w:tc>
          <w:tcPr>
            <w:tcW w:w="4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2,756,695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3"/>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F-44</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the underwriting profit (loss) of operating segments by individual segment to income before taxes: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profit (loss) of the operating segments: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19,157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42,834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29,693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Specialty Admitted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Casualty Reinsurance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underwriting profit of operating segments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(25,330)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(loss)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61,256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61,119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70,838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55,145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351"/>
        <w:spacing w:after="0" w:line="308" w:lineRule="auto"/>
        <w:rPr>
          <w:sz w:val="20"/>
          <w:szCs w:val="20"/>
          <w:color w:val="auto"/>
        </w:rPr>
      </w:pPr>
      <w:r>
        <w:rPr>
          <w:rFonts w:ascii="Arial" w:cs="Arial" w:eastAsia="Arial" w:hAnsi="Arial"/>
          <w:sz w:val="17"/>
          <w:szCs w:val="17"/>
          <w:color w:val="auto"/>
        </w:rPr>
        <w:t>The Company currently has 15 underwriting divisions, including 13 in the Excess and Surplus Lines segment, one in the Specialty Admitted Insurance segment, and one in the Casualty Reinsurance segment. Each underwriting division focuses on a specific industry group or coverage.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written premiums by segment and underwriting division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Excess Casualty</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118,954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66,452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51,160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Casualty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Manufacturers and Contractors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79,160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85,719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29,704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Excess Property</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16,963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14,447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Allied Health</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Life Sciences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16,636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 Business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Environmental</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Sports and Entertainment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Professionals</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Excess and Surplus Lines segment</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656,538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Insurance segment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Casualty Reinsurance segment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135,889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235,355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1,470,735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1,166,773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1,081,905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-205105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-205105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The Company does business with three brokers that generated $472.6 million, $115.2 million and $98.6 million of gross written premiums for the Excess and Surplus Lines segment for the year ended December 31, 2019, representing 32.1% (BB&amp;T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6" w:right="239" w:bottom="1440" w:gutter="0" w:footer="0" w:header="0"/>
        </w:sectPr>
      </w:pPr>
    </w:p>
    <w:bookmarkStart w:id="153" w:name="page154"/>
    <w:bookmarkEnd w:id="15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Insurance Services), 7.8% and 6.7% of consolidated gross written premiums and 51.2%, 12.5% and 10.7% of the Excess and Surplus Lines segment’s gross written premiums, respectively. The Company has agency contracts with various branches within the aforementioned brokers. No other broker generated</w:t>
      </w:r>
    </w:p>
    <w:p>
      <w:pPr>
        <w:spacing w:after="0" w:line="253" w:lineRule="auto"/>
        <w:rPr>
          <w:sz w:val="20"/>
          <w:szCs w:val="20"/>
          <w:color w:val="auto"/>
        </w:rPr>
      </w:pPr>
      <w:r>
        <w:rPr>
          <w:rFonts w:ascii="Arial" w:cs="Arial" w:eastAsia="Arial" w:hAnsi="Arial"/>
          <w:sz w:val="18"/>
          <w:szCs w:val="18"/>
          <w:color w:val="auto"/>
        </w:rPr>
        <w:t>10.0% or more of the gross written premiums for the Excess and Surplus Lines segment for the year ended December 31, 2019. The Company did business with one insured (Rasier, whose insurance policies were canceled as of December 31, 2019) that generated $374.2 million of gross written premiums and $9.1 million of gross fee income for the Excess and Surplus Lines segment for the year ended December 31, 2019, representing 25.4% of consolidated gross written premiums and 40.6% of the Excess and Surplus Lines segment’s gross written premiums. No other insured generated 10.0% or more of the gross written premiums for the Excess and Surplus Lines segment.</w:t>
      </w:r>
    </w:p>
    <w:p>
      <w:pPr>
        <w:spacing w:after="0" w:line="83"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The Specialty Admitted Insurance segment accepts applications for insurance from a variety of sources, including independent retail agents, program administrators and managing general agents (“MGAs”). The Company does business with two agencies that generated $146.5 million (Atlas General Insurance Services) and $53.2 million of gross written premiums for the Specialty Admitted Insurance segment for the year ended December 31, 2019, representing 10.0% and 3.6% of the consolidated gross written premiums and 37.8% and 13.7% of the Specialty Admitted Insurance segment’s gross written premiums, respectively. No other agency generated 10.0% or more of the gross written premiums for the Specialty Admitted Insurance segment for the year ended December 31, 2019.</w:t>
      </w:r>
    </w:p>
    <w:p>
      <w:pPr>
        <w:spacing w:after="0" w:line="85" w:lineRule="exact"/>
        <w:rPr>
          <w:sz w:val="20"/>
          <w:szCs w:val="20"/>
          <w:color w:val="auto"/>
        </w:rPr>
      </w:pPr>
    </w:p>
    <w:p>
      <w:pPr>
        <w:ind w:right="20" w:firstLine="351"/>
        <w:spacing w:after="0" w:line="272" w:lineRule="auto"/>
        <w:rPr>
          <w:sz w:val="20"/>
          <w:szCs w:val="20"/>
          <w:color w:val="auto"/>
        </w:rPr>
      </w:pPr>
      <w:r>
        <w:rPr>
          <w:rFonts w:ascii="Arial" w:cs="Arial" w:eastAsia="Arial" w:hAnsi="Arial"/>
          <w:sz w:val="17"/>
          <w:szCs w:val="17"/>
          <w:color w:val="auto"/>
        </w:rPr>
        <w:t>The Company does business with four brokers that generated $53.7 million, $45.1 million, $42.4 million, and $16.7 million of gross written premiums for the Casualty Reinsurance segment for the year ended December 31, 2019, representing 3.7%, 3.1%, 2.9%, and 1.1% of consolidated gross written premiums and 33.4%, 28.1%, 26.4%, and 10.4% of the Casualty Reinsurance segment’s gross written premiums, respectively. No other broker generated 10.0% or more of the gross written premiums for the Casualty Reinsurance segment for the year ended December 31, 2019. The Casualty Reinsurance segment assumed business from three unaffiliated ceding companies that generated $96.4 million, $30.7 million, and $22.6 million of gross written premiums for the year ended December 31, 2019, representing 6.6%, 2.1%, and 1.5% of consolidated gross written premiums and 59.9%, 19.1%, and 14.0% of the Casualty Reinsurance segment’s gross written premiums,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73" w:lineRule="exact"/>
        <w:rPr>
          <w:sz w:val="20"/>
          <w:szCs w:val="20"/>
          <w:color w:val="auto"/>
        </w:rPr>
      </w:pPr>
    </w:p>
    <w:p>
      <w:pPr>
        <w:ind w:firstLine="8"/>
        <w:spacing w:after="0" w:line="31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46"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 There have been no changes in the Company’s use of valuation techniques since December 31, 2017.</w:t>
      </w:r>
    </w:p>
    <w:p>
      <w:pPr>
        <w:spacing w:after="0" w:line="8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The Company reviews fair value prices provided by its outside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Assets measured at fair value on a recurring basis as of December 31, 2019 are summarized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632,221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w w:val="97"/>
              </w:rPr>
              <w:t>U.S. Treasury securities and obligations guaranteed by the U.S.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115,173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115,173</w:t>
            </w:r>
          </w:p>
        </w:tc>
        <w:tc>
          <w:tcPr>
            <w:tcW w:w="1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1,318,453</w:t>
            </w: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62,747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14,669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66,023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156,925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60" w:type="dxa"/>
            <w:vAlign w:val="bottom"/>
            <w:gridSpan w:val="7"/>
          </w:tcPr>
          <w:p>
            <w:pPr>
              <w:ind w:left="360"/>
              <w:spacing w:after="0"/>
              <w:rPr>
                <w:sz w:val="20"/>
                <w:szCs w:val="20"/>
                <w:color w:val="auto"/>
              </w:rPr>
            </w:pPr>
            <w:r>
              <w:rPr>
                <w:rFonts w:ascii="Arial" w:cs="Arial" w:eastAsia="Arial" w:hAnsi="Arial"/>
                <w:sz w:val="18"/>
                <w:szCs w:val="18"/>
                <w:color w:val="auto"/>
                <w:w w:val="99"/>
              </w:rPr>
              <w:t>Assets measured at fair value on a recurring basis as of December 31, 2018 are summarized below:</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149,295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149,295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204,109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524,768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524,768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197,025</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7"/>
              </w:rPr>
              <w:t>U.S. Treasury securities and obligations guaranteed by the U.S.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106,651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107,193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106,651</w:t>
            </w:r>
          </w:p>
        </w:tc>
        <w:tc>
          <w:tcPr>
            <w:tcW w:w="12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1,073,323</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1,184,202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60,740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60,740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16,674</w:t>
            </w:r>
          </w:p>
        </w:tc>
        <w:tc>
          <w:tcPr>
            <w:tcW w:w="120" w:type="dxa"/>
            <w:vAlign w:val="bottom"/>
            <w:tcBorders>
              <w:top w:val="single" w:sz="8" w:color="CCEEFF"/>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61,497</w:t>
            </w:r>
          </w:p>
        </w:tc>
        <w:tc>
          <w:tcPr>
            <w:tcW w:w="1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78,385</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80,716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-213995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-213995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0" w:lineRule="exact"/>
        <w:rPr>
          <w:sz w:val="20"/>
          <w:szCs w:val="20"/>
          <w:color w:val="auto"/>
        </w:rPr>
      </w:pPr>
    </w:p>
    <w:p>
      <w:pPr>
        <w:ind w:right="360" w:firstLine="351"/>
        <w:spacing w:after="0" w:line="277"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and equity securities measured at fair value on a recurring basis using significant unobservable inputs (Level 3) is shown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6" w:right="239" w:bottom="1440" w:gutter="0" w:footer="0" w:header="0"/>
        </w:sectPr>
      </w:pPr>
    </w:p>
    <w:bookmarkStart w:id="155" w:name="page156"/>
    <w:bookmarkEnd w:id="1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Transfers in to Level 3</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Maturities and calls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discount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4,442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4,680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-2057400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Company held one available-for-sale fixed maturity security at December 31, 2018 and 2017 for which the fair value was determined using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significant unobservable inputs (Level 3). A market approach using prices in trades of comparable securities was utilized to determine a fair value of $4.2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security at December 31, 2018 and $4.7 million at December 31, 2017. During 2019 a principle payment of $456,000 was received and the</w:t>
      </w:r>
    </w:p>
    <w:p>
      <w:pPr>
        <w:spacing w:after="0" w:line="3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Company was able to obtain a quoted price from a pricing vendor for the security. The available-for-sale fixed maturity security was transferred to Level 2. The Company held one equity security at December 31, 2019 and 2018 for which the fair value was determined using significant unobservable inputs (Level 3). A market approach using prices in trades of comparable securities was utilized to determine a fair value for the equity security of $43,000 at December 31, 2019 and $214,000 at December 31, 2018. During 2019, one equity security was transferred from Level 1 to Level 3 as the security was no longer actively traded. The Company was then able to obtain a quoted price from a pricing vendor for the equity security and it was transferred from Level 3 to Level 2.</w:t>
      </w:r>
    </w:p>
    <w:p>
      <w:pPr>
        <w:spacing w:after="0" w:line="55" w:lineRule="exact"/>
        <w:rPr>
          <w:sz w:val="20"/>
          <w:szCs w:val="20"/>
          <w:color w:val="auto"/>
        </w:rPr>
      </w:pPr>
    </w:p>
    <w:p>
      <w:pPr>
        <w:jc w:val="both"/>
        <w:ind w:right="40" w:firstLine="351"/>
        <w:spacing w:after="0" w:line="264"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73" w:lineRule="exact"/>
        <w:rPr>
          <w:sz w:val="20"/>
          <w:szCs w:val="20"/>
          <w:color w:val="auto"/>
        </w:rPr>
      </w:pPr>
    </w:p>
    <w:p>
      <w:pPr>
        <w:ind w:right="160" w:firstLine="351"/>
        <w:spacing w:after="0" w:line="277" w:lineRule="auto"/>
        <w:rPr>
          <w:sz w:val="20"/>
          <w:szCs w:val="20"/>
          <w:color w:val="auto"/>
        </w:rPr>
      </w:pPr>
      <w:r>
        <w:rPr>
          <w:rFonts w:ascii="Arial" w:cs="Arial" w:eastAsia="Arial" w:hAnsi="Arial"/>
          <w:sz w:val="18"/>
          <w:szCs w:val="18"/>
          <w:color w:val="auto"/>
        </w:rPr>
        <w:t>There were no transfers between Level 1 and Level 2 during 2019, 2018 or 2017. The Company recognizes transfers between levels at the beginning of the reporting period.</w:t>
      </w:r>
    </w:p>
    <w:p>
      <w:pPr>
        <w:spacing w:after="0" w:line="62" w:lineRule="exact"/>
        <w:rPr>
          <w:sz w:val="20"/>
          <w:szCs w:val="20"/>
          <w:color w:val="auto"/>
        </w:rPr>
      </w:pPr>
    </w:p>
    <w:p>
      <w:pPr>
        <w:ind w:right="220" w:firstLine="351"/>
        <w:spacing w:after="0" w:line="277" w:lineRule="auto"/>
        <w:rPr>
          <w:sz w:val="20"/>
          <w:szCs w:val="20"/>
          <w:color w:val="auto"/>
        </w:rPr>
      </w:pPr>
      <w:r>
        <w:rPr>
          <w:rFonts w:ascii="Arial" w:cs="Arial" w:eastAsia="Arial" w:hAnsi="Arial"/>
          <w:sz w:val="18"/>
          <w:szCs w:val="18"/>
          <w:color w:val="auto"/>
        </w:rPr>
        <w:t>Total losses of $171,000 were included in earnings for the year ended December 31, 2019 attributable to the change in unrealized losses relating to the one Level 3 asset valued at fair value on a recurring basis that is still held at December 31, 2019.</w:t>
      </w:r>
    </w:p>
    <w:p>
      <w:pPr>
        <w:spacing w:after="0" w:line="62" w:lineRule="exact"/>
        <w:rPr>
          <w:sz w:val="20"/>
          <w:szCs w:val="20"/>
          <w:color w:val="auto"/>
        </w:rPr>
      </w:pPr>
    </w:p>
    <w:p>
      <w:pPr>
        <w:ind w:right="460" w:firstLine="351"/>
        <w:spacing w:after="0" w:line="277" w:lineRule="auto"/>
        <w:rPr>
          <w:sz w:val="20"/>
          <w:szCs w:val="20"/>
          <w:color w:val="auto"/>
        </w:rPr>
      </w:pPr>
      <w:r>
        <w:rPr>
          <w:rFonts w:ascii="Arial" w:cs="Arial" w:eastAsia="Arial" w:hAnsi="Arial"/>
          <w:sz w:val="18"/>
          <w:szCs w:val="18"/>
          <w:color w:val="auto"/>
        </w:rPr>
        <w:t>The Company measures certain bank loan participations at fair value on a non-recurring basis during the year as part of the Company’s impairment evaluation when loans are determined by management to be impaired.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-874395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 xml:space="preserve">Bank loan participations held for investment that were determined to be impaired were written down to their fair value of $6.9 million at </w:t>
      </w:r>
      <w:r>
        <w:rPr>
          <w:rFonts w:ascii="Arial" w:cs="Arial" w:eastAsia="Arial" w:hAnsi="Arial"/>
          <w:sz w:val="16"/>
          <w:szCs w:val="16"/>
          <w:color w:val="000000"/>
        </w:rPr>
        <w:t>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r>
        <w:rPr>
          <w:rFonts w:ascii="Arial" w:cs="Arial" w:eastAsia="Arial" w:hAnsi="Arial"/>
          <w:sz w:val="18"/>
          <w:szCs w:val="18"/>
          <w:color w:val="231F20"/>
        </w:rPr>
        <w:t>. Management concluded that none of the bank loan participations held-for-investment were impaired as of</w:t>
      </w:r>
      <w:r>
        <w:rPr>
          <w:rFonts w:ascii="Arial" w:cs="Arial" w:eastAsia="Arial" w:hAnsi="Arial"/>
          <w:sz w:val="18"/>
          <w:szCs w:val="18"/>
          <w:color w:val="auto"/>
        </w:rPr>
        <w:t xml:space="preserve"> December 31, 2018.</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6" w:right="239" w:bottom="1440" w:gutter="0" w:footer="0" w:header="0"/>
        </w:sectPr>
      </w:pPr>
    </w:p>
    <w:bookmarkStart w:id="156" w:name="page157"/>
    <w:bookmarkEnd w:id="15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firstLine="351"/>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ind w:firstLine="351"/>
        <w:spacing w:after="0" w:line="273" w:lineRule="auto"/>
        <w:rPr>
          <w:sz w:val="20"/>
          <w:szCs w:val="20"/>
          <w:color w:val="auto"/>
        </w:rPr>
      </w:pPr>
      <w:r>
        <w:rPr>
          <w:rFonts w:ascii="Arial" w:cs="Arial" w:eastAsia="Arial" w:hAnsi="Arial"/>
          <w:sz w:val="17"/>
          <w:szCs w:val="17"/>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2019 and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2019</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Borders>
              <w:bottom w:val="single" w:sz="8" w:color="auto"/>
            </w:tcBorders>
          </w:tcPr>
          <w:p>
            <w:pPr>
              <w:spacing w:after="0"/>
              <w:rPr>
                <w:sz w:val="22"/>
                <w:szCs w:val="22"/>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3"/>
                <w:szCs w:val="13"/>
                <w:color w:val="auto"/>
              </w:rPr>
            </w:pPr>
          </w:p>
        </w:tc>
        <w:tc>
          <w:tcPr>
            <w:tcW w:w="8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3"/>
                <w:szCs w:val="13"/>
                <w:color w:val="auto"/>
              </w:rPr>
            </w:pPr>
          </w:p>
        </w:tc>
        <w:tc>
          <w:tcPr>
            <w:tcW w:w="106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3"/>
          </w:tcPr>
          <w:p>
            <w:pPr>
              <w:ind w:left="680"/>
              <w:spacing w:after="0"/>
              <w:rPr>
                <w:sz w:val="20"/>
                <w:szCs w:val="20"/>
                <w:color w:val="auto"/>
              </w:rPr>
            </w:pPr>
            <w:r>
              <w:rPr>
                <w:rFonts w:ascii="Arial" w:cs="Arial" w:eastAsia="Arial" w:hAnsi="Arial"/>
                <w:sz w:val="14"/>
                <w:szCs w:val="14"/>
                <w:b w:val="1"/>
                <w:bCs w:val="1"/>
                <w:i w:val="1"/>
                <w:iCs w:val="1"/>
                <w:color w:val="auto"/>
                <w:w w:val="89"/>
              </w:rPr>
              <w:t>(in thousands)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1,433,626</w:t>
            </w:r>
          </w:p>
        </w:tc>
        <w:tc>
          <w:tcPr>
            <w:tcW w:w="52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1,433,626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1,184,202</w:t>
            </w: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1,184,202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80,735</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Bank loan participations held-for-investment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260,864</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252,423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260,972</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250,697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206,912</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206,912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172,457</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172,457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1,199,164</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1,199,164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156,925</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156,925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13,250</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13,250</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18,687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158,300</w:t>
            </w:r>
          </w:p>
        </w:tc>
        <w:tc>
          <w:tcPr>
            <w:tcW w:w="5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158,043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118,300</w:t>
            </w: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118,317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122,193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117,057</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20" w:firstLine="351"/>
        <w:spacing w:after="0" w:line="264" w:lineRule="auto"/>
        <w:rPr>
          <w:sz w:val="20"/>
          <w:szCs w:val="20"/>
          <w:color w:val="auto"/>
        </w:rPr>
      </w:pPr>
      <w:r>
        <w:rPr>
          <w:rFonts w:ascii="Arial" w:cs="Arial" w:eastAsia="Arial" w:hAnsi="Arial"/>
          <w:sz w:val="18"/>
          <w:szCs w:val="18"/>
          <w:color w:val="auto"/>
        </w:rPr>
        <w:t>The fair values of fixed maturity securities and equity securities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3"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December 31, 2019 and 2018 were determined by calculating the present value of expected future cash flows under the terms of the note agreements or debt agreements, as applicable, discounted at an estimated market rate of interest at December 31, 2019 and 2018, respectively.</w:t>
      </w:r>
    </w:p>
    <w:p>
      <w:pPr>
        <w:spacing w:after="0" w:line="73" w:lineRule="exact"/>
        <w:rPr>
          <w:sz w:val="20"/>
          <w:szCs w:val="20"/>
          <w:color w:val="auto"/>
        </w:rPr>
      </w:pPr>
    </w:p>
    <w:p>
      <w:pPr>
        <w:ind w:right="680" w:firstLine="351"/>
        <w:spacing w:after="0" w:line="277" w:lineRule="auto"/>
        <w:rPr>
          <w:sz w:val="20"/>
          <w:szCs w:val="20"/>
          <w:color w:val="auto"/>
        </w:rPr>
      </w:pPr>
      <w:r>
        <w:rPr>
          <w:rFonts w:ascii="Arial" w:cs="Arial" w:eastAsia="Arial" w:hAnsi="Arial"/>
          <w:sz w:val="18"/>
          <w:szCs w:val="18"/>
          <w:color w:val="auto"/>
        </w:rPr>
        <w:t>The fair values of bank loan participations held-for-investment, senior debt, and Junior Subordinated Debt at December 31, 2019 and 2018 were determined using inputs to the valuation methodology that are unobservable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Statutory Matters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ind w:right="500" w:firstLine="351"/>
        <w:spacing w:after="0" w:line="277" w:lineRule="auto"/>
        <w:rPr>
          <w:sz w:val="20"/>
          <w:szCs w:val="20"/>
          <w:color w:val="auto"/>
        </w:rPr>
      </w:pPr>
      <w:r>
        <w:rPr>
          <w:rFonts w:ascii="Arial" w:cs="Arial" w:eastAsia="Arial" w:hAnsi="Arial"/>
          <w:sz w:val="18"/>
          <w:szCs w:val="18"/>
          <w:color w:val="auto"/>
        </w:rPr>
        <w:t>U.S. state insurance laws and regulations prescribe accounting practices for determining statutory net income and capital and surplus for insurance companies. In addition, state regulators may permit statutory accounting practices that differ from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6" w:right="239" w:bottom="1440" w:gutter="0" w:footer="0" w:header="0"/>
        </w:sectPr>
      </w:pPr>
    </w:p>
    <w:bookmarkStart w:id="157" w:name="page158"/>
    <w:bookmarkEnd w:id="1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85" w:lineRule="exact"/>
        <w:rPr>
          <w:sz w:val="20"/>
          <w:szCs w:val="20"/>
          <w:color w:val="auto"/>
        </w:rPr>
      </w:pPr>
    </w:p>
    <w:p>
      <w:pPr>
        <w:ind w:right="220" w:firstLine="351"/>
        <w:spacing w:after="0" w:line="342" w:lineRule="auto"/>
        <w:rPr>
          <w:sz w:val="20"/>
          <w:szCs w:val="20"/>
          <w:color w:val="auto"/>
        </w:rPr>
      </w:pPr>
      <w:r>
        <w:rPr>
          <w:rFonts w:ascii="Arial" w:cs="Arial" w:eastAsia="Arial" w:hAnsi="Arial"/>
          <w:sz w:val="16"/>
          <w:szCs w:val="16"/>
          <w:color w:val="auto"/>
        </w:rPr>
        <w:t>Combined net income, statutory capital and surplus and minimum required statutory capital and surplus, as determined in accordance with statutory accounting practices, for the U.S. insurance subsidiaries as of December 31, 2019, 2018, and 2017 and for the years then ended are summarized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i w:val="1"/>
                <w:iCs w:val="1"/>
                <w:color w:val="auto"/>
                <w:w w:val="95"/>
              </w:rPr>
              <w:t>(in thousands)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6,770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31,881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Statutory capital and surplus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266,715</w:t>
            </w:r>
          </w:p>
        </w:tc>
        <w:tc>
          <w:tcPr>
            <w:tcW w:w="2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241,668</w:t>
            </w: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219,132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Minimum required statutory capital and surplus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111,208</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24,850</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25,000</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0" w:firstLine="351"/>
        <w:spacing w:after="0" w:line="264" w:lineRule="auto"/>
        <w:rPr>
          <w:sz w:val="20"/>
          <w:szCs w:val="20"/>
          <w:color w:val="auto"/>
        </w:rPr>
      </w:pPr>
      <w:r>
        <w:rPr>
          <w:rFonts w:ascii="Arial" w:cs="Arial" w:eastAsia="Arial" w:hAnsi="Arial"/>
          <w:sz w:val="18"/>
          <w:szCs w:val="18"/>
          <w:color w:val="auto"/>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2019, the insurance subsidiaries’ adjusted capital and surplus exceeds their authorized control level RBC.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two Bermuda-based insurance subsidiaries: JRG Re, a Class 3B insurer and Carolina Re, a Class 3A insurer. Under the Bermuda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Insurance Act 1978 and related regulations, an insurer must maintain minimum statutory capital and surplus at the greater of a minimum solvency margin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(“MSM”) and the Enhanced Capital Requirement (“ECR”), which is the higher of the MSM and capital calculated by the Bermuda Solvency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 (“BSCR”) model or an approved internal model. The combined Bermuda insurers minimum statutory solvency margin required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was approximately $161.4 million (2018: $161.3 million). Actual combined statutory capital and surplus at December 31, 2019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$502.6 million (2018: $439.4 million). The insurers had combined statutory net income of $53.2 million for 2019, $86.5 million for 2018, and $20.1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2017. The combined ECR for the year ended December 31, 2018 was $283.6 million. The BSCR models for the year ended December 31, 2019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filed with the Bermuda Monetary Authority until April 30, 2020. The Company believes that the minimum statutory capital and surplus requirements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met.</w:t>
      </w:r>
    </w:p>
    <w:p>
      <w:pPr>
        <w:spacing w:after="0" w:line="103"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The insurers must also maintain a minimum liquidity ratio in which the value of its relevant assets is not less than 75.0% of the amount of its relevant liabilities for general business. Relevant assets include cash and cash equivalents, fixed maturities, quoted alternative investments, accrued interest income, premiums receivable, losses recoverable from reinsurers, and funds withheld. The relevant liabilities include total insurance provisions and other liabilities less deferred income taxes and letters of credit, guarantees and other instruments. As of December 31, 2019 the minimum liquidity ratio requirements were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Dividend Restrictions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jc w:val="both"/>
        <w:ind w:right="40" w:firstLine="351"/>
        <w:spacing w:after="0" w:line="257" w:lineRule="auto"/>
        <w:rPr>
          <w:sz w:val="20"/>
          <w:szCs w:val="20"/>
          <w:color w:val="auto"/>
        </w:rPr>
      </w:pPr>
      <w:r>
        <w:rPr>
          <w:rFonts w:ascii="Arial" w:cs="Arial" w:eastAsia="Arial" w:hAnsi="Arial"/>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2020 without regulatory approval is $26.7 million. However, U.S. insurance regulators have broad powers to prevent the reduction of statutory surplus to inadequate levels and could refuse to permit the payment of dividends.</w:t>
      </w:r>
    </w:p>
    <w:p>
      <w:pPr>
        <w:spacing w:after="0" w:line="80" w:lineRule="exact"/>
        <w:rPr>
          <w:sz w:val="20"/>
          <w:szCs w:val="20"/>
          <w:color w:val="auto"/>
        </w:rPr>
      </w:pPr>
    </w:p>
    <w:p>
      <w:pPr>
        <w:ind w:right="20" w:firstLine="351"/>
        <w:spacing w:after="0" w:line="312" w:lineRule="auto"/>
        <w:rPr>
          <w:sz w:val="20"/>
          <w:szCs w:val="20"/>
          <w:color w:val="auto"/>
        </w:rPr>
      </w:pPr>
      <w:r>
        <w:rPr>
          <w:rFonts w:ascii="Arial" w:cs="Arial" w:eastAsia="Arial" w:hAnsi="Arial"/>
          <w:sz w:val="16"/>
          <w:szCs w:val="16"/>
          <w:color w:val="auto"/>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2019 is calculated to be approximately $125.6 million. However, this dividend amount is subject to annual enhanced solvency requirement calculations.</w:t>
      </w:r>
    </w:p>
    <w:p>
      <w:pPr>
        <w:spacing w:after="0" w:line="80" w:lineRule="exact"/>
        <w:rPr>
          <w:sz w:val="20"/>
          <w:szCs w:val="20"/>
          <w:color w:val="auto"/>
        </w:rPr>
      </w:pPr>
    </w:p>
    <w:p>
      <w:pPr>
        <w:ind w:right="60" w:firstLine="351"/>
        <w:spacing w:after="0" w:line="277" w:lineRule="auto"/>
        <w:rPr>
          <w:sz w:val="20"/>
          <w:szCs w:val="20"/>
          <w:color w:val="auto"/>
        </w:rPr>
      </w:pPr>
      <w:r>
        <w:rPr>
          <w:rFonts w:ascii="Arial" w:cs="Arial" w:eastAsia="Arial" w:hAnsi="Arial"/>
          <w:sz w:val="18"/>
          <w:szCs w:val="18"/>
          <w:color w:val="auto"/>
        </w:rPr>
        <w:t>As of December 31, 2019, JRG Holdings had consolidated retained earnings of $89.6 million, all of which was available for the payment of dividends to shareholders.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Other Related Party Transactions</w:t>
      </w:r>
    </w:p>
    <w:p>
      <w:pPr>
        <w:spacing w:after="0" w:line="148" w:lineRule="exact"/>
        <w:rPr>
          <w:sz w:val="20"/>
          <w:szCs w:val="20"/>
          <w:color w:val="auto"/>
        </w:rPr>
      </w:pPr>
    </w:p>
    <w:p>
      <w:pPr>
        <w:ind w:right="240" w:firstLine="351"/>
        <w:spacing w:after="0" w:line="312" w:lineRule="auto"/>
        <w:rPr>
          <w:sz w:val="20"/>
          <w:szCs w:val="20"/>
          <w:color w:val="auto"/>
        </w:rPr>
      </w:pPr>
      <w:r>
        <w:rPr>
          <w:rFonts w:ascii="Arial" w:cs="Arial" w:eastAsia="Arial" w:hAnsi="Arial"/>
          <w:sz w:val="16"/>
          <w:szCs w:val="16"/>
          <w:color w:val="auto"/>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$2.1 million, $2.6 million, and $2.4 million for the years ended December 31, 2019, 2018, and 2017, respectively.</w:t>
      </w:r>
    </w:p>
    <w:p>
      <w:pPr>
        <w:spacing w:after="0" w:line="3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Chief Executive Officer of the Company previously owned a plane that the Company periodically leased. Total fees paid by the Company for the use of this plane were $0, $123,000, and $314,000 for 2019, 2018, and 2017, respectively.</w:t>
      </w:r>
    </w:p>
    <w:p>
      <w:pPr>
        <w:spacing w:after="0" w:line="62" w:lineRule="exact"/>
        <w:rPr>
          <w:sz w:val="20"/>
          <w:szCs w:val="20"/>
          <w:color w:val="auto"/>
        </w:rPr>
      </w:pPr>
    </w:p>
    <w:p>
      <w:pPr>
        <w:jc w:val="both"/>
        <w:ind w:right="320" w:firstLine="351"/>
        <w:spacing w:after="0" w:line="264" w:lineRule="auto"/>
        <w:rPr>
          <w:sz w:val="20"/>
          <w:szCs w:val="20"/>
          <w:color w:val="auto"/>
        </w:rPr>
      </w:pPr>
      <w:r>
        <w:rPr>
          <w:rFonts w:ascii="Arial" w:cs="Arial" w:eastAsia="Arial" w:hAnsi="Arial"/>
          <w:sz w:val="18"/>
          <w:szCs w:val="18"/>
          <w:color w:val="auto"/>
        </w:rPr>
        <w:t>Upon the Company’s initial public offering in 2014, the Company entered into a consulting agreement (the “Consulting Agreement”) with one of the Company's Independent Directors. Under the terms of the Consulting Agreement, the director received $37,500 in 2017 for investment and other business consulting services. The Consulting Agreement was terminated on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121"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On February 19, 2020, the Board of Directors declared a cash dividend of $0.30 per share. The dividend is payable on March 31, 2020 to shareholders of record on March 16, 2020.</w:t>
      </w:r>
    </w:p>
    <w:p>
      <w:pPr>
        <w:spacing w:after="0" w:line="62" w:lineRule="exact"/>
        <w:rPr>
          <w:sz w:val="20"/>
          <w:szCs w:val="20"/>
          <w:color w:val="auto"/>
        </w:rPr>
      </w:pPr>
    </w:p>
    <w:p>
      <w:pPr>
        <w:ind w:right="340" w:firstLine="351"/>
        <w:spacing w:after="0" w:line="264" w:lineRule="auto"/>
        <w:rPr>
          <w:sz w:val="20"/>
          <w:szCs w:val="20"/>
          <w:color w:val="auto"/>
        </w:rPr>
      </w:pPr>
      <w:r>
        <w:rPr>
          <w:rFonts w:ascii="Arial" w:cs="Arial" w:eastAsia="Arial" w:hAnsi="Arial"/>
          <w:sz w:val="18"/>
          <w:szCs w:val="18"/>
          <w:color w:val="auto"/>
        </w:rPr>
        <w:t>On February 19, 2020, the Board of Directors granted awards under the 2014 LTIP and the 2014 Director Plan to the Company’s employees and directors. RSUs for 179,016 shares were awarded with a fair value on the date of grant of $43.55 per share. The RSUs vest over one to three year periods, depending on the award.</w:t>
      </w:r>
    </w:p>
    <w:p>
      <w:pPr>
        <w:spacing w:after="0" w:line="69"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Selected Quarterly Financial Data</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unaudited quarterly results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8"/>
              </w:rPr>
              <w:t>2019 Quarter</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Year</w:t>
            </w: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Arial" w:cs="Arial" w:eastAsia="Arial" w:hAnsi="Arial"/>
                <w:sz w:val="14"/>
                <w:szCs w:val="14"/>
                <w:b w:val="1"/>
                <w:bCs w:val="1"/>
                <w:i w:val="1"/>
                <w:iCs w:val="1"/>
                <w:color w:val="auto"/>
                <w:w w:val="87"/>
              </w:rPr>
              <w:t>(in thousands, except per share data)</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327,334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380,003</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388,228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1,470,735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214,127</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220,374</w:t>
            </w:r>
          </w:p>
        </w:tc>
        <w:tc>
          <w:tcPr>
            <w:tcW w:w="50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231,474</w:t>
            </w: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241,150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907,125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22,728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20,307</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(25,167)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42,988</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41,039</w:t>
            </w:r>
          </w:p>
        </w:tc>
        <w:tc>
          <w:tcPr>
            <w:tcW w:w="5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(15,710)</w:t>
            </w: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85,281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0.76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0.67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r>
      <w:tr>
        <w:trPr>
          <w:trHeight w:val="54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F-51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59" w:name="page160"/>
    <w:bookmarkEnd w:id="1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8"/>
              </w:rPr>
              <w:t>2018 Quarter</w:t>
            </w: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Second</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Third</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Year</w:t>
            </w: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Arial" w:cs="Arial" w:eastAsia="Arial" w:hAnsi="Arial"/>
                <w:sz w:val="14"/>
                <w:szCs w:val="14"/>
                <w:b w:val="1"/>
                <w:bCs w:val="1"/>
                <w:i w:val="1"/>
                <w:iCs w:val="1"/>
                <w:color w:val="auto"/>
                <w:w w:val="87"/>
              </w:rPr>
              <w:t>(in thousands, except per share data)</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written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298,116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293,378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279,969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295,310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1,166,773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218,344</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228,041</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224,692</w:t>
            </w: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214,522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885,599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15,633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16,984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19,581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(2,914)</w:t>
            </w:r>
          </w:p>
        </w:tc>
        <w:tc>
          <w:tcPr>
            <w:tcW w:w="3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10,426</w:t>
            </w:r>
          </w:p>
        </w:tc>
        <w:tc>
          <w:tcPr>
            <w:tcW w:w="5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15,192</w:t>
            </w:r>
          </w:p>
        </w:tc>
        <w:tc>
          <w:tcPr>
            <w:tcW w:w="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41,627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0.53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0.57</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0.52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40" w:right="18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Since the weighted-average shares for the quarter are calculated independently of the weighted-average shares for the year, quarterly earnings per share may not total to annual earnings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6" w:right="239" w:bottom="1440" w:gutter="0" w:footer="0" w:header="0"/>
        </w:sectPr>
      </w:pPr>
    </w:p>
    <w:bookmarkStart w:id="160" w:name="page161"/>
    <w:bookmarkEnd w:id="16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24"/>
        </w:trPr>
        <w:tc>
          <w:tcPr>
            <w:tcW w:w="8580" w:type="dxa"/>
            <w:vAlign w:val="bottom"/>
            <w:gridSpan w:val="5"/>
          </w:tcPr>
          <w:p>
            <w:pPr>
              <w:ind w:left="4000"/>
              <w:spacing w:after="0"/>
              <w:rPr>
                <w:sz w:val="20"/>
                <w:szCs w:val="20"/>
                <w:color w:val="auto"/>
              </w:rPr>
            </w:pPr>
            <w:r>
              <w:rPr>
                <w:rFonts w:ascii="Arial" w:cs="Arial" w:eastAsia="Arial" w:hAnsi="Arial"/>
                <w:sz w:val="18"/>
                <w:szCs w:val="18"/>
                <w:b w:val="1"/>
                <w:bCs w:val="1"/>
                <w:color w:val="auto"/>
              </w:rPr>
              <w:t>JAMES RIVER GROUP HOLDINGS, LTD.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5"/>
          </w:tcPr>
          <w:p>
            <w:pPr>
              <w:ind w:left="3040"/>
              <w:spacing w:after="0"/>
              <w:rPr>
                <w:sz w:val="20"/>
                <w:szCs w:val="20"/>
                <w:color w:val="auto"/>
              </w:rPr>
            </w:pPr>
            <w:r>
              <w:rPr>
                <w:rFonts w:ascii="Arial" w:cs="Arial" w:eastAsia="Arial" w:hAnsi="Arial"/>
                <w:sz w:val="18"/>
                <w:szCs w:val="18"/>
                <w:b w:val="1"/>
                <w:bCs w:val="1"/>
                <w:color w:val="auto"/>
                <w:w w:val="93"/>
              </w:rPr>
              <w:t>Summary of Investments—Other than Investments in Related Parties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Amount at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Cost or</w:t>
            </w:r>
          </w:p>
        </w:tc>
        <w:tc>
          <w:tcPr>
            <w:tcW w:w="320" w:type="dxa"/>
            <w:vAlign w:val="bottom"/>
          </w:tcPr>
          <w:p>
            <w:pPr>
              <w:spacing w:after="0"/>
              <w:rPr>
                <w:sz w:val="12"/>
                <w:szCs w:val="12"/>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which shown</w:t>
            </w:r>
          </w:p>
        </w:tc>
        <w:tc>
          <w:tcPr>
            <w:tcW w:w="0" w:type="dxa"/>
            <w:vAlign w:val="bottom"/>
          </w:tcPr>
          <w:p>
            <w:pPr>
              <w:spacing w:after="0"/>
              <w:rPr>
                <w:sz w:val="1"/>
                <w:szCs w:val="1"/>
                <w:color w:val="auto"/>
              </w:rPr>
            </w:pPr>
          </w:p>
        </w:tc>
      </w:t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on Balance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Sheet</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available-for-sale: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159,894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167,101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167,101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264,146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611,304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632,221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632,221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mortgage and asset-backed</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249,309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252,457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252,457</w:t>
            </w:r>
          </w:p>
        </w:tc>
        <w:tc>
          <w:tcPr>
            <w:tcW w:w="0" w:type="dxa"/>
            <w:vAlign w:val="bottom"/>
          </w:tcPr>
          <w:p>
            <w:pPr>
              <w:spacing w:after="0"/>
              <w:rPr>
                <w:sz w:val="1"/>
                <w:szCs w:val="1"/>
                <w:color w:val="auto"/>
              </w:rPr>
            </w:pPr>
          </w:p>
        </w:tc>
      </w:tr>
      <w:tr>
        <w:trPr>
          <w:trHeight w:val="277"/>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Treasury securities and obligations guaranteed by the U.S. government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114,477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115,667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115,667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fixed maturity securities, available-for-sale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1,398,533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1,433,626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1,433,626</w:t>
            </w:r>
          </w:p>
        </w:tc>
        <w:tc>
          <w:tcPr>
            <w:tcW w:w="0" w:type="dxa"/>
            <w:vAlign w:val="bottom"/>
          </w:tcPr>
          <w:p>
            <w:pPr>
              <w:spacing w:after="0"/>
              <w:rPr>
                <w:sz w:val="1"/>
                <w:szCs w:val="1"/>
                <w:color w:val="auto"/>
              </w:rPr>
            </w:pPr>
          </w:p>
        </w:tc>
      </w:tr>
      <w:tr>
        <w:trPr>
          <w:trHeight w:val="27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available-for-sale</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52,557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62,747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73,244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80,735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80,735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 participations, held-for-investment, net of allowance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260,864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156,925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156,925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156,925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invested assets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16,741</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invested assets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1,948,891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231775</wp:posOffset>
            </wp:positionV>
            <wp:extent cx="17837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right="400" w:hanging="332"/>
        <w:spacing w:after="0" w:line="34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6" w:right="239" w:bottom="1440" w:gutter="0" w:footer="0" w:header="0"/>
        </w:sectPr>
      </w:pPr>
    </w:p>
    <w:bookmarkStart w:id="161" w:name="page162"/>
    <w:bookmarkEnd w:id="1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324"/>
        </w:trPr>
        <w:tc>
          <w:tcPr>
            <w:tcW w:w="85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580" w:type="dxa"/>
            <w:vAlign w:val="bottom"/>
          </w:tcPr>
          <w:p>
            <w:pPr>
              <w:jc w:val="center"/>
              <w:ind w:left="2750"/>
              <w:spacing w:after="0"/>
              <w:rPr>
                <w:sz w:val="20"/>
                <w:szCs w:val="20"/>
                <w:color w:val="auto"/>
              </w:rPr>
            </w:pPr>
            <w:r>
              <w:rPr>
                <w:rFonts w:ascii="Arial" w:cs="Arial" w:eastAsia="Arial" w:hAnsi="Arial"/>
                <w:sz w:val="18"/>
                <w:szCs w:val="18"/>
                <w:b w:val="1"/>
                <w:bCs w:val="1"/>
                <w:color w:val="auto"/>
                <w:w w:val="91"/>
              </w:rPr>
              <w:t>Condensed Financial Information of Registrant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580" w:type="dxa"/>
            <w:vAlign w:val="bottom"/>
          </w:tcPr>
          <w:p>
            <w:pPr>
              <w:jc w:val="center"/>
              <w:ind w:left="2750"/>
              <w:spacing w:after="0"/>
              <w:rPr>
                <w:sz w:val="20"/>
                <w:szCs w:val="20"/>
                <w:color w:val="auto"/>
              </w:rPr>
            </w:pPr>
            <w:r>
              <w:rPr>
                <w:rFonts w:ascii="Arial" w:cs="Arial" w:eastAsia="Arial" w:hAnsi="Arial"/>
                <w:sz w:val="18"/>
                <w:szCs w:val="18"/>
                <w:b w:val="1"/>
                <w:bCs w:val="1"/>
                <w:color w:val="auto"/>
                <w:w w:val="89"/>
              </w:rPr>
              <w:t>Balance Sheets (Parent Company)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0"/>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987,221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882,407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Due from subsidiaries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5,775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998,955</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890,001</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Senior debt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143,300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103,300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subordinated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15,928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Notes payable to subsidiary</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220,374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180,760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Class A common shares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657,875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645,310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89,586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79,753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778,581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709,241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998,955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890,001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126" w:right="239" w:bottom="1440" w:gutter="0" w:footer="0" w:header="0"/>
        </w:sectPr>
      </w:pPr>
    </w:p>
    <w:bookmarkStart w:id="162" w:name="page163"/>
    <w:bookmarkEnd w:id="1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56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474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1"/>
              </w:rPr>
              <w:t>Condensed Financial Information of Registrant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4"/>
                <w:szCs w:val="24"/>
                <w:color w:val="auto"/>
              </w:rPr>
            </w:pPr>
          </w:p>
        </w:tc>
        <w:tc>
          <w:tcPr>
            <w:tcW w:w="56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Statements of Income and Comprehensive Income (Parent Company)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8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4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4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42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19,227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before equity in net income of subsidiaries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w w:val="98"/>
              </w:rPr>
              <w:t>Equity in net income of subsidiaries</w:t>
            </w:r>
          </w:p>
        </w:tc>
        <w:tc>
          <w:tcPr>
            <w:tcW w:w="4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82,999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58,662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7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63,830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43,566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Other comprehensive income (loss):</w:t>
            </w:r>
          </w:p>
        </w:tc>
        <w:tc>
          <w:tcPr>
            <w:tcW w:w="4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vMerge w:val="continue"/>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other comprehensive earnings (losses) of subsidiaries</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424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41,627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52,785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26" w:right="239" w:bottom="1440" w:gutter="0" w:footer="0" w:header="0"/>
        </w:sectPr>
      </w:pPr>
    </w:p>
    <w:bookmarkStart w:id="163" w:name="page164"/>
    <w:bookmarkEnd w:id="1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24"/>
        </w:trPr>
        <w:tc>
          <w:tcPr>
            <w:tcW w:w="8440" w:type="dxa"/>
            <w:vAlign w:val="bottom"/>
            <w:gridSpan w:val="4"/>
          </w:tcPr>
          <w:p>
            <w:pPr>
              <w:jc w:val="center"/>
              <w:ind w:left="289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Condensed Financial Information of Registrant</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4"/>
                <w:szCs w:val="24"/>
                <w:color w:val="auto"/>
              </w:rPr>
            </w:pPr>
          </w:p>
        </w:tc>
        <w:tc>
          <w:tcPr>
            <w:tcW w:w="3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Statements of Cash Flows (Parent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3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38,339</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63,830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43,566</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based compensation expense</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6"/>
              </w:rPr>
              <w:t>Equity in undistributed earnings of subsidiaries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93"/>
              </w:rPr>
              <w:t>Net cash (used in) provided by operating activities</w:t>
            </w:r>
          </w:p>
        </w:tc>
        <w:tc>
          <w:tcPr>
            <w:tcW w:w="33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70,581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28,452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from subsidiaries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Senior debt issuance</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debt repayments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Subsidiary note repayments</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issue costs paid</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Issuances of common shares under equity incentive plans</w:t>
            </w:r>
          </w:p>
        </w:tc>
        <w:tc>
          <w:tcPr>
            <w:tcW w:w="860" w:type="dxa"/>
            <w:vAlign w:val="bottom"/>
          </w:tcPr>
          <w:p>
            <w:pPr>
              <w:jc w:val="right"/>
              <w:spacing w:after="0"/>
              <w:rPr>
                <w:sz w:val="20"/>
                <w:szCs w:val="20"/>
                <w:color w:val="auto"/>
              </w:rPr>
            </w:pPr>
            <w:r>
              <w:rPr>
                <w:rFonts w:ascii="Arial" w:cs="Arial" w:eastAsia="Arial" w:hAnsi="Arial"/>
                <w:sz w:val="18"/>
                <w:szCs w:val="18"/>
                <w:color w:val="auto"/>
              </w:rPr>
              <w:t>8,286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 repurchases</w:t>
            </w:r>
          </w:p>
        </w:tc>
        <w:tc>
          <w:tcPr>
            <w:tcW w:w="3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33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4"/>
              </w:rPr>
              <w:t>Cash and cash equivalents at beginning of period</w:t>
            </w:r>
          </w:p>
        </w:tc>
        <w:tc>
          <w:tcPr>
            <w:tcW w:w="3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information</w:t>
            </w:r>
          </w:p>
        </w:tc>
        <w:tc>
          <w:tcPr>
            <w:tcW w:w="3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-2658110</wp:posOffset>
            </wp:positionV>
            <wp:extent cx="4493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-4390390</wp:posOffset>
            </wp:positionV>
            <wp:extent cx="4493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6" w:right="239" w:bottom="1440" w:gutter="0" w:footer="0" w:header="0"/>
        </w:sectPr>
      </w:pPr>
    </w:p>
    <w:bookmarkStart w:id="164" w:name="page165"/>
    <w:bookmarkEnd w:id="1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17" w:lineRule="exact"/>
        <w:rPr>
          <w:sz w:val="20"/>
          <w:szCs w:val="20"/>
          <w:color w:val="auto"/>
        </w:rPr>
      </w:pPr>
    </w:p>
    <w:p>
      <w:pPr>
        <w:ind w:right="9580" w:firstLine="8"/>
        <w:spacing w:after="0" w:line="378" w:lineRule="auto"/>
        <w:tabs>
          <w:tab w:leader="none" w:pos="3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Organization</w:t>
      </w:r>
    </w:p>
    <w:p>
      <w:pPr>
        <w:ind w:right="60" w:firstLine="351"/>
        <w:spacing w:after="0" w:line="277" w:lineRule="auto"/>
        <w:rPr>
          <w:sz w:val="20"/>
          <w:szCs w:val="20"/>
          <w:color w:val="auto"/>
        </w:rPr>
      </w:pPr>
      <w:r>
        <w:rPr>
          <w:rFonts w:ascii="Arial" w:cs="Arial" w:eastAsia="Arial" w:hAnsi="Arial"/>
          <w:sz w:val="18"/>
          <w:szCs w:val="18"/>
          <w:color w:val="auto"/>
        </w:rPr>
        <w:t>James River Group Holdings, Ltd. (the “Company”) is an exempted holding company registered in Bermuda, organized for the purpose of acquiring and managing insurance and reinsurance entities.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351"/>
        <w:spacing w:after="0" w:line="264"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right="140" w:firstLine="351"/>
        <w:spacing w:after="0" w:line="264" w:lineRule="auto"/>
        <w:rPr>
          <w:sz w:val="20"/>
          <w:szCs w:val="20"/>
          <w:color w:val="auto"/>
        </w:rPr>
      </w:pPr>
      <w:r>
        <w:rPr>
          <w:rFonts w:ascii="Arial" w:cs="Arial" w:eastAsia="Arial" w:hAnsi="Arial"/>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31F20"/>
        </w:rPr>
        <w:t xml:space="preserve">Effective January 1, 2019, the Company adopted ASU 2016-02, </w:t>
      </w:r>
      <w:r>
        <w:rPr>
          <w:rFonts w:ascii="Arial" w:cs="Arial" w:eastAsia="Arial" w:hAnsi="Arial"/>
          <w:sz w:val="16"/>
          <w:szCs w:val="16"/>
          <w:i w:val="1"/>
          <w:iCs w:val="1"/>
          <w:color w:val="231F20"/>
        </w:rPr>
        <w:t>Leases (Topic 842)</w:t>
      </w:r>
      <w:r>
        <w:rPr>
          <w:rFonts w:ascii="Arial" w:cs="Arial" w:eastAsia="Arial" w:hAnsi="Arial"/>
          <w:sz w:val="16"/>
          <w:szCs w:val="16"/>
          <w:color w:val="231F20"/>
        </w:rPr>
        <w:t xml:space="preserve">. This update requires the recognition of a right-of-use asset and a corresponding lease liability, discounted to the present value, for all leases that extend beyond 12 months. </w:t>
      </w:r>
      <w:r>
        <w:rPr>
          <w:rFonts w:ascii="Arial" w:cs="Arial" w:eastAsia="Arial" w:hAnsi="Arial"/>
          <w:sz w:val="16"/>
          <w:szCs w:val="16"/>
          <w:color w:val="000000"/>
        </w:rPr>
        <w:t>The Company adopted the new standard using a</w:t>
      </w:r>
      <w:r>
        <w:rPr>
          <w:rFonts w:ascii="Arial" w:cs="Arial" w:eastAsia="Arial" w:hAnsi="Arial"/>
          <w:sz w:val="16"/>
          <w:szCs w:val="16"/>
          <w:color w:val="231F20"/>
        </w:rPr>
        <w:t xml:space="preserve"> </w:t>
      </w:r>
      <w:r>
        <w:rPr>
          <w:rFonts w:ascii="Arial" w:cs="Arial" w:eastAsia="Arial" w:hAnsi="Arial"/>
          <w:sz w:val="16"/>
          <w:szCs w:val="16"/>
          <w:color w:val="000000"/>
        </w:rPr>
        <w:t>modified retrospective transition method, applying the transition provisions at the beginning of the period of adoption. The Company elected the package of practical expedients permitted under the transition guidance within the new standard and did not elect to use hindsight in determining the lease term. Upon adoption of the new standard, the Company derecognized assets of $22.6 million and liabilities of $30.9 million associated with a lease that was designated as build-to-suit under the previous guidance, and recorded a cumulative-effect adjustment to increase retained earnings by $8.3 million.</w:t>
      </w:r>
    </w:p>
    <w:p>
      <w:pPr>
        <w:spacing w:after="0" w:line="5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recorded right-of-use assets of $17.2 million and lease liabilities of $17.8 million at adoption of the new standard associated with operating leases for office space in Bermuda, North Carolina, Virginia, Arizona, and Georgia. The new standard did not materially impact the Company's results of operations, earnings per share, or cash flows, and did not impact compliance under the covenants of the Company's current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6" w:right="239" w:bottom="1440" w:gutter="0" w:footer="0" w:header="0"/>
        </w:sectPr>
      </w:pPr>
    </w:p>
    <w:bookmarkStart w:id="165" w:name="page166"/>
    <w:bookmarkEnd w:id="1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Insurance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Reserve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Deferred</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2"/>
              </w:rPr>
              <w:t>for Losses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5"/>
              </w:rPr>
              <w:t>Losses</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Policy</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and Loss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Net</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and Loss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of Policy</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5"/>
              </w:rPr>
              <w:t>Net</w:t>
            </w: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Adjustment</w:t>
            </w:r>
          </w:p>
        </w:tc>
        <w:tc>
          <w:tcPr>
            <w:tcW w:w="1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Unearned</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Earned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Adjustment</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40" w:type="dxa"/>
            <w:vAlign w:val="bottom"/>
          </w:tcPr>
          <w:p>
            <w:pPr>
              <w:spacing w:after="0"/>
              <w:rPr>
                <w:sz w:val="11"/>
                <w:szCs w:val="11"/>
                <w:color w:val="auto"/>
              </w:rPr>
            </w:pPr>
          </w:p>
        </w:tc>
        <w:tc>
          <w:tcPr>
            <w:tcW w:w="7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3"/>
              </w:rPr>
              <w:t>Written</w:t>
            </w:r>
          </w:p>
        </w:tc>
      </w:tr>
      <w:tr>
        <w:trPr>
          <w:trHeight w:val="174"/>
        </w:trPr>
        <w:tc>
          <w:tcPr>
            <w:tcW w:w="2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7"/>
              </w:rPr>
              <w:t>Costs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2"/>
              </w:rPr>
              <w:t>Expenses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Premiums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Premiums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Expenses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Expenses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5"/>
              </w:rPr>
              <w:t>Premiums</w:t>
            </w: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24,428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1,245,581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267,924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625,528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21,358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528,133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49,720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87,326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685,814</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Specialty Admitted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511,027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58,637</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40,480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288,898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140,847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143,880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109,109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37,733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41,932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151,699</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8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62,006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2,045,506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524,377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823,746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75,652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672,102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83,893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170,908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896,150</w:t>
            </w: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16,736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960,562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175,231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555,684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14,456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437,904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48,299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88,865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571,098</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Specialty Admitted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426,315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55,840</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39,543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274,582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126,583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204,568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38,838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129,749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64,596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69,716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135,734</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26,903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8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54,450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1,661,459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386,473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815,398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61,256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600,276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111,103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201,035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762,672</w:t>
            </w: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Excess and Surplus Lines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17,050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759,043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149,047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463,521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15,014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371,717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45,158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79,136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469,891</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Specialty Admitted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271,446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60,957</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Casualty Reinsurance</w:t>
            </w:r>
          </w:p>
        </w:tc>
        <w:tc>
          <w:tcPr>
            <w:tcW w:w="12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56,040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261,860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195,418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209,478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31,507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138,797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65,238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72,446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235,778</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25,330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44"/>
        </w:trPr>
        <w:tc>
          <w:tcPr>
            <w:tcW w:w="2080" w:type="dxa"/>
            <w:vAlign w:val="bottom"/>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72,365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1,292,349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418,114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741,109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61,119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555,377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116,001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196,993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766,626</w:t>
            </w:r>
          </w:p>
        </w:tc>
      </w:tr>
      <w:tr>
        <w:trPr>
          <w:trHeight w:val="20"/>
        </w:trPr>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6" w:right="239" w:bottom="1440" w:gutter="0" w:footer="0" w:header="0"/>
        </w:sectPr>
      </w:pPr>
    </w:p>
    <w:bookmarkStart w:id="166" w:name="page167"/>
    <w:bookmarkEnd w:id="1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SCHEDULE IV</w:t>
            </w:r>
          </w:p>
        </w:tc>
        <w:tc>
          <w:tcPr>
            <w:tcW w:w="0" w:type="dxa"/>
            <w:vAlign w:val="bottom"/>
          </w:tcPr>
          <w:p>
            <w:pPr>
              <w:spacing w:after="0"/>
              <w:rPr>
                <w:sz w:val="1"/>
                <w:szCs w:val="1"/>
                <w:color w:val="auto"/>
              </w:rPr>
            </w:pPr>
          </w:p>
        </w:tc>
      </w:tr>
      <w:tr>
        <w:trPr>
          <w:trHeight w:val="324"/>
        </w:trPr>
        <w:tc>
          <w:tcPr>
            <w:tcW w:w="8520" w:type="dxa"/>
            <w:vAlign w:val="bottom"/>
            <w:gridSpan w:val="10"/>
          </w:tcPr>
          <w:p>
            <w:pPr>
              <w:jc w:val="center"/>
              <w:ind w:left="281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Reinsurance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Ceded</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Assumed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Direct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Amount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to Other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 Other</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Assumed</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Companies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Companies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Net</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Excess and Surplus Lines Written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922,320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236,506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685,814</w:t>
            </w:r>
          </w:p>
        </w:tc>
        <w:tc>
          <w:tcPr>
            <w:tcW w:w="100" w:type="dxa"/>
            <w:vAlign w:val="bottom"/>
          </w:tcPr>
          <w:p>
            <w:pPr>
              <w:spacing w:after="0"/>
              <w:rPr>
                <w:sz w:val="21"/>
                <w:szCs w:val="21"/>
                <w:color w:val="auto"/>
              </w:rPr>
            </w:pPr>
          </w:p>
        </w:tc>
        <w:tc>
          <w:tcPr>
            <w:tcW w:w="14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Written Premiums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383,628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Casualty Reinsurance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160,773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151,699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Written Premiums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1,305,948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574,585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164,787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896,150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Surplus Lines Written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656,538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571,098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Specialty Admitted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370,684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318,506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55,840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Casualty Reinsurance Written Premiums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97"/>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Written Premiums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1,027,222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404,101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139,551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762,672</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Excess and Surplus Lines Written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530,077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60,229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469,891</w:t>
            </w:r>
          </w:p>
        </w:tc>
        <w:tc>
          <w:tcPr>
            <w:tcW w:w="100" w:type="dxa"/>
            <w:vAlign w:val="bottom"/>
          </w:tcPr>
          <w:p>
            <w:pPr>
              <w:spacing w:after="0"/>
              <w:rPr>
                <w:sz w:val="21"/>
                <w:szCs w:val="21"/>
                <w:color w:val="auto"/>
              </w:rPr>
            </w:pPr>
          </w:p>
        </w:tc>
        <w:tc>
          <w:tcPr>
            <w:tcW w:w="144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Admitted Written Premiums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313,642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60,957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Casualty Reinsurance Written Premiums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235,355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235,778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Written Premiums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843,719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315,279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238,186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766,626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1"/>
              </w:rPr>
              <w:t>F-59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-685165</wp:posOffset>
            </wp:positionV>
            <wp:extent cx="909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-2468880</wp:posOffset>
            </wp:positionV>
            <wp:extent cx="909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7" w:name="page168"/>
    <w:bookmarkEnd w:id="1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SCHEDULE V</w:t>
            </w:r>
          </w:p>
        </w:tc>
        <w:tc>
          <w:tcPr>
            <w:tcW w:w="0" w:type="dxa"/>
            <w:vAlign w:val="bottom"/>
          </w:tcPr>
          <w:p>
            <w:pPr>
              <w:spacing w:after="0"/>
              <w:rPr>
                <w:sz w:val="1"/>
                <w:szCs w:val="1"/>
                <w:color w:val="auto"/>
              </w:rPr>
            </w:pPr>
          </w:p>
        </w:tc>
      </w:tr>
      <w:tr>
        <w:trPr>
          <w:trHeight w:val="324"/>
        </w:trPr>
        <w:tc>
          <w:tcPr>
            <w:tcW w:w="8360" w:type="dxa"/>
            <w:vAlign w:val="bottom"/>
            <w:gridSpan w:val="10"/>
          </w:tcPr>
          <w:p>
            <w:pPr>
              <w:jc w:val="center"/>
              <w:ind w:left="2970"/>
              <w:spacing w:after="0"/>
              <w:rPr>
                <w:sz w:val="20"/>
                <w:szCs w:val="20"/>
                <w:color w:val="auto"/>
              </w:rPr>
            </w:pPr>
            <w:r>
              <w:rPr>
                <w:rFonts w:ascii="Arial" w:cs="Arial" w:eastAsia="Arial" w:hAnsi="Arial"/>
                <w:sz w:val="18"/>
                <w:szCs w:val="18"/>
                <w:b w:val="1"/>
                <w:bCs w:val="1"/>
                <w:color w:val="auto"/>
                <w:w w:val="99"/>
              </w:rPr>
              <w:t>JAMES RIVER GROUP HOLDINGS, LTD. AND SUBSIDIARIES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0" w:type="dxa"/>
            <w:vAlign w:val="bottom"/>
          </w:tcPr>
          <w:p>
            <w:pPr>
              <w:spacing w:after="0"/>
              <w:rPr>
                <w:sz w:val="24"/>
                <w:szCs w:val="24"/>
                <w:color w:val="auto"/>
              </w:rPr>
            </w:pPr>
          </w:p>
        </w:tc>
        <w:tc>
          <w:tcPr>
            <w:tcW w:w="33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90"/>
              </w:rPr>
              <w:t>Valuation and Qualifying Accounts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tcPr>
          <w:p>
            <w:pPr>
              <w:spacing w:after="0"/>
              <w:rPr>
                <w:sz w:val="24"/>
                <w:szCs w:val="24"/>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Additions</w:t>
            </w:r>
          </w:p>
        </w:tc>
        <w:tc>
          <w:tcPr>
            <w:tcW w:w="380" w:type="dxa"/>
            <w:vAlign w:val="bottom"/>
          </w:tcPr>
          <w:p>
            <w:pPr>
              <w:spacing w:after="0"/>
              <w:rPr>
                <w:sz w:val="24"/>
                <w:szCs w:val="24"/>
                <w:color w:val="auto"/>
              </w:rPr>
            </w:pPr>
          </w:p>
        </w:tc>
        <w:tc>
          <w:tcPr>
            <w:tcW w:w="12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24"/>
                <w:szCs w:val="24"/>
                <w:color w:val="auto"/>
              </w:rPr>
            </w:pPr>
          </w:p>
        </w:tc>
        <w:tc>
          <w:tcPr>
            <w:tcW w:w="12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5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5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at Beginning</w:t>
            </w:r>
          </w:p>
        </w:tc>
        <w:tc>
          <w:tcPr>
            <w:tcW w:w="340" w:type="dxa"/>
            <w:vAlign w:val="bottom"/>
          </w:tcPr>
          <w:p>
            <w:pPr>
              <w:spacing w:after="0"/>
              <w:rPr>
                <w:sz w:val="12"/>
                <w:szCs w:val="12"/>
                <w:color w:val="auto"/>
              </w:rPr>
            </w:pPr>
          </w:p>
        </w:tc>
        <w:tc>
          <w:tcPr>
            <w:tcW w:w="12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80" w:type="dxa"/>
            <w:vAlign w:val="bottom"/>
          </w:tcPr>
          <w:p>
            <w:pPr>
              <w:spacing w:after="0"/>
              <w:rPr>
                <w:sz w:val="12"/>
                <w:szCs w:val="12"/>
                <w:color w:val="auto"/>
              </w:rPr>
            </w:pPr>
          </w:p>
        </w:tc>
        <w:tc>
          <w:tcPr>
            <w:tcW w:w="12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of Period</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0"/>
              </w:rPr>
              <w:t>Expense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88"/>
              </w:rPr>
              <w:t>or Disposals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3"/>
              </w:rPr>
              <w:t>(in thousands)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8,898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Credit Losses on Bank Loans</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F-60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 Concerning Property Casualty Insurance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4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9"/>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72,365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Reserve for losses and loss adjustment expenses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2,045,506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1,661,459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1,292,349</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418,114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earned premiums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823,746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815,398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741,109</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Losses and loss adjustment expenses incurred:</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533,905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Prior year</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21,472</w:t>
            </w:r>
          </w:p>
        </w:tc>
      </w:tr>
      <w:tr>
        <w:trPr>
          <w:trHeight w:val="27"/>
        </w:trPr>
        <w:tc>
          <w:tcPr>
            <w:tcW w:w="49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losses and loss adjustment expenses incurred</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555,377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Amortization of policy acquisition costs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116,001</w:t>
            </w:r>
          </w:p>
        </w:tc>
      </w:tr>
      <w:tr>
        <w:trPr>
          <w:trHeight w:val="27"/>
        </w:trPr>
        <w:tc>
          <w:tcPr>
            <w:tcW w:w="4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Paid losses and loss adjustment expenses, net of reinsurance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326,680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written premiums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896,150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762,672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766,626</w:t>
            </w:r>
          </w:p>
        </w:tc>
      </w:tr>
      <w:tr>
        <w:trPr>
          <w:trHeight w:val="783"/>
        </w:trPr>
        <w:tc>
          <w:tcPr>
            <w:tcW w:w="4960" w:type="dxa"/>
            <w:vAlign w:val="bottom"/>
          </w:tcPr>
          <w:p>
            <w:pPr>
              <w:spacing w:after="0"/>
              <w:rPr>
                <w:sz w:val="24"/>
                <w:szCs w:val="24"/>
                <w:color w:val="auto"/>
              </w:rPr>
            </w:pPr>
          </w:p>
        </w:tc>
        <w:tc>
          <w:tcPr>
            <w:tcW w:w="2160" w:type="dxa"/>
            <w:vAlign w:val="bottom"/>
            <w:gridSpan w:val="2"/>
          </w:tcPr>
          <w:p>
            <w:pPr>
              <w:jc w:val="right"/>
              <w:ind w:right="1240"/>
              <w:spacing w:after="0"/>
              <w:rPr>
                <w:sz w:val="20"/>
                <w:szCs w:val="20"/>
                <w:color w:val="auto"/>
              </w:rPr>
            </w:pPr>
            <w:r>
              <w:rPr>
                <w:rFonts w:ascii="Arial" w:cs="Arial" w:eastAsia="Arial" w:hAnsi="Arial"/>
                <w:sz w:val="18"/>
                <w:szCs w:val="18"/>
                <w:color w:val="auto"/>
              </w:rPr>
              <w:t>F-61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69" w:name="page170"/>
    <w:bookmarkEnd w:id="169"/>
    <w:p>
      <w:pPr>
        <w:ind w:left="10480"/>
        <w:spacing w:after="0"/>
        <w:rPr>
          <w:sz w:val="20"/>
          <w:szCs w:val="20"/>
          <w:color w:val="auto"/>
        </w:rPr>
      </w:pPr>
      <w:r>
        <w:rPr>
          <w:rFonts w:ascii="Arial" w:cs="Arial" w:eastAsia="Arial" w:hAnsi="Arial"/>
          <w:sz w:val="16"/>
          <w:szCs w:val="16"/>
          <w:b w:val="1"/>
          <w:bCs w:val="1"/>
          <w:color w:val="auto"/>
        </w:rPr>
        <w:t>Exhibit 4.18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27" w:lineRule="exact"/>
        <w:rPr>
          <w:sz w:val="20"/>
          <w:szCs w:val="20"/>
          <w:color w:val="auto"/>
        </w:rPr>
      </w:pPr>
    </w:p>
    <w:p>
      <w:pPr>
        <w:ind w:right="600" w:firstLine="351"/>
        <w:spacing w:after="0" w:line="277" w:lineRule="auto"/>
        <w:rPr>
          <w:sz w:val="20"/>
          <w:szCs w:val="20"/>
          <w:color w:val="auto"/>
        </w:rPr>
      </w:pPr>
      <w:r>
        <w:rPr>
          <w:rFonts w:ascii="Arial" w:cs="Arial" w:eastAsia="Arial" w:hAnsi="Arial"/>
          <w:sz w:val="18"/>
          <w:szCs w:val="18"/>
          <w:color w:val="auto"/>
        </w:rPr>
        <w:t>James River Group Holdings, Ltd. (“we,” “our”, “us”, or the “Company”) has one class of securities registered under Section 12 of the Securities Exchange Act of 1934, as amended: our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following summary descriptions of our share capital, memorandum of association and third amended and restated bye-laws (“bye-laws”) are intended as summaries only and are qualified in their entirety by reference to our memorandum of association and bye-laws, copies of which are filed as exhibits to our Annual Report on Form 10-K, and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140" w:firstLine="351"/>
        <w:spacing w:after="0" w:line="277" w:lineRule="auto"/>
        <w:rPr>
          <w:sz w:val="20"/>
          <w:szCs w:val="20"/>
          <w:color w:val="auto"/>
        </w:rPr>
      </w:pPr>
      <w:r>
        <w:rPr>
          <w:rFonts w:ascii="Arial" w:cs="Arial" w:eastAsia="Arial" w:hAnsi="Arial"/>
          <w:sz w:val="18"/>
          <w:szCs w:val="18"/>
          <w:color w:val="auto"/>
        </w:rPr>
        <w:t>Our authorized share capital consists of 200,000,000 common shares, par value $0.0002 per share, and 20,000,000 preferred shares, par value $0.00125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Such rights, preferences, powers and limitations as may be established could have the effect of discouraging an attempt to obtain control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All shares sold pursuant to a registered offering are, when issued, fully paid and non-assessable.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80" w:firstLine="351"/>
        <w:spacing w:after="0" w:line="342" w:lineRule="auto"/>
        <w:rPr>
          <w:sz w:val="20"/>
          <w:szCs w:val="20"/>
          <w:color w:val="auto"/>
        </w:rPr>
      </w:pPr>
      <w:r>
        <w:rPr>
          <w:rFonts w:ascii="Arial" w:cs="Arial" w:eastAsia="Arial" w:hAnsi="Arial"/>
          <w:sz w:val="16"/>
          <w:szCs w:val="16"/>
          <w:color w:val="auto"/>
        </w:rPr>
        <w:t>The board may, subject to Bermuda law and our bye-laws, declare a dividend to be paid to our members as of a record date determined by the board, in proportion to the number of shares held by such holder, subject to any rights of holders of preferred shares. No unpaid dividend shall bear any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351"/>
        <w:spacing w:after="0" w:line="270" w:lineRule="auto"/>
        <w:rPr>
          <w:sz w:val="20"/>
          <w:szCs w:val="20"/>
          <w:color w:val="auto"/>
        </w:rPr>
      </w:pPr>
      <w:r>
        <w:rPr>
          <w:rFonts w:ascii="Arial" w:cs="Arial" w:eastAsia="Arial" w:hAnsi="Arial"/>
          <w:sz w:val="17"/>
          <w:szCs w:val="17"/>
          <w:color w:val="auto"/>
        </w:rPr>
        <w:t>In general, and subject to the adjustments described below, shareholders have one vote for each common share held by them and are entitled to vote, on a non-cumulative basis, at all meetings of members. Under our bye-laws, if, and so long as, the votes conferred by the “Controlled Shares” (as defined below) of any person would otherwise cause such person (or any other person) to be treated as a “9.5% Shareholder” (as defined below) with respect to any matter (including, without limitation, election of directors), the votes conferred by the Controlled Shares owned by shareholders of such person’s “Controlled Group” (as defined below) will be reduced (and will be automatically reduced in the future) by whatever amount is necessary so that after any such reduction the votes conferred by the Controlled Shares of such person will not result in any other person being treated as a 9.5% Shareholder with respect to the vote on such matter. These reductions will be made pursuant to formulas provided in our bye-laws, as applied by the board within its discretion. Under these provisions certain shareholders may have their voting rights limited to less than one vote per share, while other shareholders may have voting rights in excess of one vote per share. Any person who was a 9.5% Shareholder as of the end of the business day on which our initial public offering was consummated is exempt from these voting restrictions.</w:t>
      </w:r>
    </w:p>
    <w:p>
      <w:pPr>
        <w:sectPr>
          <w:pgSz w:w="11900" w:h="16838" w:orient="portrait"/>
          <w:cols w:equalWidth="0" w:num="1">
            <w:col w:w="11420"/>
          </w:cols>
          <w:pgMar w:left="240" w:top="553" w:right="239" w:bottom="1440" w:gutter="0" w:footer="0" w:header="0"/>
        </w:sectPr>
      </w:pPr>
    </w:p>
    <w:bookmarkStart w:id="170" w:name="page171"/>
    <w:bookmarkEnd w:id="170"/>
    <w:p>
      <w:pPr>
        <w:ind w:right="200" w:firstLine="351"/>
        <w:spacing w:after="0" w:line="271" w:lineRule="auto"/>
        <w:rPr>
          <w:sz w:val="20"/>
          <w:szCs w:val="20"/>
          <w:color w:val="auto"/>
        </w:rPr>
      </w:pPr>
      <w:r>
        <w:rPr>
          <w:rFonts w:ascii="Arial" w:cs="Arial" w:eastAsia="Arial" w:hAnsi="Arial"/>
          <w:sz w:val="17"/>
          <w:szCs w:val="17"/>
          <w:color w:val="auto"/>
        </w:rPr>
        <w:t>“Controlled Shares” means, in reference to any person, all shares that such person is deemed to own directly, indirectly (within the meaning of Section 958(a) of the Internal Revenue Code of 1986, as amended (the “Code”)) or, in the case of any U.S. person, constructively (within the meaning of Section 958(b) of the Code); “Controlled Group” means, with respect to any person, all shares directly owned by such person and all shares directly owned by each other member any of whose shares are included in the Controlled Shares of such person; “9.5% Shareholder” means a U.S. person (other than a 9.5% Excluded Person) that (a) owns (within the meaning of Section 958(a) of the Code) any shares; and (b) owns, is deemed to own, or constructively owns Controlled Shares which confer votes in excess of 9.5% of the votes conferred by all of the issued and outstanding shares (in each case as determined pursuant to Section 958(b) of the Code); “9.5% Excluded Person” means any person who would, immediately after the consummation of our initial public offering, be a 9.5% Shareholder pursuant to the definition of 9.5% Shareholder.</w:t>
      </w:r>
    </w:p>
    <w:p>
      <w:pPr>
        <w:spacing w:after="0" w:line="179" w:lineRule="exact"/>
        <w:rPr>
          <w:sz w:val="20"/>
          <w:szCs w:val="20"/>
          <w:color w:val="auto"/>
        </w:rPr>
      </w:pPr>
    </w:p>
    <w:p>
      <w:pPr>
        <w:ind w:right="40" w:firstLine="351"/>
        <w:spacing w:after="0" w:line="279" w:lineRule="auto"/>
        <w:rPr>
          <w:sz w:val="20"/>
          <w:szCs w:val="20"/>
          <w:color w:val="auto"/>
        </w:rPr>
      </w:pPr>
      <w:r>
        <w:rPr>
          <w:rFonts w:ascii="Arial" w:cs="Arial" w:eastAsia="Arial" w:hAnsi="Arial"/>
          <w:sz w:val="17"/>
          <w:szCs w:val="17"/>
          <w:color w:val="auto"/>
        </w:rPr>
        <w:t>In addition, our bye-laws provide that the board may determine that certain shares shall not carry voting rights or shall have reduced voting rights to the extent that the board reasonably determines, by the affirmative vote of a majority of the directors, that it is necessary to do so to avoid any adverse tax consequences or materially adverse legal or regulatory treatment to us, any of our subsidiaries or any shareholder or its affiliates, provided that the Board will use reasonable efforts to ensure equal treatment to similarly situated members to the extent possible under the circumstances.</w:t>
      </w:r>
    </w:p>
    <w:p>
      <w:pPr>
        <w:spacing w:after="0" w:line="171" w:lineRule="exact"/>
        <w:rPr>
          <w:sz w:val="20"/>
          <w:szCs w:val="20"/>
          <w:color w:val="auto"/>
        </w:rPr>
      </w:pPr>
    </w:p>
    <w:p>
      <w:pPr>
        <w:ind w:right="280" w:firstLine="351"/>
        <w:spacing w:after="0" w:line="302" w:lineRule="auto"/>
        <w:rPr>
          <w:sz w:val="20"/>
          <w:szCs w:val="20"/>
          <w:color w:val="auto"/>
        </w:rPr>
      </w:pPr>
      <w:r>
        <w:rPr>
          <w:rFonts w:ascii="Arial" w:cs="Arial" w:eastAsia="Arial" w:hAnsi="Arial"/>
          <w:sz w:val="16"/>
          <w:szCs w:val="16"/>
          <w:color w:val="auto"/>
        </w:rPr>
        <w:t>Our bye-laws authorize us to request information from any shareholder for the purpose of determining whether a shareholder’s voting rights are to be adjusted as described above. If, after a reasonable cure period, a member fails to respond to a request by us for information or submits incomplete or inaccurate information in response to a request, the board may eliminate the shareholder’s voting rights. A member is required to notify us in the event it acquires actual knowledge that it or one of its investors is the actual, deemed or constructive owner of 9.5% or more of our controlled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Bye-laws Provisions</w:t>
      </w:r>
    </w:p>
    <w:p>
      <w:pPr>
        <w:spacing w:after="0" w:line="22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The provisions of our bye-laws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such persons’ terms.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bye-laws provide that the board shall consist of eight directors or such number in excess thereof as our board of directors may determine.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firstLine="351"/>
        <w:spacing w:after="0" w:line="279" w:lineRule="auto"/>
        <w:rPr>
          <w:sz w:val="20"/>
          <w:szCs w:val="20"/>
          <w:color w:val="auto"/>
        </w:rPr>
      </w:pPr>
      <w:r>
        <w:rPr>
          <w:rFonts w:ascii="Arial" w:cs="Arial" w:eastAsia="Arial" w:hAnsi="Arial"/>
          <w:sz w:val="17"/>
          <w:szCs w:val="17"/>
          <w:color w:val="auto"/>
        </w:rPr>
        <w:t>Our board is divided into three classes, class I, class II and class III, with members of each class serving staggered three-year terms. Our bye-laws further provide that the authorized number of directors may be increased only by resolution of the board. Any additional directorships resulting from an increase in the number of directors shall be distributed among the three classes so that, as nearly as possible, each class consists of one-third of the directors. Our classified board of directors could have the effect of delaying or discouraging an acquisition of us or a change in our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420" w:firstLine="351"/>
        <w:spacing w:after="0" w:line="308" w:lineRule="auto"/>
        <w:rPr>
          <w:sz w:val="20"/>
          <w:szCs w:val="20"/>
          <w:color w:val="auto"/>
        </w:rPr>
      </w:pPr>
      <w:r>
        <w:rPr>
          <w:rFonts w:ascii="Arial" w:cs="Arial" w:eastAsia="Arial" w:hAnsi="Arial"/>
          <w:sz w:val="17"/>
          <w:szCs w:val="17"/>
          <w:color w:val="auto"/>
        </w:rPr>
        <w:t>Our directors may be removed only for cause by the affirmative vote of the holders of at least 50% of our voting shares. Any vacancy on our board, including a vacancy resulting from an enlargement of our board, may be filled only by vote of a majority of our directors then in office.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225" w:lineRule="exact"/>
        <w:rPr>
          <w:sz w:val="20"/>
          <w:szCs w:val="20"/>
          <w:color w:val="auto"/>
        </w:rPr>
      </w:pPr>
    </w:p>
    <w:p>
      <w:pPr>
        <w:ind w:right="660" w:firstLine="351"/>
        <w:spacing w:after="0" w:line="277" w:lineRule="auto"/>
        <w:rPr>
          <w:sz w:val="20"/>
          <w:szCs w:val="20"/>
          <w:color w:val="auto"/>
        </w:rPr>
      </w:pPr>
      <w:r>
        <w:rPr>
          <w:rFonts w:ascii="Arial" w:cs="Arial" w:eastAsia="Arial" w:hAnsi="Arial"/>
          <w:sz w:val="18"/>
          <w:szCs w:val="18"/>
          <w:color w:val="auto"/>
        </w:rPr>
        <w:t>Our bye-laws provide that shareholder action may be taken at an annual meeting or special meeting of shareholders. Failure to satisfy any of the requirements for a shareholder meeting could delay, prevent or invalidate shareholder 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Advance Notice Procedure</w:t>
      </w:r>
    </w:p>
    <w:p>
      <w:pPr>
        <w:spacing w:after="0" w:line="225" w:lineRule="exact"/>
        <w:rPr>
          <w:sz w:val="20"/>
          <w:szCs w:val="20"/>
          <w:color w:val="auto"/>
        </w:rPr>
      </w:pPr>
    </w:p>
    <w:p>
      <w:pPr>
        <w:ind w:right="60" w:firstLine="351"/>
        <w:spacing w:after="0" w:line="264" w:lineRule="auto"/>
        <w:rPr>
          <w:sz w:val="20"/>
          <w:szCs w:val="20"/>
          <w:color w:val="auto"/>
        </w:rPr>
      </w:pPr>
      <w:r>
        <w:rPr>
          <w:rFonts w:ascii="Arial" w:cs="Arial" w:eastAsia="Arial" w:hAnsi="Arial"/>
          <w:sz w:val="18"/>
          <w:szCs w:val="18"/>
          <w:color w:val="auto"/>
        </w:rPr>
        <w:t>Our bye-laws establish an advance notice procedure for shareholders to make nominations of candidates for election as directors or to bring other business before an annual meeting of our shareholders. The bye-laws provide that any shareholder wishing to nominate persons for election as directors at, or bring other business before, an annual meeting must deliver to our</w:t>
      </w:r>
    </w:p>
    <w:p>
      <w:pPr>
        <w:sectPr>
          <w:pgSz w:w="11900" w:h="16838" w:orient="portrait"/>
          <w:cols w:equalWidth="0" w:num="1">
            <w:col w:w="11400"/>
          </w:cols>
          <w:pgMar w:left="240" w:top="557" w:right="259" w:bottom="1440" w:gutter="0" w:footer="0" w:header="0"/>
        </w:sectPr>
      </w:pPr>
    </w:p>
    <w:bookmarkStart w:id="171" w:name="page172"/>
    <w:bookmarkEnd w:id="171"/>
    <w:p>
      <w:pPr>
        <w:ind w:right="140"/>
        <w:spacing w:after="0" w:line="290" w:lineRule="auto"/>
        <w:rPr>
          <w:sz w:val="20"/>
          <w:szCs w:val="20"/>
          <w:color w:val="auto"/>
        </w:rPr>
      </w:pPr>
      <w:r>
        <w:rPr>
          <w:rFonts w:ascii="Arial" w:cs="Arial" w:eastAsia="Arial" w:hAnsi="Arial"/>
          <w:sz w:val="16"/>
          <w:szCs w:val="16"/>
          <w:color w:val="auto"/>
        </w:rPr>
        <w:t>secretary a written notice of the shareholder’s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shareholder’s notice must be delivered to or mailed and received by us not less than 90 days nor more than 120 days before the anniversary date of the preceding annual meeting, except that if the annual meeting is set for a date that is not within 25 days before or after such anniversary date, we must receive the notice not earlier than 120 days prior to such annual general meeting and not later than the later of 70 days prior to the date of the general meeting or the close of business on the tenth day following the earlier of the date on which notice of the annual general meeting was posted to shareholders or the date on which public disclosure of the date of the annual general meeting was made. The notice must include the following information:</w:t>
      </w:r>
    </w:p>
    <w:p>
      <w:pPr>
        <w:spacing w:after="0" w:line="166" w:lineRule="exact"/>
        <w:rPr>
          <w:sz w:val="20"/>
          <w:szCs w:val="20"/>
          <w:color w:val="auto"/>
        </w:rPr>
      </w:pPr>
    </w:p>
    <w:p>
      <w:pPr>
        <w:ind w:left="660" w:right="1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shareholder who intends to make the nomination and the name and address of the person or persons to be nominated or the nature of the business to be proposed;</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representation that the shareholder is a holder of record of our share capital entitled to vote at such meeting and intends to appear in person or by proxy at the meeting to nominate the person or persons or to introduce the business specified in the notice;</w:t>
      </w:r>
    </w:p>
    <w:p>
      <w:pPr>
        <w:spacing w:after="0" w:line="183"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description of all arrangements or understandings between the shareholder and each nominee and any other person or persons, naming such person or persons, pursuant to which the nomination is to be made by the shareholder;</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such other information regarding each nominee to be proposed by such shareholder as would be required to be included in a proxy statement filed under the SEC’s proxy rules if the nominee had been nominated, or intended to be nominated, by the board of directors;</w:t>
      </w:r>
    </w:p>
    <w:p>
      <w:pPr>
        <w:spacing w:after="0" w:line="160"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brief description of any business desired to be brought before the general meeting, the text of the proposal or business, the reasons for conducting such business at the general meeting and any material interest in such business of such shareholder;</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consent of each nominee to serve as a director if elected; and such other information that the board of directors may request in its discretion;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class and number of shares that are held of record or beneficially owned by the shareholder;</w:t>
      </w:r>
    </w:p>
    <w:p>
      <w:pPr>
        <w:spacing w:after="0" w:line="23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 order to create or mitigate loss to, manage risk or benefit of share price changes for, or increase or decrease the voting power of the shareholder;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principal amount of and description of indebtedness of the Company or any of its subsidiaries that is held by the shareholder;</w:t>
      </w:r>
    </w:p>
    <w:p>
      <w:pPr>
        <w:spacing w:after="0" w:line="238"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representation as to whether the shareholder intends or is part of a group that intends to deliver a proxy statement to shareholders or to otherwise solicit proxies from other shareholders;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other information that the board of directors may request in its discretion.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Repurchase Our Common Shares in the Event of Adverse Tax Consequences</w:t>
      </w:r>
    </w:p>
    <w:p>
      <w:pPr>
        <w:spacing w:after="0" w:line="225"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color w:val="auto"/>
        </w:rPr>
        <w:t>Under our bye-laws and subject to the law of the Bermuda, we have the option, but not the obligation, to purchase all or part of the shares of the Company held by a shareholder, other than any shareholder that owned more than 9.5% of the total voting power of our common shares as of the date of our initial public offering, at fair market value (as determined by the average closing sales prices of the shares on certain exchanges, or if there is no sales price or quotation available, by an investment advisor selected by our board of directors and reasonably approved by the shareholder whose shares are being purchased) to the extent that the board of directors determines that such shareholder’s ownership of such common shares may result in an adverse tax consequence or materially adverse legal or regulatory treatment for the Company or any of its subsidiaries or any other person; provided that the board of directors will use reasonable efforts to exercise such discretion equally among similarly situated shareholders.</w:t>
      </w:r>
    </w:p>
    <w:p>
      <w:pPr>
        <w:sectPr>
          <w:pgSz w:w="11900" w:h="16838" w:orient="portrait"/>
          <w:cols w:equalWidth="0" w:num="1">
            <w:col w:w="11380"/>
          </w:cols>
          <w:pgMar w:left="240" w:top="557" w:right="2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i w:val="1"/>
          <w:iCs w:val="1"/>
          <w:color w:val="auto"/>
        </w:rPr>
        <w:t>Amendments to Memorandum of Association and Bye-laws</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Amendments to our bye-laws require an affirmative vote of the majority of our board and a majority of the votes cast at any annual or special meeting of shareholders. Amendments to our memorandum of association require an affirmative vote of the majority of our board and 66.67% of the outstanding shares then entitled to vote at any annual or special meeting of shareholders. Our bye-laws also provide that specified provisions of our bye-laws may not be amended, altered or repealed unless the amendment is approved by the affirmative vote of 66.67% of the directors then in office and the holders of at least</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66.67% of the issued and outstanding shares then entitled to vote at any annual or special meeting of shareholders, including the provisions governing voting, the election of directors, our classified board, director removal and amendments to our bye-laws and memorandum of association.</w:t>
      </w:r>
    </w:p>
    <w:p>
      <w:pPr>
        <w:spacing w:after="0" w:line="162" w:lineRule="exact"/>
        <w:rPr>
          <w:sz w:val="20"/>
          <w:szCs w:val="20"/>
          <w:color w:val="auto"/>
        </w:rPr>
      </w:pPr>
    </w:p>
    <w:p>
      <w:pPr>
        <w:ind w:right="300" w:firstLine="351"/>
        <w:spacing w:after="0" w:line="277" w:lineRule="auto"/>
        <w:rPr>
          <w:sz w:val="20"/>
          <w:szCs w:val="20"/>
          <w:color w:val="auto"/>
        </w:rPr>
      </w:pPr>
      <w:r>
        <w:rPr>
          <w:rFonts w:ascii="Arial" w:cs="Arial" w:eastAsia="Arial" w:hAnsi="Arial"/>
          <w:sz w:val="18"/>
          <w:szCs w:val="18"/>
          <w:color w:val="auto"/>
        </w:rPr>
        <w:t>These provisions make it more difficult for any person to remove or amend any provisions in our memorandum of association and bye-laws that may have an anti-takeover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annual general meeting will be held each year. A special general meeting will be held when, in the judgment of the Chairman, any two directors, any director and our secretary or the board, such a meeting is necessary. In addition, upon receiving a requisition from holders of at least 10% of our voting shares, the board shall convene a special general meeting. At least two or more persons representing more than 50% of our aggregate voting power must be present to constitute a quorum for the transaction of business at a general meeting, provided that if we shall at any time have only one member, one member present in person or by proxy shall form a quorum for the transaction of business at any general meeting held during such time. No shareholder may participate in any general meeting during which the shareholder (or shareholder’s representative) is physically present in the United States. As determined according to certain adjustments of voting power specified in our bye-laws (See “- Common Shares - Voting Rights”), questions proposed for consideration by the shareholders will be decided by the affirmative vote of the majority of the votes 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bye-laws provide that, except for persons that are officers, managers or employees of the Company, and directors who are officers, managers or employees of the Company, no shareholder nor any of its affiliates, or any of its or their respective directors, officers, employees, agents, general or limited partners, managers, members, or shareholders, in any case whether or not one of our directors or officers, have any duty to communicate or present any investment or business opportunity or prospective transaction, agreement, arrangement, or other economic advantage to us. In addition, to the fullest extent permitted by law, such persons may engage in businesses competitive with ours. In our bye-laws we explicitly renounce any interest of the company in such opportunities and any expectation that such opportunities will be offered to us.</w:t>
      </w:r>
    </w:p>
    <w:p>
      <w:pPr>
        <w:sectPr>
          <w:pgSz w:w="11900" w:h="16838" w:orient="portrait"/>
          <w:cols w:equalWidth="0" w:num="1">
            <w:col w:w="11400"/>
          </w:cols>
          <w:pgMar w:left="240" w:top="774" w:right="2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JAMES RIVER GROUP HOLDINGS,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ind w:left="40"/>
              <w:spacing w:after="0"/>
              <w:rPr>
                <w:sz w:val="20"/>
                <w:szCs w:val="20"/>
                <w:color w:val="auto"/>
              </w:rPr>
            </w:pPr>
            <w:r>
              <w:rPr>
                <w:rFonts w:ascii="Arial" w:cs="Arial" w:eastAsia="Arial" w:hAnsi="Arial"/>
                <w:sz w:val="18"/>
                <w:szCs w:val="18"/>
                <w:b w:val="1"/>
                <w:bCs w:val="1"/>
                <w:color w:val="auto"/>
              </w:rPr>
              <w:t>Subsidiary</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 or Formation</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Carolina Re, Ltd.</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Falls Lake Fire and Casualty Company</w:t>
            </w:r>
          </w:p>
        </w:tc>
        <w:tc>
          <w:tcPr>
            <w:tcW w:w="490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Falls Lake Insurance Management Company, Inc.</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Falls Lake National Insurance Company</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Franklin Holdings II (Bermuda) Capital Trust I</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Capital Trust I</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Capital Trust II</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Capital Trust III</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Capital Trust IV</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Casualty Company</w:t>
            </w:r>
          </w:p>
        </w:tc>
        <w:tc>
          <w:tcPr>
            <w:tcW w:w="490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Group Holdings UK Limited</w:t>
            </w: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Group, Inc.</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Insurance Company</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Management Company, Inc.</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James River Richmond Real Estate, LLC</w:t>
            </w:r>
          </w:p>
        </w:tc>
        <w:tc>
          <w:tcPr>
            <w:tcW w:w="490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JRG Reinsurance Company, Ltd.</w:t>
            </w: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Potomac Risk Services, Inc. (d/b/a James River TPA Services)</w:t>
            </w:r>
          </w:p>
        </w:tc>
        <w:tc>
          <w:tcPr>
            <w:tcW w:w="490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Stonewood Insurance Company</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bl>
    <w:p>
      <w:pPr>
        <w:sectPr>
          <w:pgSz w:w="11900" w:h="16838" w:orient="portrait"/>
          <w:cols w:equalWidth="0" w:num="1">
            <w:col w:w="11420"/>
          </w:cols>
          <w:pgMar w:left="240" w:top="55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1260" w:hanging="70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Nos. 333-200995, 333-217743, and 333-231200) of James River Group Holdings, Ltd.;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60" w:hanging="705"/>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S-3 No. 333-208903) of James River Group Holdings, Ltd.;</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of our reports dated February 27, 2020,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J. Adam Abram,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James River Group Holdings, Ltd.;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connection with the annual report of James River Group Holdings, Ltd. (the “Company”) on Form 10-K for the period ended December 31, 2019 as filed with the Securities and Exchange Commission on the date hereof (the “Report”), we, J. Adam Abram, Chief Executive Officer of the Company, and Sarah C. Doran, Chief Financial Officer of the Company, certify, to the best of our knowledge, pursuant to 18 U.S.C. §1350, as adopted pursuant to §906 of the Sarbanes-Oxley Act of 2002, that:</w:t>
      </w:r>
    </w:p>
    <w:p>
      <w:pPr>
        <w:spacing w:after="0" w:line="187" w:lineRule="exact"/>
        <w:rPr>
          <w:sz w:val="20"/>
          <w:szCs w:val="20"/>
          <w:color w:val="auto"/>
        </w:rPr>
      </w:pPr>
    </w:p>
    <w:p>
      <w:pPr>
        <w:ind w:left="860" w:hanging="852"/>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 Adam Abram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 Adam Abram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27, 2020</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Sarah C. Doran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27, 2020</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lowerRoman"/>
      <w:start w:val="2"/>
    </w:lvl>
  </w:abstractNum>
  <w:abstractNum w:abstractNumId="9">
    <w:nsid w:val="3804823E"/>
    <w:multiLevelType w:val="hybridMultilevel"/>
    <w:lvl w:ilvl="0">
      <w:lvlJc w:val="left"/>
      <w:lvlText w:val="(%1)"/>
      <w:numFmt w:val="lowerRoman"/>
      <w:start w:val="3"/>
    </w:lvl>
  </w:abstractNum>
  <w:abstractNum w:abstractNumId="10">
    <w:nsid w:val="77465F01"/>
    <w:multiLevelType w:val="hybridMultilevel"/>
    <w:lvl w:ilvl="0">
      <w:lvlJc w:val="left"/>
      <w:lvlText w:val="(%1)"/>
      <w:numFmt w:val="lowerRoman"/>
      <w:start w:val="4"/>
    </w:lvl>
  </w:abstractNum>
  <w:abstractNum w:abstractNumId="11">
    <w:nsid w:val="7724C67E"/>
    <w:multiLevelType w:val="hybridMultilevel"/>
    <w:lvl w:ilvl="0">
      <w:lvlJc w:val="left"/>
      <w:lvlText w:val="(%1)"/>
      <w:numFmt w:val="lowerRoman"/>
      <w:start w:val="3"/>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7"/>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
      <w:numFmt w:val="bullet"/>
      <w:start w:val="1"/>
    </w:lvl>
    <w:lvl w:ilvl="1">
      <w:lvlJc w:val="left"/>
      <w:lvlText w:val="%2"/>
      <w:numFmt w:val="decimal"/>
      <w:start w:val="104"/>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2"/>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decimal"/>
      <w:start w:val="3"/>
    </w:lvl>
  </w:abstractNum>
  <w:abstractNum w:abstractNumId="45">
    <w:nsid w:val="4F4EF005"/>
    <w:multiLevelType w:val="hybridMultilevel"/>
    <w:lvl w:ilvl="0">
      <w:lvlJc w:val="left"/>
      <w:lvlText w:val="%1."/>
      <w:numFmt w:val="decimal"/>
      <w:start w:val="4"/>
    </w:lvl>
  </w:abstractNum>
  <w:abstractNum w:abstractNumId="46">
    <w:nsid w:val="23F9C13C"/>
    <w:multiLevelType w:val="hybridMultilevel"/>
    <w:lvl w:ilvl="0">
      <w:lvlJc w:val="left"/>
      <w:lvlText w:val="%1."/>
      <w:numFmt w:val="decimal"/>
      <w:start w:val="5"/>
    </w:lvl>
  </w:abstractNum>
  <w:abstractNum w:abstractNumId="47">
    <w:nsid w:val="649BB77C"/>
    <w:multiLevelType w:val="hybridMultilevel"/>
    <w:lvl w:ilvl="0">
      <w:lvlJc w:val="left"/>
      <w:lvlText w:val="%1."/>
      <w:numFmt w:val="decimal"/>
      <w:start w:val="6"/>
    </w:lvl>
  </w:abstractNum>
  <w:abstractNum w:abstractNumId="48">
    <w:nsid w:val="275AC794"/>
    <w:multiLevelType w:val="hybridMultilevel"/>
    <w:lvl w:ilvl="0">
      <w:lvlJc w:val="left"/>
      <w:lvlText w:val="%1."/>
      <w:numFmt w:val="decimal"/>
      <w:start w:val="7"/>
    </w:lvl>
  </w:abstractNum>
  <w:abstractNum w:abstractNumId="49">
    <w:nsid w:val="39386575"/>
    <w:multiLevelType w:val="hybridMultilevel"/>
    <w:lvl w:ilvl="0">
      <w:lvlJc w:val="left"/>
      <w:lvlText w:val="%1."/>
      <w:numFmt w:val="decimal"/>
      <w:start w:val="8"/>
    </w:lvl>
  </w:abstractNum>
  <w:abstractNum w:abstractNumId="50">
    <w:nsid w:val="1CF10FD8"/>
    <w:multiLevelType w:val="hybridMultilevel"/>
    <w:lvl w:ilvl="0">
      <w:lvlJc w:val="left"/>
      <w:lvlText w:val="%1."/>
      <w:numFmt w:val="decimal"/>
      <w:start w:val="9"/>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decimal"/>
      <w:start w:val="24"/>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82" Type="http://schemas.openxmlformats.org/officeDocument/2006/relationships/image" Target="media/image39.png"/><Relationship Id="rId83" Type="http://schemas.openxmlformats.org/officeDocument/2006/relationships/image" Target="media/image40.png"/><Relationship Id="rId84" Type="http://schemas.openxmlformats.org/officeDocument/2006/relationships/image" Target="media/image41.png"/><Relationship Id="rId85"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png"/><Relationship Id="rId96" Type="http://schemas.openxmlformats.org/officeDocument/2006/relationships/image" Target="media/image53.png"/><Relationship Id="rId97" Type="http://schemas.openxmlformats.org/officeDocument/2006/relationships/image" Target="media/image54.png"/><Relationship Id="rId98" Type="http://schemas.openxmlformats.org/officeDocument/2006/relationships/image" Target="media/image55.png"/><Relationship Id="rId99"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44" Type="http://schemas.openxmlformats.org/officeDocument/2006/relationships/hyperlink" Target="http://www.sec.gov/Archives/edgar/data/1620459/000157104914005924/t1401933_ex3-1.htm" TargetMode="External"/><Relationship Id="rId45" Type="http://schemas.openxmlformats.org/officeDocument/2006/relationships/hyperlink" Target="http://www.sec.gov/Archives/edgar/data/1620459/000157104914005924/t1401933_ex3-2.htm" TargetMode="External"/><Relationship Id="rId46" Type="http://schemas.openxmlformats.org/officeDocument/2006/relationships/hyperlink" Target="http://www.sec.gov/Archives/edgar/data/1620459/000157104914005924/t1401933_ex3-3.htm" TargetMode="External"/><Relationship Id="rId47" Type="http://schemas.openxmlformats.org/officeDocument/2006/relationships/hyperlink" Target="http://www.sec.gov/Archives/edgar/data/1620459/000157104914005924/t1401933_ex3-4.htm" TargetMode="External"/><Relationship Id="rId48" Type="http://schemas.openxmlformats.org/officeDocument/2006/relationships/hyperlink" Target="http://www.sec.gov/Archives/edgar/data/1620459/000157104914005924/t1401933_ex3-5.htm" TargetMode="External"/><Relationship Id="rId49" Type="http://schemas.openxmlformats.org/officeDocument/2006/relationships/hyperlink" Target="http://www.sec.gov/Archives/edgar/data/1620459/000157104915001874/t1500493_ex3-6.htm" TargetMode="External"/><Relationship Id="rId50" Type="http://schemas.openxmlformats.org/officeDocument/2006/relationships/hyperlink" Target="http://www.sec.gov/Archives/edgar/data/1620459/000157104914007101/t1402404_ex4-1.htm" TargetMode="External"/><Relationship Id="rId51" Type="http://schemas.openxmlformats.org/officeDocument/2006/relationships/hyperlink" Target="http://www.sec.gov/Archives/edgar/data/1620459/000110465919061877/tm1922373d1_ex10-1.htm" TargetMode="External"/><Relationship Id="rId52" Type="http://schemas.openxmlformats.org/officeDocument/2006/relationships/hyperlink" Target="http://www.sec.gov/Archives/edgar/data/1620459/000157104914005924/t1401933_ex10-2.htm" TargetMode="External"/><Relationship Id="rId53" Type="http://schemas.openxmlformats.org/officeDocument/2006/relationships/hyperlink" Target="http://www.sec.gov/Archives/edgar/data/1620459/000157104916012907/t1600530_ex10-5.htm" TargetMode="External"/><Relationship Id="rId54" Type="http://schemas.openxmlformats.org/officeDocument/2006/relationships/hyperlink" Target="http://www.sec.gov/Archives/edgar/data/1620459/000157104917007192/t1702273_ex10-1.htm" TargetMode="External"/><Relationship Id="rId55" Type="http://schemas.openxmlformats.org/officeDocument/2006/relationships/hyperlink" Target="http://www.sec.gov/Archives/edgar/data/1620459/000110465919061877/tm1922373d1_ex10-2.htm" TargetMode="External"/><Relationship Id="rId56" Type="http://schemas.openxmlformats.org/officeDocument/2006/relationships/hyperlink" Target="http://www.sec.gov/Archives/edgar/data/1620459/000157104917007192/t1702273_ex10-2.htm" TargetMode="External"/><Relationship Id="rId57" Type="http://schemas.openxmlformats.org/officeDocument/2006/relationships/hyperlink" Target="http://www.sec.gov/Archives/edgar/data/1620459/000157104914006789/t1402136_ex10-7.htm" TargetMode="External"/><Relationship Id="rId58" Type="http://schemas.openxmlformats.org/officeDocument/2006/relationships/hyperlink" Target="http://www.sec.gov/Archives/edgar/data/1620459/000157104914005924/t1401933_ex10-8.htm" TargetMode="External"/><Relationship Id="rId59" Type="http://schemas.openxmlformats.org/officeDocument/2006/relationships/hyperlink" Target="http://www.sec.gov/Archives/edgar/data/1620459/000157104914005924/t1401933_ex10-9.htm" TargetMode="External"/><Relationship Id="rId60" Type="http://schemas.openxmlformats.org/officeDocument/2006/relationships/hyperlink" Target="http://www.sec.gov/Archives/edgar/data/1620459/000157104914006789/t1402136_ex10-10.htm" TargetMode="External"/><Relationship Id="rId61" Type="http://schemas.openxmlformats.org/officeDocument/2006/relationships/hyperlink" Target="http://www.sec.gov/Archives/edgar/data/1620459/000157104914006789/t1402136_ex10-11.htm" TargetMode="External"/><Relationship Id="rId62" Type="http://schemas.openxmlformats.org/officeDocument/2006/relationships/hyperlink" Target="http://www.sec.gov/Archives/edgar/data/1620459/000157104917004403/t1701376_ex10-1.htm" TargetMode="External"/><Relationship Id="rId63" Type="http://schemas.openxmlformats.org/officeDocument/2006/relationships/hyperlink" Target="http://www.sec.gov/Archives/edgar/data/1620459/000157104914006789/t1402136_ex10-12.htm" TargetMode="External"/><Relationship Id="rId64" Type="http://schemas.openxmlformats.org/officeDocument/2006/relationships/hyperlink" Target="http://www.sec.gov/Archives/edgar/data/1620459/000157104914006789/t1402136_ex10-13.htm" TargetMode="External"/><Relationship Id="rId65" Type="http://schemas.openxmlformats.org/officeDocument/2006/relationships/hyperlink" Target="http://www.sec.gov/Archives/edgar/data/1620459/000157104914007101/t1402404_ex10-14.htm" TargetMode="External"/><Relationship Id="rId66" Type="http://schemas.openxmlformats.org/officeDocument/2006/relationships/hyperlink" Target="http://www.sec.gov/Archives/edgar/data/1620459/000157104914006789/t1402136_ex10-15.htm" TargetMode="External"/><Relationship Id="rId67" Type="http://schemas.openxmlformats.org/officeDocument/2006/relationships/hyperlink" Target="http://www.sec.gov/Archives/edgar/data/1620459/000162045919000057/ex101-planamendment.htm" TargetMode="External"/><Relationship Id="rId68" Type="http://schemas.openxmlformats.org/officeDocument/2006/relationships/hyperlink" Target="http://www.sec.gov/Archives/edgar/data/1620459/000157104914006789/t1402136_ex10-16.htm" TargetMode="External"/><Relationship Id="rId69" Type="http://schemas.openxmlformats.org/officeDocument/2006/relationships/hyperlink" Target="http://www.sec.gov/Archives/edgar/data/1620459/000157104914007101/t1402404_ex10-17.htm" TargetMode="External"/><Relationship Id="rId70" Type="http://schemas.openxmlformats.org/officeDocument/2006/relationships/hyperlink" Target="http://www.sec.gov/Archives/edgar/data/1620459/000157104914006789/t1402136_ex10-18.htm" TargetMode="External"/><Relationship Id="rId71" Type="http://schemas.openxmlformats.org/officeDocument/2006/relationships/hyperlink" Target="http://www.sec.gov/Archives/edgar/data/1620459/000162045919000087/jrvrex10109302019.htm" TargetMode="External"/><Relationship Id="rId72" Type="http://schemas.openxmlformats.org/officeDocument/2006/relationships/hyperlink" Target="http://www.sec.gov/Archives/edgar/data/1620459/000162045919000087/jrvrex10209302019.htm" TargetMode="External"/><Relationship Id="rId73" Type="http://schemas.openxmlformats.org/officeDocument/2006/relationships/hyperlink" Target="http://www.sec.gov/Archives/edgar/data/1620459/000157104916020824/t1603123_ex10-1.htm" TargetMode="External"/><Relationship Id="rId74" Type="http://schemas.openxmlformats.org/officeDocument/2006/relationships/hyperlink" Target="http://www.sec.gov/Archives/edgar/data/1620459/000162828018013981/jrvrex10109302018.htm" TargetMode="External"/><Relationship Id="rId75" Type="http://schemas.openxmlformats.org/officeDocument/2006/relationships/hyperlink" Target="http://www.sec.gov/Archives/edgar/data/1620459/000162828018002654/jrvrex102212312017.htm" TargetMode="External"/><Relationship Id="rId76" Type="http://schemas.openxmlformats.org/officeDocument/2006/relationships/hyperlink" Target="http://www.sec.gov/Archives/edgar/data/1620459/000157104914006789/t1402136_ex10-22.htm" TargetMode="External"/><Relationship Id="rId77" Type="http://schemas.openxmlformats.org/officeDocument/2006/relationships/hyperlink" Target="http://www.sec.gov/Archives/edgar/data/1620459/000162045919000052/jrvrex103012312018.htm" TargetMode="External"/><Relationship Id="rId78" Type="http://schemas.openxmlformats.org/officeDocument/2006/relationships/hyperlink" Target="http://www.sec.gov/Archives/edgar/data/1620459/000162045919000052/jrvrex103112312018.htm" TargetMode="External"/><Relationship Id="rId79" Type="http://schemas.openxmlformats.org/officeDocument/2006/relationships/hyperlink" Target="http://www.sec.gov/Archives/edgar/data/1620459/000157104915001874/t1500493_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2020-02-27T18:13:43Z</dcterms:created>
  <dcterms:modified xsi:type="dcterms:W3CDTF">2020-02-27T18:13:43Z</dcterms:modified>
</cp:coreProperties>
</file>