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12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 for the quarterly period ended June 30, 2023</w:t>
            </w:r>
          </w:p>
        </w:tc>
      </w:tr>
    </w:tbl>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 for the transition period from _______ to _______</w:t>
            </w:r>
          </w:p>
        </w:tc>
      </w:tr>
    </w:tbl>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001-36777 </w:t>
      </w:r>
    </w:p>
    <w:tbl>
      <w:tblPr>
        <w:tblW w:w="9329" w:type="dxa"/>
        <w:jc w:val="center"/>
        <w:tblInd w:w="0" w:type="dxa"/>
        <w:tblLayout w:type="fixed"/>
        <w:tblCellMar>
          <w:top w:w="28" w:type="dxa"/>
          <w:left w:w="28" w:type="dxa"/>
          <w:bottom w:w="28" w:type="dxa"/>
          <w:right w:w="28" w:type="dxa"/>
        </w:tblCellMar>
      </w:tblPr>
      <w:tblGrid>
        <w:gridCol w:w="2988"/>
        <w:gridCol w:w="2627"/>
        <w:gridCol w:w="3714"/>
      </w:tblGrid>
      <w:tr>
        <w:trPr/>
        <w:tc>
          <w:tcPr>
            <w:tcW w:w="2988"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9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48"/>
              </w:rPr>
            </w:pPr>
            <w:r>
              <w:rPr>
                <w:rFonts w:ascii="Times New Roman;sans-serif" w:hAnsi="Times New Roman;sans-serif"/>
                <w:b/>
                <w:color w:val="000000"/>
                <w:sz w:val="48"/>
              </w:rPr>
              <w:t>JAMES RIVER GROUP HOLDINGS, LTD.</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271" w:type="dxa"/>
        <w:jc w:val="center"/>
        <w:tblInd w:w="0" w:type="dxa"/>
        <w:tblLayout w:type="fixed"/>
        <w:tblCellMar>
          <w:top w:w="28" w:type="dxa"/>
          <w:left w:w="28" w:type="dxa"/>
          <w:bottom w:w="28" w:type="dxa"/>
          <w:right w:w="28" w:type="dxa"/>
        </w:tblCellMar>
      </w:tblPr>
      <w:tblGrid>
        <w:gridCol w:w="874"/>
        <w:gridCol w:w="767"/>
        <w:gridCol w:w="773"/>
        <w:gridCol w:w="109"/>
        <w:gridCol w:w="109"/>
        <w:gridCol w:w="109"/>
        <w:gridCol w:w="447"/>
        <w:gridCol w:w="447"/>
        <w:gridCol w:w="636"/>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98-0585280</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 xml:space="preserve">Wellesley House, 2nd Floor, 90 Pitts Bay Road, Pembroke HM08, Bermuda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(Zip Code)</w:t>
      </w:r>
    </w:p>
    <w:p>
      <w:pPr>
        <w:pStyle w:val="TextBody"/>
        <w:bidi w:val="0"/>
        <w:spacing w:lineRule="auto" w:line="288" w:before="60" w:after="283"/>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 xml:space="preserve">(441) 278-4580 </w:t>
      </w:r>
    </w:p>
    <w:p>
      <w:pPr>
        <w:pStyle w:val="TextBody"/>
        <w:bidi w:val="0"/>
        <w:spacing w:lineRule="auto" w:line="288" w:before="0" w:after="0"/>
        <w:jc w:val="center"/>
        <w:rPr/>
      </w:pPr>
      <w:r>
        <w:rPr>
          <w:rFonts w:ascii="Times New Roman;sans-serif" w:hAnsi="Times New Roman;sans-serif"/>
          <w:b/>
          <w:color w:val="000000"/>
          <w:sz w:val="20"/>
        </w:rPr>
        <w:t>(Registrant</w:t>
      </w:r>
      <w:r>
        <w:rPr>
          <w:rFonts w:ascii="Times New Roman;sans-serif" w:hAnsi="Times New Roman;sans-serif"/>
          <w:b w:val="false"/>
          <w:color w:val="000000"/>
          <w:sz w:val="20"/>
        </w:rPr>
        <w:t>'</w:t>
      </w:r>
      <w:r>
        <w:rPr>
          <w:rFonts w:ascii="Times New Roman;sans-serif" w:hAnsi="Times New Roman;sans-serif"/>
          <w:b/>
          <w:color w:val="000000"/>
          <w:sz w:val="20"/>
        </w:rPr>
        <w:t>s telephone number, including area code)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075" w:type="dxa"/>
        <w:jc w:val="center"/>
        <w:tblInd w:w="0" w:type="dxa"/>
        <w:tblLayout w:type="fixed"/>
        <w:tblCellMar>
          <w:top w:w="28" w:type="dxa"/>
          <w:left w:w="28" w:type="dxa"/>
          <w:bottom w:w="28" w:type="dxa"/>
          <w:right w:w="28" w:type="dxa"/>
        </w:tblCellMar>
      </w:tblPr>
      <w:tblGrid>
        <w:gridCol w:w="1363"/>
        <w:gridCol w:w="1193"/>
        <w:gridCol w:w="1208"/>
        <w:gridCol w:w="539"/>
        <w:gridCol w:w="539"/>
        <w:gridCol w:w="541"/>
        <w:gridCol w:w="304"/>
        <w:gridCol w:w="304"/>
        <w:gridCol w:w="304"/>
        <w:gridCol w:w="304"/>
        <w:gridCol w:w="304"/>
        <w:gridCol w:w="304"/>
        <w:gridCol w:w="610"/>
        <w:gridCol w:w="610"/>
        <w:gridCol w:w="610"/>
        <w:gridCol w:w="304"/>
        <w:gridCol w:w="304"/>
        <w:gridCol w:w="430"/>
      </w:tblGrid>
      <w:tr>
        <w:trPr/>
        <w:tc>
          <w:tcPr>
            <w:tcW w:w="136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469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Names of each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par value $0.0002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JRVR</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Global Select Market</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0"/>
        <w:gridCol w:w="519"/>
        <w:gridCol w:w="521"/>
        <w:gridCol w:w="109"/>
        <w:gridCol w:w="109"/>
        <w:gridCol w:w="109"/>
        <w:gridCol w:w="420"/>
        <w:gridCol w:w="420"/>
        <w:gridCol w:w="421"/>
        <w:gridCol w:w="109"/>
        <w:gridCol w:w="109"/>
        <w:gridCol w:w="109"/>
        <w:gridCol w:w="540"/>
        <w:gridCol w:w="540"/>
        <w:gridCol w:w="541"/>
        <w:gridCol w:w="109"/>
        <w:gridCol w:w="109"/>
        <w:gridCol w:w="109"/>
        <w:gridCol w:w="675"/>
        <w:gridCol w:w="675"/>
        <w:gridCol w:w="676"/>
        <w:gridCol w:w="109"/>
        <w:gridCol w:w="109"/>
        <w:gridCol w:w="109"/>
        <w:gridCol w:w="660"/>
        <w:gridCol w:w="660"/>
        <w:gridCol w:w="663"/>
        <w:gridCol w:w="109"/>
        <w:gridCol w:w="109"/>
        <w:gridCol w:w="158"/>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 w:after="12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w:t>
      </w:r>
    </w:p>
    <w:p>
      <w:pPr>
        <w:pStyle w:val="TextBody"/>
        <w:bidi w:val="0"/>
        <w:spacing w:lineRule="auto" w:line="288" w:before="0" w:after="0"/>
        <w:jc w:val="left"/>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of the registrant's common shares outstanding at August 4, 2023: 37,619,749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509"/>
        <w:gridCol w:w="429"/>
        <w:gridCol w:w="429"/>
        <w:gridCol w:w="2790"/>
        <w:gridCol w:w="2665"/>
        <w:gridCol w:w="2645"/>
        <w:gridCol w:w="215"/>
        <w:gridCol w:w="215"/>
        <w:gridCol w:w="308"/>
      </w:tblGrid>
      <w:tr>
        <w:trPr/>
        <w:tc>
          <w:tcPr>
            <w:tcW w:w="5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946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946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0">
              <w:r>
                <w:rPr>
                  <w:rStyle w:val="InternetLink"/>
                  <w:rFonts w:ascii="Times New Roman;sans-serif" w:hAnsi="Times New Roman;sans-serif"/>
                  <w:b w:val="false"/>
                  <w:color w:val="0000FF"/>
                  <w:sz w:val="20"/>
                  <w:u w:val="single"/>
                </w:rPr>
                <w:t>PART I. FINANCIAL INFORMATION</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3">
              <w:r>
                <w:rPr>
                  <w:rStyle w:val="InternetLink"/>
                  <w:rFonts w:ascii="Times New Roman;sans-serif" w:hAnsi="Times New Roman;sans-serif"/>
                  <w:b w:val="false"/>
                  <w:color w:val="0000FF"/>
                  <w:sz w:val="20"/>
                  <w:u w:val="single"/>
                </w:rPr>
                <w:t>Item 1.</w:t>
              </w:r>
            </w:hyperlink>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3">
              <w:r>
                <w:rPr>
                  <w:rStyle w:val="InternetLink"/>
                  <w:rFonts w:ascii="Times New Roman;sans-serif" w:hAnsi="Times New Roman;sans-serif"/>
                  <w:b w:val="false"/>
                  <w:color w:val="0000FF"/>
                  <w:sz w:val="20"/>
                  <w:u w:val="single"/>
                </w:rPr>
                <w:t>Financial Statements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6">
              <w:r>
                <w:rPr>
                  <w:rStyle w:val="InternetLink"/>
                  <w:rFonts w:ascii="Times New Roman;sans-serif" w:hAnsi="Times New Roman;sans-serif"/>
                  <w:b w:val="false"/>
                  <w:color w:val="000080"/>
                  <w:sz w:val="20"/>
                  <w:u w:val="single"/>
                </w:rPr>
                <w:t>Condensed Consolidated Balance Sheets</w:t>
              </w:r>
            </w:hyperlink>
            <w:hyperlink w:anchor="ia800dbdb63aa4c0ebb61af22f8dead50_19">
              <w:r>
                <w:rPr>
                  <w:rStyle w:val="InternetLink"/>
                  <w:rFonts w:ascii="Times New Roman;sans-serif" w:hAnsi="Times New Roman;sans-serif"/>
                  <w:b w:val="false"/>
                  <w:color w:val="000080"/>
                  <w:sz w:val="20"/>
                  <w:u w:val="single"/>
                </w:rPr>
                <w:t>—</w:t>
              </w:r>
            </w:hyperlink>
            <w:hyperlink w:anchor="ia800dbdb63aa4c0ebb61af22f8dead50_16">
              <w:r>
                <w:rPr>
                  <w:rStyle w:val="InternetLink"/>
                  <w:rFonts w:ascii="Times New Roman;sans-serif" w:hAnsi="Times New Roman;sans-serif"/>
                  <w:b w:val="false"/>
                  <w:color w:val="000080"/>
                  <w:sz w:val="20"/>
                  <w:u w:val="single"/>
                </w:rPr>
                <w:t>June 30, 2023 and December 31, 2022</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16">
              <w:r>
                <w:rPr>
                  <w:rStyle w:val="InternetLink"/>
                  <w:rFonts w:ascii="Times New Roman;sans-serif" w:hAnsi="Times New Roman;sans-serif"/>
                  <w:b w:val="false"/>
                  <w:color w:val="0000FF"/>
                  <w:sz w:val="20"/>
                  <w:u w:val="single"/>
                </w:rPr>
                <w:t>5</w:t>
              </w:r>
            </w:hyperlink>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9">
              <w:r>
                <w:rPr>
                  <w:rStyle w:val="InternetLink"/>
                  <w:rFonts w:ascii="Times New Roman;sans-serif" w:hAnsi="Times New Roman;sans-serif"/>
                  <w:b w:val="false"/>
                  <w:color w:val="0000FF"/>
                  <w:sz w:val="20"/>
                  <w:u w:val="single"/>
                </w:rPr>
                <w:t>Condensed Consolidated Statements of Income and Comprehensive Income (Loss)—Three and Six Months Ended June 30, 2023 and 2022</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19">
              <w:r>
                <w:rPr>
                  <w:rStyle w:val="InternetLink"/>
                  <w:rFonts w:ascii="Times New Roman;sans-serif" w:hAnsi="Times New Roman;sans-serif"/>
                  <w:b w:val="false"/>
                  <w:color w:val="0000FF"/>
                  <w:sz w:val="20"/>
                  <w:u w:val="single"/>
                </w:rPr>
                <w:t>7</w:t>
              </w:r>
            </w:hyperlink>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22">
              <w:r>
                <w:rPr>
                  <w:rStyle w:val="InternetLink"/>
                  <w:rFonts w:ascii="Times New Roman;sans-serif" w:hAnsi="Times New Roman;sans-serif"/>
                  <w:b w:val="false"/>
                  <w:color w:val="0000FF"/>
                  <w:sz w:val="20"/>
                  <w:u w:val="single"/>
                </w:rPr>
                <w:t>Condensed Consolidated Statements of Changes in Shareholders’ Equity—Three and Six Months Ended June 30, 2023 and 2022</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22">
              <w:r>
                <w:rPr>
                  <w:rStyle w:val="InternetLink"/>
                  <w:rFonts w:ascii="Times New Roman;sans-serif" w:hAnsi="Times New Roman;sans-serif"/>
                  <w:b w:val="false"/>
                  <w:color w:val="0000FF"/>
                  <w:sz w:val="20"/>
                  <w:u w:val="single"/>
                </w:rPr>
                <w:t>8</w:t>
              </w:r>
            </w:hyperlink>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25">
              <w:r>
                <w:rPr>
                  <w:rStyle w:val="InternetLink"/>
                  <w:rFonts w:ascii="Times New Roman;sans-serif" w:hAnsi="Times New Roman;sans-serif"/>
                  <w:b w:val="false"/>
                  <w:color w:val="0000FF"/>
                  <w:sz w:val="20"/>
                  <w:u w:val="single"/>
                </w:rPr>
                <w:t>Condensed Consolidated Statements of Cash Flows—Six Months Ended June 30, 2023 and 2022</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25">
              <w:r>
                <w:rPr>
                  <w:rStyle w:val="InternetLink"/>
                  <w:rFonts w:ascii="Times New Roman;sans-serif" w:hAnsi="Times New Roman;sans-serif"/>
                  <w:b w:val="false"/>
                  <w:color w:val="0000FF"/>
                  <w:sz w:val="20"/>
                  <w:u w:val="single"/>
                </w:rPr>
                <w:t>10</w:t>
              </w:r>
            </w:hyperlink>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28">
              <w:r>
                <w:rPr>
                  <w:rStyle w:val="InternetLink"/>
                  <w:rFonts w:ascii="Times New Roman;sans-serif" w:hAnsi="Times New Roman;sans-serif"/>
                  <w:b w:val="false"/>
                  <w:color w:val="0000FF"/>
                  <w:sz w:val="20"/>
                  <w:u w:val="single"/>
                </w:rPr>
                <w:t>Notes to Condensed Consolidated Financial Statements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28">
              <w:r>
                <w:rPr>
                  <w:rStyle w:val="InternetLink"/>
                  <w:rFonts w:ascii="Times New Roman;sans-serif" w:hAnsi="Times New Roman;sans-serif"/>
                  <w:b w:val="false"/>
                  <w:color w:val="0000FF"/>
                  <w:sz w:val="20"/>
                  <w:u w:val="single"/>
                </w:rPr>
                <w:t>11</w:t>
              </w:r>
            </w:hyperlink>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73">
              <w:r>
                <w:rPr>
                  <w:rStyle w:val="InternetLink"/>
                  <w:rFonts w:ascii="Times New Roman;sans-serif" w:hAnsi="Times New Roman;sans-serif"/>
                  <w:b w:val="false"/>
                  <w:color w:val="0000FF"/>
                  <w:sz w:val="20"/>
                  <w:u w:val="single"/>
                </w:rPr>
                <w:t>Item 2.</w:t>
              </w:r>
            </w:hyperlink>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73">
              <w:r>
                <w:rPr>
                  <w:rStyle w:val="InternetLink"/>
                  <w:rFonts w:ascii="Times New Roman;sans-serif" w:hAnsi="Times New Roman;sans-serif"/>
                  <w:b w:val="false"/>
                  <w:color w:val="0000FF"/>
                  <w:sz w:val="20"/>
                  <w:u w:val="single"/>
                </w:rPr>
                <w:t>34</w:t>
              </w:r>
            </w:hyperlink>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76">
              <w:r>
                <w:rPr>
                  <w:rStyle w:val="InternetLink"/>
                  <w:rFonts w:ascii="Times New Roman;sans-serif" w:hAnsi="Times New Roman;sans-serif"/>
                  <w:b w:val="false"/>
                  <w:color w:val="0000FF"/>
                  <w:sz w:val="20"/>
                  <w:u w:val="single"/>
                </w:rPr>
                <w:t>Critical Accounting Policies and Estimates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76">
              <w:r>
                <w:rPr>
                  <w:rStyle w:val="InternetLink"/>
                  <w:rFonts w:ascii="Times New Roman;sans-serif" w:hAnsi="Times New Roman;sans-serif"/>
                  <w:b w:val="false"/>
                  <w:color w:val="0000FF"/>
                  <w:sz w:val="20"/>
                  <w:u w:val="single"/>
                </w:rPr>
                <w:t>36</w:t>
              </w:r>
            </w:hyperlink>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91">
              <w:r>
                <w:rPr>
                  <w:rStyle w:val="InternetLink"/>
                  <w:rFonts w:ascii="Times New Roman;sans-serif" w:hAnsi="Times New Roman;sans-serif"/>
                  <w:b w:val="false"/>
                  <w:color w:val="0000FF"/>
                  <w:sz w:val="20"/>
                  <w:u w:val="single"/>
                </w:rPr>
                <w:t>Item 3.</w:t>
              </w:r>
            </w:hyperlink>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91">
              <w:r>
                <w:rPr>
                  <w:rStyle w:val="InternetLink"/>
                  <w:rFonts w:ascii="Times New Roman;sans-serif" w:hAnsi="Times New Roman;sans-serif"/>
                  <w:b w:val="false"/>
                  <w:color w:val="0000FF"/>
                  <w:sz w:val="20"/>
                  <w:u w:val="single"/>
                </w:rPr>
                <w:t>Quantitative and Qualitative Disclosures About Market Risk</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91">
              <w:r>
                <w:rPr>
                  <w:rStyle w:val="InternetLink"/>
                  <w:rFonts w:ascii="Times New Roman;sans-serif" w:hAnsi="Times New Roman;sans-serif"/>
                  <w:b w:val="false"/>
                  <w:color w:val="0000FF"/>
                  <w:sz w:val="20"/>
                  <w:u w:val="single"/>
                </w:rPr>
                <w:t>59</w:t>
              </w:r>
            </w:hyperlink>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94">
              <w:r>
                <w:rPr>
                  <w:rStyle w:val="InternetLink"/>
                  <w:rFonts w:ascii="Times New Roman;sans-serif" w:hAnsi="Times New Roman;sans-serif"/>
                  <w:b w:val="false"/>
                  <w:color w:val="0000FF"/>
                  <w:sz w:val="20"/>
                  <w:u w:val="single"/>
                </w:rPr>
                <w:t>Item 4.</w:t>
              </w:r>
            </w:hyperlink>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94">
              <w:r>
                <w:rPr>
                  <w:rStyle w:val="InternetLink"/>
                  <w:rFonts w:ascii="Times New Roman;sans-serif" w:hAnsi="Times New Roman;sans-serif"/>
                  <w:b w:val="false"/>
                  <w:color w:val="0000FF"/>
                  <w:sz w:val="20"/>
                  <w:u w:val="single"/>
                </w:rPr>
                <w:t>Controls and Procedures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94">
              <w:r>
                <w:rPr>
                  <w:rStyle w:val="InternetLink"/>
                  <w:rFonts w:ascii="Times New Roman;sans-serif" w:hAnsi="Times New Roman;sans-serif"/>
                  <w:b w:val="false"/>
                  <w:color w:val="0000FF"/>
                  <w:sz w:val="20"/>
                  <w:u w:val="single"/>
                </w:rPr>
                <w:t>59</w:t>
              </w:r>
            </w:hyperlink>
          </w:p>
        </w:tc>
      </w:tr>
      <w:tr>
        <w:trPr/>
        <w:tc>
          <w:tcPr>
            <w:tcW w:w="946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97">
              <w:r>
                <w:rPr>
                  <w:rStyle w:val="InternetLink"/>
                  <w:rFonts w:ascii="Times New Roman;sans-serif" w:hAnsi="Times New Roman;sans-serif"/>
                  <w:b w:val="false"/>
                  <w:color w:val="0000FF"/>
                  <w:sz w:val="20"/>
                  <w:u w:val="single"/>
                </w:rPr>
                <w:t>PART II. OTHER INFORMATION</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00">
              <w:r>
                <w:rPr>
                  <w:rStyle w:val="InternetLink"/>
                  <w:rFonts w:ascii="Times New Roman;sans-serif" w:hAnsi="Times New Roman;sans-serif"/>
                  <w:b w:val="false"/>
                  <w:color w:val="0000FF"/>
                  <w:sz w:val="20"/>
                  <w:u w:val="single"/>
                </w:rPr>
                <w:t>Item 1.</w:t>
              </w:r>
            </w:hyperlink>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00">
              <w:r>
                <w:rPr>
                  <w:rStyle w:val="InternetLink"/>
                  <w:rFonts w:ascii="Times New Roman;sans-serif" w:hAnsi="Times New Roman;sans-serif"/>
                  <w:b w:val="false"/>
                  <w:color w:val="0000FF"/>
                  <w:sz w:val="20"/>
                  <w:u w:val="single"/>
                </w:rPr>
                <w:t>Legal Proceedings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100">
              <w:r>
                <w:rPr>
                  <w:rStyle w:val="InternetLink"/>
                  <w:rFonts w:ascii="Times New Roman;sans-serif" w:hAnsi="Times New Roman;sans-serif"/>
                  <w:b w:val="false"/>
                  <w:color w:val="0000FF"/>
                  <w:sz w:val="20"/>
                  <w:u w:val="single"/>
                </w:rPr>
                <w:t>59</w:t>
              </w:r>
            </w:hyperlink>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03">
              <w:r>
                <w:rPr>
                  <w:rStyle w:val="InternetLink"/>
                  <w:rFonts w:ascii="Times New Roman;sans-serif" w:hAnsi="Times New Roman;sans-serif"/>
                  <w:b w:val="false"/>
                  <w:color w:val="0000FF"/>
                  <w:sz w:val="20"/>
                  <w:u w:val="single"/>
                </w:rPr>
                <w:t>Item 1A.</w:t>
              </w:r>
            </w:hyperlink>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03">
              <w:r>
                <w:rPr>
                  <w:rStyle w:val="InternetLink"/>
                  <w:rFonts w:ascii="Times New Roman;sans-serif" w:hAnsi="Times New Roman;sans-serif"/>
                  <w:b w:val="false"/>
                  <w:color w:val="0000FF"/>
                  <w:sz w:val="20"/>
                  <w:u w:val="single"/>
                </w:rPr>
                <w:t>Risk Factors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103">
              <w:r>
                <w:rPr>
                  <w:rStyle w:val="InternetLink"/>
                  <w:rFonts w:ascii="Times New Roman;sans-serif" w:hAnsi="Times New Roman;sans-serif"/>
                  <w:b w:val="false"/>
                  <w:color w:val="0000FF"/>
                  <w:sz w:val="20"/>
                  <w:u w:val="single"/>
                </w:rPr>
                <w:t>60</w:t>
              </w:r>
            </w:hyperlink>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06">
              <w:r>
                <w:rPr>
                  <w:rStyle w:val="InternetLink"/>
                  <w:rFonts w:ascii="Times New Roman;sans-serif" w:hAnsi="Times New Roman;sans-serif"/>
                  <w:b w:val="false"/>
                  <w:color w:val="0000FF"/>
                  <w:sz w:val="20"/>
                  <w:u w:val="single"/>
                </w:rPr>
                <w:t>Item 2.</w:t>
              </w:r>
            </w:hyperlink>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06">
              <w:r>
                <w:rPr>
                  <w:rStyle w:val="InternetLink"/>
                  <w:rFonts w:ascii="Times New Roman;sans-serif" w:hAnsi="Times New Roman;sans-serif"/>
                  <w:b w:val="false"/>
                  <w:color w:val="0000FF"/>
                  <w:sz w:val="20"/>
                  <w:u w:val="single"/>
                </w:rPr>
                <w:t>Unregistered Sales of Equity Securities and Use of Proceeds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106">
              <w:r>
                <w:rPr>
                  <w:rStyle w:val="InternetLink"/>
                  <w:rFonts w:ascii="Times New Roman;sans-serif" w:hAnsi="Times New Roman;sans-serif"/>
                  <w:b w:val="false"/>
                  <w:color w:val="0000FF"/>
                  <w:sz w:val="20"/>
                  <w:u w:val="single"/>
                </w:rPr>
                <w:t>60</w:t>
              </w:r>
            </w:hyperlink>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09">
              <w:r>
                <w:rPr>
                  <w:rStyle w:val="InternetLink"/>
                  <w:rFonts w:ascii="Times New Roman;sans-serif" w:hAnsi="Times New Roman;sans-serif"/>
                  <w:b w:val="false"/>
                  <w:color w:val="0000FF"/>
                  <w:sz w:val="20"/>
                  <w:u w:val="single"/>
                </w:rPr>
                <w:t>Item 3.</w:t>
              </w:r>
            </w:hyperlink>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09">
              <w:r>
                <w:rPr>
                  <w:rStyle w:val="InternetLink"/>
                  <w:rFonts w:ascii="Times New Roman;sans-serif" w:hAnsi="Times New Roman;sans-serif"/>
                  <w:b w:val="false"/>
                  <w:color w:val="0000FF"/>
                  <w:sz w:val="20"/>
                  <w:u w:val="single"/>
                </w:rPr>
                <w:t>Defaults Upon Senior Securities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109">
              <w:r>
                <w:rPr>
                  <w:rStyle w:val="InternetLink"/>
                  <w:rFonts w:ascii="Times New Roman;sans-serif" w:hAnsi="Times New Roman;sans-serif"/>
                  <w:b w:val="false"/>
                  <w:color w:val="0000FF"/>
                  <w:sz w:val="20"/>
                  <w:u w:val="single"/>
                </w:rPr>
                <w:t>60</w:t>
              </w:r>
            </w:hyperlink>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12">
              <w:r>
                <w:rPr>
                  <w:rStyle w:val="InternetLink"/>
                  <w:rFonts w:ascii="Times New Roman;sans-serif" w:hAnsi="Times New Roman;sans-serif"/>
                  <w:b w:val="false"/>
                  <w:color w:val="0000FF"/>
                  <w:sz w:val="20"/>
                  <w:u w:val="single"/>
                </w:rPr>
                <w:t>Item 4.</w:t>
              </w:r>
            </w:hyperlink>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12">
              <w:r>
                <w:rPr>
                  <w:rStyle w:val="InternetLink"/>
                  <w:rFonts w:ascii="Times New Roman;sans-serif" w:hAnsi="Times New Roman;sans-serif"/>
                  <w:b w:val="false"/>
                  <w:color w:val="0000FF"/>
                  <w:sz w:val="20"/>
                  <w:u w:val="single"/>
                </w:rPr>
                <w:t>Mine Safety Disclosures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112">
              <w:r>
                <w:rPr>
                  <w:rStyle w:val="InternetLink"/>
                  <w:rFonts w:ascii="Times New Roman;sans-serif" w:hAnsi="Times New Roman;sans-serif"/>
                  <w:b w:val="false"/>
                  <w:color w:val="0000FF"/>
                  <w:sz w:val="20"/>
                  <w:u w:val="single"/>
                </w:rPr>
                <w:t>60</w:t>
              </w:r>
            </w:hyperlink>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15">
              <w:r>
                <w:rPr>
                  <w:rStyle w:val="InternetLink"/>
                  <w:rFonts w:ascii="Times New Roman;sans-serif" w:hAnsi="Times New Roman;sans-serif"/>
                  <w:b w:val="false"/>
                  <w:color w:val="0000FF"/>
                  <w:sz w:val="20"/>
                  <w:u w:val="single"/>
                </w:rPr>
                <w:t>Item 5.</w:t>
              </w:r>
            </w:hyperlink>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15">
              <w:r>
                <w:rPr>
                  <w:rStyle w:val="InternetLink"/>
                  <w:rFonts w:ascii="Times New Roman;sans-serif" w:hAnsi="Times New Roman;sans-serif"/>
                  <w:b w:val="false"/>
                  <w:color w:val="0000FF"/>
                  <w:sz w:val="20"/>
                  <w:u w:val="single"/>
                </w:rPr>
                <w:t>Other Information</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115">
              <w:r>
                <w:rPr>
                  <w:rStyle w:val="InternetLink"/>
                  <w:rFonts w:ascii="Times New Roman;sans-serif" w:hAnsi="Times New Roman;sans-serif"/>
                  <w:b w:val="false"/>
                  <w:color w:val="0000FF"/>
                  <w:sz w:val="20"/>
                  <w:u w:val="single"/>
                </w:rPr>
                <w:t>60</w:t>
              </w:r>
            </w:hyperlink>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18">
              <w:r>
                <w:rPr>
                  <w:rStyle w:val="InternetLink"/>
                  <w:rFonts w:ascii="Times New Roman;sans-serif" w:hAnsi="Times New Roman;sans-serif"/>
                  <w:b w:val="false"/>
                  <w:color w:val="0000FF"/>
                  <w:sz w:val="20"/>
                  <w:u w:val="single"/>
                </w:rPr>
                <w:t>Item 6.</w:t>
              </w:r>
            </w:hyperlink>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18">
              <w:r>
                <w:rPr>
                  <w:rStyle w:val="InternetLink"/>
                  <w:rFonts w:ascii="Times New Roman;sans-serif" w:hAnsi="Times New Roman;sans-serif"/>
                  <w:b w:val="false"/>
                  <w:color w:val="0000FF"/>
                  <w:sz w:val="20"/>
                  <w:u w:val="single"/>
                </w:rPr>
                <w:t>Exhibits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118">
              <w:r>
                <w:rPr>
                  <w:rStyle w:val="InternetLink"/>
                  <w:rFonts w:ascii="Times New Roman;sans-serif" w:hAnsi="Times New Roman;sans-serif"/>
                  <w:b w:val="false"/>
                  <w:color w:val="0000FF"/>
                  <w:sz w:val="20"/>
                  <w:u w:val="single"/>
                </w:rPr>
                <w:t>60</w:t>
              </w:r>
            </w:hyperlink>
          </w:p>
        </w:tc>
      </w:tr>
      <w:tr>
        <w:trPr/>
        <w:tc>
          <w:tcPr>
            <w:tcW w:w="946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800dbdb63aa4c0ebb61af22f8dead50_121">
              <w:r>
                <w:rPr>
                  <w:rStyle w:val="InternetLink"/>
                  <w:rFonts w:ascii="Times New Roman;sans-serif" w:hAnsi="Times New Roman;sans-serif"/>
                  <w:b w:val="false"/>
                  <w:color w:val="0000FF"/>
                  <w:sz w:val="20"/>
                  <w:u w:val="single"/>
                </w:rPr>
                <w:t>Signatures</w:t>
              </w:r>
            </w:hyperlink>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800dbdb63aa4c0ebb61af22f8dead50_121">
              <w:r>
                <w:rPr>
                  <w:rStyle w:val="InternetLink"/>
                  <w:rFonts w:ascii="Times New Roman;sans-serif" w:hAnsi="Times New Roman;sans-serif"/>
                  <w:b w:val="false"/>
                  <w:color w:val="0000FF"/>
                  <w:sz w:val="20"/>
                  <w:u w:val="single"/>
                </w:rPr>
                <w:t>61</w:t>
              </w:r>
            </w:hyperlink>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materially from those expressed in, or implied by, the forward-looking statements included in this Quarterly Report as a result of various factors, many of which are beyond our control, including, among others:</w:t>
      </w:r>
    </w:p>
    <w:p>
      <w:pPr>
        <w:pStyle w:val="TextBody"/>
        <w:bidi w:val="0"/>
        <w:spacing w:lineRule="auto" w:line="288" w:before="0" w:after="60"/>
        <w:ind w:left="0" w:right="0" w:firstLine="360"/>
        <w:jc w:val="both"/>
        <w:rPr>
          <w:color w:val="000000"/>
        </w:rPr>
      </w:pPr>
      <w:r>
        <w:rPr>
          <w:color w:val="000000"/>
        </w:rPr>
        <w:t> </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inherent uncertainty of estimating reserves and the possibility that incurred losses may be greater than our loss and loss adjustment expense reserves;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inaccurate estimates and judgments in our risk management may expose us to greater risks than intended;</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downgrades in the financial strength rating of our regulated insurance subsidiaries impacting our ability to attract and retain insurance and reinsurance business that our subsidiaries write, our competitive position, and our financial condition;</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the potential loss of key members of our management team or key employees, and our ability to attract and retain personnel;</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adverse economic factors resulting in the sale of fewer policies than expected or an increase in the frequency or severity of claims, or both;</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the impact of a persistent high inflationary environment on our reserves, the values of our investments and investment returns, and our compensation expenses;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exposure to credit risk, interest rate risk and other market risk in our investment portfolio;</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reliance on a select group of brokers and agents for a significant portion of our business and the impact of our potential failure to maintain such relationships;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reliance on a select group of customers for a significant portion of our business and the impact of our potential failure to maintain, or decision to terminate, such relationships;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our ability to obtain reinsurance coverage at prices and on terms that allow us to transfer risk, adequately protect our Company against financial loss and that supports our growth plans;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inadequacy of premiums we charge to compensate us for our losses incurred;</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changes in laws or government regulation, including tax or insurance law and regulations;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changes in U.S. tax laws and the interpretation of certain provisions of the 2017 Tax Act (including associated regulations), which may be retroactive and could have a significant effect on us including, among other things, by potentially increasing our tax rate, as well as on our shareholders;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the Company or any of its foreign subsidiaries becoming subject to U.S. federal income taxation;</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a failure of any of the loss limitations or exclusions we utilize to shield us from unanticipated financial losses or legal exposures, or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540"/>
        <w:jc w:val="left"/>
        <w:rPr/>
      </w:pPr>
      <w:r>
        <w:rPr>
          <w:color w:val="000000"/>
          <w:shd w:fill="FFFFFF" w:val="clear"/>
        </w:rPr>
        <w:t>•</w:t>
      </w:r>
      <w:r>
        <w:rPr>
          <w:rFonts w:ascii="Times New Roman;sans-serif" w:hAnsi="Times New Roman;sans-serif"/>
          <w:b w:val="false"/>
          <w:color w:val="000000"/>
          <w:sz w:val="20"/>
          <w:shd w:fill="FFFFFF" w:val="clear"/>
        </w:rPr>
        <w:t>losses from catastrophic events, such as natural disasters and terrorist acts, which substantially exceed our expectations and/or exceed the amount of reinsurance we have purchased to protect us from such events;</w:t>
      </w:r>
    </w:p>
    <w:p>
      <w:pPr>
        <w:pStyle w:val="TextBody"/>
        <w:bidi w:val="0"/>
        <w:spacing w:lineRule="auto" w:line="288" w:before="0" w:after="120"/>
        <w:ind w:left="0" w:right="0" w:hanging="540"/>
        <w:jc w:val="left"/>
        <w:rPr/>
      </w:pPr>
      <w:r>
        <w:rPr>
          <w:color w:val="000000"/>
        </w:rPr>
        <w:t>•</w:t>
      </w:r>
      <w:r>
        <w:rPr>
          <w:rFonts w:ascii="Times New Roman;sans-serif" w:hAnsi="Times New Roman;sans-serif"/>
          <w:b w:val="false"/>
          <w:color w:val="000000"/>
          <w:sz w:val="20"/>
        </w:rPr>
        <w:t>potential effects on our business of emerging claim and coverage issues;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potential impact of internal or external fraud, operational errors, systems malfunctions or cyber security incidents;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our ability to manage our growth effectively;</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failure to maintain effective internal controls in accordance with Sarbanes-Oxley Act of 2002, as amended (“Sarbanes-Oxley”);</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 xml:space="preserve">changes in our financial condition, regulations or other factors that may restrict our subsidiaries’ ability to pay us dividends; </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an adverse result in any litigation or legal proceedings we are or may become subject to; and</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other risks and uncertainties discussed elsewhere in this Quarterly Report.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for the year ended December 31, 2022 filed with the SEC on February 28,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1.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545"/>
        <w:gridCol w:w="2236"/>
        <w:gridCol w:w="2217"/>
        <w:gridCol w:w="250"/>
        <w:gridCol w:w="1157"/>
        <w:gridCol w:w="128"/>
        <w:gridCol w:w="109"/>
        <w:gridCol w:w="109"/>
        <w:gridCol w:w="109"/>
        <w:gridCol w:w="211"/>
        <w:gridCol w:w="976"/>
        <w:gridCol w:w="158"/>
      </w:tblGrid>
      <w:tr>
        <w:trPr/>
        <w:tc>
          <w:tcPr>
            <w:tcW w:w="2545"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Invested assets:</w:t>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 at fair value (amortized cost: 2023 – $2,046,249; 2022 – $1,969,783)</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1,875,695 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 (cost: 2023 – $117,920; 2022 – $117,169)</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 at fair value</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2,187,116 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2,192,294 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and agents’ balances, net</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 net</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1,545,736 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paid losses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5,295,870 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5,137,075 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(continued)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76"/>
        <w:gridCol w:w="2245"/>
        <w:gridCol w:w="2251"/>
        <w:gridCol w:w="238"/>
        <w:gridCol w:w="1102"/>
        <w:gridCol w:w="122"/>
        <w:gridCol w:w="109"/>
        <w:gridCol w:w="109"/>
        <w:gridCol w:w="109"/>
        <w:gridCol w:w="211"/>
        <w:gridCol w:w="976"/>
        <w:gridCol w:w="157"/>
      </w:tblGrid>
      <w:tr>
        <w:trPr/>
        <w:tc>
          <w:tcPr>
            <w:tcW w:w="2576"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0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2,885,379 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2,768,995 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reinsurers</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4,555,049 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4,438,411 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preferred shares – 2023 and 2022: $0.00125 par value; 20,000,000 shares authorized; 150,000 shares issued and outstanding</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 2023 and 2022: $0.0002 par value; 200,000,000 shares authorized; 37,619,226 and 37,470,237 shares issued and outstanding, respectively</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(148,599)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595,923 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Series A redeemable preferred shares, and shareholders’ equity</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5,295,870 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5,137,075 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 (Loss)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70"/>
        <w:gridCol w:w="1263"/>
        <w:gridCol w:w="1273"/>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1"/>
        <w:gridCol w:w="881"/>
        <w:gridCol w:w="156"/>
      </w:tblGrid>
      <w:tr>
        <w:trPr/>
        <w:tc>
          <w:tcPr>
            <w:tcW w:w="187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written premiums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unearned premiums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available to common shareholders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(losses) gains, net of taxes of $(3,633) and $1,369 in 2023 and $(7,998) and $(19,648) in 2022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declared per common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37,449,621 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37,428,385 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43,498,905 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37,643,634 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36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10"/>
        <w:gridCol w:w="316"/>
        <w:gridCol w:w="317"/>
        <w:gridCol w:w="540"/>
        <w:gridCol w:w="541"/>
        <w:gridCol w:w="336"/>
        <w:gridCol w:w="109"/>
        <w:gridCol w:w="109"/>
        <w:gridCol w:w="109"/>
        <w:gridCol w:w="282"/>
        <w:gridCol w:w="343"/>
        <w:gridCol w:w="147"/>
        <w:gridCol w:w="109"/>
        <w:gridCol w:w="109"/>
        <w:gridCol w:w="109"/>
        <w:gridCol w:w="109"/>
        <w:gridCol w:w="109"/>
        <w:gridCol w:w="211"/>
        <w:gridCol w:w="826"/>
        <w:gridCol w:w="109"/>
        <w:gridCol w:w="109"/>
        <w:gridCol w:w="109"/>
        <w:gridCol w:w="109"/>
        <w:gridCol w:w="211"/>
        <w:gridCol w:w="842"/>
        <w:gridCol w:w="109"/>
        <w:gridCol w:w="109"/>
        <w:gridCol w:w="109"/>
        <w:gridCol w:w="109"/>
        <w:gridCol w:w="211"/>
        <w:gridCol w:w="896"/>
        <w:gridCol w:w="109"/>
        <w:gridCol w:w="109"/>
        <w:gridCol w:w="109"/>
        <w:gridCol w:w="109"/>
        <w:gridCol w:w="211"/>
        <w:gridCol w:w="826"/>
        <w:gridCol w:w="159"/>
      </w:tblGrid>
      <w:tr>
        <w:trPr/>
        <w:tc>
          <w:tcPr>
            <w:tcW w:w="8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9"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c>
          <w:tcPr>
            <w:tcW w:w="1523" w:type="dxa"/>
            <w:gridSpan w:val="6"/>
            <w:tcBorders/>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37,619,226 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under share incentive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37,619,226 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37,470,237 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under share incentive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37,619,226 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595,923 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10"/>
        <w:gridCol w:w="316"/>
        <w:gridCol w:w="317"/>
        <w:gridCol w:w="540"/>
        <w:gridCol w:w="541"/>
        <w:gridCol w:w="336"/>
        <w:gridCol w:w="109"/>
        <w:gridCol w:w="109"/>
        <w:gridCol w:w="109"/>
        <w:gridCol w:w="282"/>
        <w:gridCol w:w="343"/>
        <w:gridCol w:w="147"/>
        <w:gridCol w:w="109"/>
        <w:gridCol w:w="109"/>
        <w:gridCol w:w="109"/>
        <w:gridCol w:w="109"/>
        <w:gridCol w:w="109"/>
        <w:gridCol w:w="211"/>
        <w:gridCol w:w="826"/>
        <w:gridCol w:w="109"/>
        <w:gridCol w:w="109"/>
        <w:gridCol w:w="109"/>
        <w:gridCol w:w="109"/>
        <w:gridCol w:w="211"/>
        <w:gridCol w:w="842"/>
        <w:gridCol w:w="109"/>
        <w:gridCol w:w="109"/>
        <w:gridCol w:w="109"/>
        <w:gridCol w:w="109"/>
        <w:gridCol w:w="211"/>
        <w:gridCol w:w="896"/>
        <w:gridCol w:w="109"/>
        <w:gridCol w:w="109"/>
        <w:gridCol w:w="109"/>
        <w:gridCol w:w="109"/>
        <w:gridCol w:w="211"/>
        <w:gridCol w:w="826"/>
        <w:gridCol w:w="159"/>
      </w:tblGrid>
      <w:tr>
        <w:trPr/>
        <w:tc>
          <w:tcPr>
            <w:tcW w:w="8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9"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c>
          <w:tcPr>
            <w:tcW w:w="1523" w:type="dxa"/>
            <w:gridSpan w:val="6"/>
            <w:tcBorders/>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37,448,314 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under share incentive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2022</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37,450,264 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594,386 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37,373,066 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under share incentive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2022</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37,450,264 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594,386 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before="0" w:after="0"/>
        <w:jc w:val="left"/>
        <w:rPr/>
      </w:pPr>
      <w:r>
        <w:rPr/>
      </w:r>
    </w:p>
    <w:tbl>
      <w:tblPr>
        <w:tblW w:w="9069" w:type="dxa"/>
        <w:jc w:val="center"/>
        <w:tblInd w:w="0" w:type="dxa"/>
        <w:tblLayout w:type="fixed"/>
        <w:tblCellMar>
          <w:top w:w="28" w:type="dxa"/>
          <w:left w:w="28" w:type="dxa"/>
          <w:bottom w:w="28" w:type="dxa"/>
          <w:right w:w="28" w:type="dxa"/>
        </w:tblCellMar>
      </w:tblPr>
      <w:tblGrid>
        <w:gridCol w:w="2320"/>
        <w:gridCol w:w="2035"/>
        <w:gridCol w:w="2050"/>
        <w:gridCol w:w="211"/>
        <w:gridCol w:w="826"/>
        <w:gridCol w:w="109"/>
        <w:gridCol w:w="109"/>
        <w:gridCol w:w="109"/>
        <w:gridCol w:w="109"/>
        <w:gridCol w:w="211"/>
        <w:gridCol w:w="826"/>
        <w:gridCol w:w="154"/>
      </w:tblGrid>
      <w:tr>
        <w:trPr/>
        <w:tc>
          <w:tcPr>
            <w:tcW w:w="2320"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 fixed maturity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 fixed maturity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and calls – fixed maturity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 equity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receivable or payable,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repayments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Series A preferred shares (Note 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 withheld and remitted on net settlement of RSUs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 at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16"/>
        </w:rPr>
        <w:t xml:space="preserve">(a) Cash provided by operating activities for the six months ended June 30, 2023 and 2022 includes the restricted cash activity above related to a former insured, per the terms of a collateral trust. See “Item 2. Management’s Discussion and Analysis of Financial Condition and Results of Operations – </w:t>
      </w:r>
      <w:r>
        <w:rPr>
          <w:rFonts w:ascii="Times New Roman;sans-serif" w:hAnsi="Times New Roman;sans-serif"/>
          <w:b w:val="false"/>
          <w:i/>
          <w:color w:val="000000"/>
          <w:sz w:val="16"/>
        </w:rPr>
        <w:t>Amounts Recoverable from an Indemnifying Party and Reinsurer on Legacy Commercial Auto Book</w:t>
      </w:r>
      <w:r>
        <w:rPr>
          <w:color w:val="000000"/>
        </w:rPr>
        <w:t>”</w:t>
      </w:r>
      <w:r>
        <w:rPr>
          <w:rFonts w:ascii="Times New Roman;sans-serif" w:hAnsi="Times New Roman;sans-serif"/>
          <w:b w:val="false"/>
          <w:color w:val="000000"/>
          <w:sz w:val="16"/>
        </w:rPr>
        <w:t>. Excluding the restricted cash activity, cash provided by operating activities was $40.3 million and $139.2 million for the six months ended June 30, 2023 and 2022, respectively.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1.    Accounting Policies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(referred to as “JRG Holdings” or, with its subsidiaries, the “Company”) is an exempted holding company registered in Bermuda, organized for the purpose of acquiring and managing insurance and reinsurance entities.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five insurance companies based in the United States (“U.S.”) focused on specialty insurance niches and a Bermuda-based reinsurance company as described below:</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Group Holdings UK Limited (“James River UK”) is an insurance holding company formed in 2015 in the United Kingdom (“U.K.”). JRG Holdings contributed James River Group, Inc. (“James River Group”), a U.S. insurance holding company, to James River UK in 2015.</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2022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2022 was derived from the Company’s audited annual consolidated financial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Intercompany transactions and balances have been eliminated.</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Estimates and Assumptions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$8.8 million at June 30, 2023 and $9.2 million at December 31, 2022, representing the Company’s maximum exposure to loss.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or expenses on share based compensation. For the three and six months ended June 30, 2023, our U.S. federal income tax expense was 23.6% and 23.9%, respectively, of the income before taxes (25.3% and 24.9% in the respective prior year periods). The effective rate exceeded the 21.0% U.S. statutory rate in all periods due to projected annual losses in Bermuda that do not provide a tax benefit and due to discrete items in the respective periods primarily related to excess tax expenses associated with vested restricted share units (“RSUs”).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Adopted Accounting Standards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standards adopted in 2023 that materially impacted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2.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available-for-sale fixed maturity securities are summarized as follows:</w:t>
      </w:r>
    </w:p>
    <w:tbl>
      <w:tblPr>
        <w:tblW w:w="10205" w:type="dxa"/>
        <w:jc w:val="left"/>
        <w:tblInd w:w="0" w:type="dxa"/>
        <w:tblLayout w:type="fixed"/>
        <w:tblCellMar>
          <w:top w:w="28" w:type="dxa"/>
          <w:left w:w="28" w:type="dxa"/>
          <w:bottom w:w="28" w:type="dxa"/>
          <w:right w:w="28" w:type="dxa"/>
        </w:tblCellMar>
      </w:tblPr>
      <w:tblGrid>
        <w:gridCol w:w="1679"/>
        <w:gridCol w:w="1472"/>
        <w:gridCol w:w="1301"/>
        <w:gridCol w:w="211"/>
        <w:gridCol w:w="976"/>
        <w:gridCol w:w="109"/>
        <w:gridCol w:w="109"/>
        <w:gridCol w:w="109"/>
        <w:gridCol w:w="109"/>
        <w:gridCol w:w="211"/>
        <w:gridCol w:w="616"/>
        <w:gridCol w:w="109"/>
        <w:gridCol w:w="109"/>
        <w:gridCol w:w="109"/>
        <w:gridCol w:w="109"/>
        <w:gridCol w:w="211"/>
        <w:gridCol w:w="877"/>
        <w:gridCol w:w="109"/>
        <w:gridCol w:w="109"/>
        <w:gridCol w:w="109"/>
        <w:gridCol w:w="109"/>
        <w:gridCol w:w="211"/>
        <w:gridCol w:w="976"/>
        <w:gridCol w:w="156"/>
      </w:tblGrid>
      <w:tr>
        <w:trPr/>
        <w:tc>
          <w:tcPr>
            <w:tcW w:w="167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1,875,695 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available-for-sale investments in fixed maturity securities at June 30, 2023 are summarized, by contractual maturity, as follows:</w:t>
      </w:r>
    </w:p>
    <w:tbl>
      <w:tblPr>
        <w:tblW w:w="6308" w:type="dxa"/>
        <w:jc w:val="left"/>
        <w:tblInd w:w="0" w:type="dxa"/>
        <w:tblLayout w:type="fixed"/>
        <w:tblCellMar>
          <w:top w:w="28" w:type="dxa"/>
          <w:left w:w="28" w:type="dxa"/>
          <w:bottom w:w="28" w:type="dxa"/>
          <w:right w:w="28" w:type="dxa"/>
        </w:tblCellMar>
      </w:tblPr>
      <w:tblGrid>
        <w:gridCol w:w="1205"/>
        <w:gridCol w:w="1062"/>
        <w:gridCol w:w="1077"/>
        <w:gridCol w:w="211"/>
        <w:gridCol w:w="976"/>
        <w:gridCol w:w="109"/>
        <w:gridCol w:w="109"/>
        <w:gridCol w:w="109"/>
        <w:gridCol w:w="109"/>
        <w:gridCol w:w="211"/>
        <w:gridCol w:w="97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1,875,695 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for some securities because borrowers have the right to call or prepay obligations with or without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Company’s gross unrealized losses and fair value for available-for-sale securities aggregated by investment category and the length of time that individual securities have been in a continuous unrealized loss position:</w:t>
      </w:r>
    </w:p>
    <w:tbl>
      <w:tblPr>
        <w:tblW w:w="10582" w:type="dxa"/>
        <w:jc w:val="left"/>
        <w:tblInd w:w="0" w:type="dxa"/>
        <w:tblLayout w:type="fixed"/>
        <w:tblCellMar>
          <w:top w:w="28" w:type="dxa"/>
          <w:left w:w="28" w:type="dxa"/>
          <w:bottom w:w="28" w:type="dxa"/>
          <w:right w:w="28" w:type="dxa"/>
        </w:tblCellMar>
      </w:tblPr>
      <w:tblGrid>
        <w:gridCol w:w="792"/>
        <w:gridCol w:w="570"/>
        <w:gridCol w:w="16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(189,491)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 Company held fixed maturity securities of 552 issuers that were in an unrealized loss position with a total fair value of $1,707.4 million and gross unrealized losses of $173.8 million. None of the fixed maturity securities with unrealized losses has ever missed, or been delinquent on a scheduled principal or interest payment. At June 30, 2023, 99.9%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June 30, 2023 had an aggregate fair value of $2.3 million and an aggregate net unrealized loss of $160,000.</w:t>
      </w:r>
    </w:p>
    <w:p>
      <w:pPr>
        <w:pStyle w:val="TextBody"/>
        <w:bidi w:val="0"/>
        <w:spacing w:lineRule="auto" w:line="288" w:before="0" w:after="120"/>
        <w:ind w:left="0" w:right="0" w:firstLine="360"/>
        <w:jc w:val="both"/>
        <w:rPr/>
      </w:pPr>
      <w:r>
        <w:rPr>
          <w:rFonts w:ascii="Times New Roman;sans-serif" w:hAnsi="Times New Roman;sans-serif"/>
          <w:b w:val="false"/>
          <w:color w:val="231F20"/>
          <w:sz w:val="20"/>
        </w:rPr>
        <w:t>The Company reviews its available-for-sale fixed maturities to determine whether unrealized losses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sans-serif" w:hAnsi="Times New Roman;sans-serif"/>
          <w:b w:val="false"/>
          <w:color w:val="000000"/>
          <w:sz w:val="20"/>
        </w:rPr>
        <w:t>et realized and unrealized gains (losses) on investments</w:t>
      </w:r>
      <w:r>
        <w:rPr>
          <w:rFonts w:ascii="Times New Roman;sans-serif" w:hAnsi="Times New Roman;sans-serif"/>
          <w:b w:val="false"/>
          <w:color w:val="231F20"/>
          <w:sz w:val="20"/>
        </w:rPr>
        <w:t>. Unrealized losses that are not credit-related are recognized in other comprehensive income.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June 30, 2023, December 31, 2022, or June 30, 2022. In the six months ended </w:t>
      </w:r>
      <w:r>
        <w:rPr>
          <w:rFonts w:ascii="Times New Roman;sans-serif" w:hAnsi="Times New Roman;sans-serif"/>
          <w:b w:val="false"/>
          <w:color w:val="231F20"/>
          <w:sz w:val="20"/>
        </w:rPr>
        <w:t>June 30, 2023, m</w:t>
      </w:r>
      <w:r>
        <w:rPr>
          <w:rFonts w:ascii="Times New Roman;sans-serif" w:hAnsi="Times New Roman;sans-serif"/>
          <w:b w:val="false"/>
          <w:color w:val="000000"/>
          <w:sz w:val="20"/>
        </w:rPr>
        <w:t>anagement recognized an impairment loss of $85,000 for one fixed maturity security due to an intent to sell the security. For the remainder of securities in an unrealized loss position, m</w:t>
      </w:r>
      <w:r>
        <w:rPr>
          <w:rFonts w:ascii="Times New Roman;sans-serif" w:hAnsi="Times New Roman;sans-serif"/>
          <w:b w:val="false"/>
          <w:color w:val="231F20"/>
          <w:sz w:val="20"/>
        </w:rPr>
        <w:t>anagement does not intend to sell the securities, and it is not “more likely than not” that the Company will be required to sell these securities before a recovery in their value to their amortized cost basis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pPr>
      <w:r>
        <w:rPr>
          <w:rFonts w:ascii="Times New Roman;sans-serif" w:hAnsi="Times New Roman;sans-serif"/>
          <w:b w:val="false"/>
          <w:color w:val="231F20"/>
          <w:sz w:val="20"/>
        </w:rPr>
        <w:t xml:space="preserve">Bank loan participations are measured at fair value pursuant to the Company's election of the fair value option, and changes in unrealized gains and losses in bank loan participations are reported in the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the requirements of ASU 2016-13. At June 30, 2023, the Company's bank loan portfolio had an aggregate fair value of $143.8 million and unpaid principal of $156.3 million. Investment income on bank loan participations included in net investment income was $4.4 million and $8.7 million for the </w:t>
      </w:r>
      <w:r>
        <w:rPr>
          <w:rFonts w:ascii="Times New Roman;sans-serif" w:hAnsi="Times New Roman;sans-serif"/>
          <w:b w:val="false"/>
          <w:color w:val="000000"/>
          <w:sz w:val="20"/>
        </w:rPr>
        <w:t>three and six</w:t>
      </w:r>
      <w:r>
        <w:rPr>
          <w:color w:val="231F20"/>
        </w:rPr>
        <w:t xml:space="preserve"> </w:t>
      </w:r>
      <w:r>
        <w:rPr>
          <w:rFonts w:ascii="Times New Roman;sans-serif" w:hAnsi="Times New Roman;sans-serif"/>
          <w:b w:val="false"/>
          <w:color w:val="231F20"/>
          <w:sz w:val="20"/>
        </w:rPr>
        <w:t xml:space="preserve">months ended June 30, 2023, respectively ($2.7 million and $5.1 million for the </w:t>
      </w:r>
      <w:r>
        <w:rPr>
          <w:rFonts w:ascii="Times New Roman;sans-serif" w:hAnsi="Times New Roman;sans-serif"/>
          <w:b w:val="false"/>
          <w:color w:val="000000"/>
          <w:sz w:val="20"/>
        </w:rPr>
        <w:t>three and six</w:t>
      </w:r>
      <w:r>
        <w:rPr>
          <w:color w:val="231F20"/>
        </w:rPr>
        <w:t xml:space="preserve"> </w:t>
      </w:r>
      <w:r>
        <w:rPr>
          <w:rFonts w:ascii="Times New Roman;sans-serif" w:hAnsi="Times New Roman;sans-serif"/>
          <w:b w:val="false"/>
          <w:color w:val="231F20"/>
          <w:sz w:val="20"/>
        </w:rPr>
        <w:t>months ended June 30, 2022, respectively)</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 xml:space="preserve">Net realized and unrealized gains (losses) on bank loan participations included losses of </w:t>
      </w:r>
      <w:r>
        <w:rPr>
          <w:rFonts w:ascii="Times New Roman;sans-serif" w:hAnsi="Times New Roman;sans-serif"/>
          <w:b w:val="false"/>
          <w:color w:val="000000"/>
          <w:sz w:val="20"/>
        </w:rPr>
        <w:t>$2.1 million</w:t>
      </w:r>
      <w:r>
        <w:rPr>
          <w:color w:val="231F20"/>
        </w:rPr>
        <w:t xml:space="preserve"> </w:t>
      </w:r>
      <w:r>
        <w:rPr>
          <w:rFonts w:ascii="Times New Roman;sans-serif" w:hAnsi="Times New Roman;sans-serif"/>
          <w:b w:val="false"/>
          <w:color w:val="231F20"/>
          <w:sz w:val="20"/>
        </w:rPr>
        <w:t xml:space="preserve">and gains of </w:t>
      </w:r>
      <w:r>
        <w:rPr>
          <w:rFonts w:ascii="Times New Roman;sans-serif" w:hAnsi="Times New Roman;sans-serif"/>
          <w:b w:val="false"/>
          <w:color w:val="000000"/>
          <w:sz w:val="20"/>
        </w:rPr>
        <w:t>$3.5 million</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 and six</w:t>
      </w:r>
      <w:r>
        <w:rPr>
          <w:color w:val="231F20"/>
        </w:rPr>
        <w:t xml:space="preserve"> </w:t>
      </w:r>
      <w:r>
        <w:rPr>
          <w:rFonts w:ascii="Times New Roman;sans-serif" w:hAnsi="Times New Roman;sans-serif"/>
          <w:b w:val="false"/>
          <w:color w:val="231F20"/>
          <w:sz w:val="20"/>
        </w:rPr>
        <w:t xml:space="preserve">months ended June 30, 2023, respectively (losses of </w:t>
      </w:r>
      <w:r>
        <w:rPr>
          <w:rFonts w:ascii="Times New Roman;sans-serif" w:hAnsi="Times New Roman;sans-serif"/>
          <w:b w:val="false"/>
          <w:color w:val="000000"/>
          <w:sz w:val="20"/>
        </w:rPr>
        <w:t>$9.9 million</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$12.0 million</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 and six</w:t>
      </w:r>
      <w:r>
        <w:rPr>
          <w:color w:val="231F20"/>
        </w:rPr>
        <w:t xml:space="preserve"> </w:t>
      </w:r>
      <w:r>
        <w:rPr>
          <w:rFonts w:ascii="Times New Roman;sans-serif" w:hAnsi="Times New Roman;sans-serif"/>
          <w:b w:val="false"/>
          <w:color w:val="231F20"/>
          <w:sz w:val="20"/>
        </w:rPr>
        <w:t xml:space="preserve">months ended June 30, 2022, respectively). For the </w:t>
      </w:r>
      <w:r>
        <w:rPr>
          <w:rFonts w:ascii="Times New Roman;sans-serif" w:hAnsi="Times New Roman;sans-serif"/>
          <w:b w:val="false"/>
          <w:color w:val="000000"/>
          <w:sz w:val="20"/>
        </w:rPr>
        <w:t>three and six</w:t>
      </w:r>
      <w:r>
        <w:rPr>
          <w:color w:val="231F20"/>
        </w:rPr>
        <w:t xml:space="preserve"> </w:t>
      </w:r>
      <w:r>
        <w:rPr>
          <w:rFonts w:ascii="Times New Roman;sans-serif" w:hAnsi="Times New Roman;sans-serif"/>
          <w:b w:val="false"/>
          <w:color w:val="231F20"/>
          <w:sz w:val="20"/>
        </w:rPr>
        <w:t xml:space="preserve">months ended June 30, 2023, management concluded that $497,000 and $2.4 million, respectively, of the unrealized losses were due to credit-related impairments. For the </w:t>
      </w:r>
      <w:r>
        <w:rPr>
          <w:rFonts w:ascii="Times New Roman;sans-serif" w:hAnsi="Times New Roman;sans-serif"/>
          <w:b w:val="false"/>
          <w:color w:val="000000"/>
          <w:sz w:val="20"/>
        </w:rPr>
        <w:t>three and six</w:t>
      </w:r>
      <w:r>
        <w:rPr>
          <w:color w:val="231F20"/>
        </w:rPr>
        <w:t xml:space="preserve"> </w:t>
      </w:r>
      <w:r>
        <w:rPr>
          <w:rFonts w:ascii="Times New Roman;sans-serif" w:hAnsi="Times New Roman;sans-serif"/>
          <w:b w:val="false"/>
          <w:color w:val="231F20"/>
          <w:sz w:val="20"/>
        </w:rPr>
        <w:t>months ended June 30, 2022, management concluded that unrealized losses were largely market-driven and that none of the unrealized losses were due to credit-related impairments. 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pStyle w:val="TextBody"/>
        <w:bidi w:val="0"/>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pStyle w:val="TextBody"/>
        <w:bidi w:val="0"/>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June 30, 2023 or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realized and unrealized gains and losses on investments are summarized as follows:</w:t>
      </w:r>
    </w:p>
    <w:tbl>
      <w:tblPr>
        <w:tblW w:w="9959" w:type="dxa"/>
        <w:jc w:val="left"/>
        <w:tblInd w:w="0" w:type="dxa"/>
        <w:tblLayout w:type="fixed"/>
        <w:tblCellMar>
          <w:top w:w="28" w:type="dxa"/>
          <w:left w:w="28" w:type="dxa"/>
          <w:bottom w:w="28" w:type="dxa"/>
          <w:right w:w="28" w:type="dxa"/>
        </w:tblCellMar>
      </w:tblPr>
      <w:tblGrid>
        <w:gridCol w:w="1749"/>
        <w:gridCol w:w="1538"/>
        <w:gridCol w:w="1542"/>
        <w:gridCol w:w="211"/>
        <w:gridCol w:w="616"/>
        <w:gridCol w:w="109"/>
        <w:gridCol w:w="109"/>
        <w:gridCol w:w="109"/>
        <w:gridCol w:w="109"/>
        <w:gridCol w:w="211"/>
        <w:gridCol w:w="796"/>
        <w:gridCol w:w="109"/>
        <w:gridCol w:w="109"/>
        <w:gridCol w:w="109"/>
        <w:gridCol w:w="109"/>
        <w:gridCol w:w="211"/>
        <w:gridCol w:w="616"/>
        <w:gridCol w:w="109"/>
        <w:gridCol w:w="109"/>
        <w:gridCol w:w="109"/>
        <w:gridCol w:w="109"/>
        <w:gridCol w:w="211"/>
        <w:gridCol w:w="796"/>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bank loan participations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equity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short-term investments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Realized investment gains or losses are determined on a specific identification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selectively in private debt and equity opportunities. These investments, which together comprise the Company’s other invested assets, are primarily focused in renewable energy, limited partnerships, and bank holding companies.</w:t>
      </w:r>
    </w:p>
    <w:tbl>
      <w:tblPr>
        <w:tblW w:w="10205" w:type="dxa"/>
        <w:jc w:val="left"/>
        <w:tblInd w:w="0" w:type="dxa"/>
        <w:tblLayout w:type="fixed"/>
        <w:tblCellMar>
          <w:top w:w="28" w:type="dxa"/>
          <w:left w:w="28" w:type="dxa"/>
          <w:bottom w:w="28" w:type="dxa"/>
          <w:right w:w="28" w:type="dxa"/>
        </w:tblCellMar>
      </w:tblPr>
      <w:tblGrid>
        <w:gridCol w:w="901"/>
        <w:gridCol w:w="761"/>
        <w:gridCol w:w="763"/>
        <w:gridCol w:w="211"/>
        <w:gridCol w:w="721"/>
        <w:gridCol w:w="109"/>
        <w:gridCol w:w="109"/>
        <w:gridCol w:w="109"/>
        <w:gridCol w:w="109"/>
        <w:gridCol w:w="217"/>
        <w:gridCol w:w="744"/>
        <w:gridCol w:w="112"/>
        <w:gridCol w:w="109"/>
        <w:gridCol w:w="109"/>
        <w:gridCol w:w="109"/>
        <w:gridCol w:w="211"/>
        <w:gridCol w:w="517"/>
        <w:gridCol w:w="109"/>
        <w:gridCol w:w="109"/>
        <w:gridCol w:w="109"/>
        <w:gridCol w:w="109"/>
        <w:gridCol w:w="211"/>
        <w:gridCol w:w="517"/>
        <w:gridCol w:w="109"/>
        <w:gridCol w:w="109"/>
        <w:gridCol w:w="109"/>
        <w:gridCol w:w="109"/>
        <w:gridCol w:w="211"/>
        <w:gridCol w:w="616"/>
        <w:gridCol w:w="109"/>
        <w:gridCol w:w="109"/>
        <w:gridCol w:w="109"/>
        <w:gridCol w:w="109"/>
        <w:gridCol w:w="211"/>
        <w:gridCol w:w="616"/>
        <w:gridCol w:w="109"/>
        <w:gridCol w:w="109"/>
        <w:gridCol w:w="109"/>
        <w:gridCol w:w="109"/>
        <w:gridCol w:w="158"/>
      </w:tblGrid>
      <w:tr>
        <w:trPr/>
        <w:tc>
          <w:tcPr>
            <w:tcW w:w="90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Renewable energy LLCs </w:t>
            </w:r>
            <w:r>
              <w:rPr>
                <w:rFonts w:ascii="Times New Roman;sans-serif" w:hAnsi="Times New Roman;sans-serif"/>
                <w:b w:val="false"/>
                <w:i/>
                <w:color w:val="000000"/>
                <w:sz w:val="20"/>
              </w:rPr>
              <w: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Renewable energy notes receivable (</w:t>
            </w:r>
            <w:r>
              <w:rPr>
                <w:rFonts w:ascii="Times New Roman;sans-serif" w:hAnsi="Times New Roman;sans-serif"/>
                <w:b w:val="false"/>
                <w:i/>
                <w:color w:val="000000"/>
                <w:sz w:val="20"/>
              </w:rPr>
              <w:t>b)</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Limited partnerships </w:t>
            </w:r>
            <w:r>
              <w:rPr>
                <w:rFonts w:ascii="Times New Roman;sans-serif" w:hAnsi="Times New Roman;sans-serif"/>
                <w:b w:val="false"/>
                <w:i/>
                <w:color w:val="000000"/>
                <w:sz w:val="20"/>
              </w:rPr>
              <w:t>(c)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Bank holding companies </w:t>
            </w:r>
            <w:r>
              <w:rPr>
                <w:rFonts w:ascii="Times New Roman;sans-serif" w:hAnsi="Times New Roman;sans-serif"/>
                <w:b w:val="false"/>
                <w:i/>
                <w:color w:val="000000"/>
                <w:sz w:val="20"/>
              </w:rPr>
              <w:t>(d)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invested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Company's Excess and Surplus Lines segment owns equity interests ranging from 2.6% to 4.9% in various LLCs whose principal objective is capital appreciation and income generation from owning and operating renewable energy production facilities (wind and solar). The Corporate and Other segment also held an interest in one of the LLCs until the fourth quarter of 2022. The LLCs are managed by an entity for which two former directors served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$24,000 and $951,000 in the six months ended June 30, 2023 and 2022, respectively. During the fourth quarter of 2022, the underlying projects in two of our LLCs were sold at the manager's discretion. In the three months ended March 31, 2023, the Company received additional proceeds from the sales of $1.2 million comprised of $984,000 in the Excess and Surplus Lines segment and $170,000 in the Corporate and Other segment. We could receive additional contingent payments in the future according to terms of the transaction.</w:t>
      </w:r>
    </w:p>
    <w:p>
      <w:pPr>
        <w:pStyle w:val="TextBody"/>
        <w:bidi w:val="0"/>
        <w:spacing w:lineRule="auto" w:line="288" w:before="0" w:after="12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231F20"/>
          <w:sz w:val="20"/>
        </w:rPr>
        <w:t xml:space="preserve">The Company's </w:t>
      </w:r>
      <w:r>
        <w:rPr>
          <w:rFonts w:ascii="Times New Roman;sans-serif" w:hAnsi="Times New Roman;sans-serif"/>
          <w:b w:val="false"/>
          <w:color w:val="000000"/>
          <w:sz w:val="20"/>
        </w:rPr>
        <w:t xml:space="preserve">Excess and Surplus Lines and </w:t>
      </w:r>
      <w:r>
        <w:rPr>
          <w:rFonts w:ascii="Times New Roman;sans-serif" w:hAnsi="Times New Roman;sans-serif"/>
          <w:b w:val="false"/>
          <w:color w:val="231F20"/>
          <w:sz w:val="20"/>
        </w:rPr>
        <w:t>Corporate and Other segments have invested in notes receivable for renewable energy projects. At June 30, 2023, the Company held two notes issued by an</w:t>
      </w:r>
      <w:r>
        <w:rPr>
          <w:color w:val="000000"/>
        </w:rPr>
        <w:t xml:space="preserve"> </w:t>
      </w:r>
      <w:r>
        <w:rPr>
          <w:rFonts w:ascii="Times New Roman;sans-serif" w:hAnsi="Times New Roman;sans-serif"/>
          <w:b w:val="false"/>
          <w:color w:val="000000"/>
          <w:sz w:val="20"/>
        </w:rPr>
        <w:t>entity for which two of our former directors serve as officers</w:t>
      </w:r>
      <w:r>
        <w:rPr>
          <w:rFonts w:ascii="Times New Roman;sans-serif" w:hAnsi="Times New Roman;sans-serif"/>
          <w:b w:val="false"/>
          <w:color w:val="231F20"/>
          <w:sz w:val="20"/>
        </w:rPr>
        <w:t>. Interest on the notes, which mature in 2025, is fixed at 12%.</w:t>
      </w:r>
    </w:p>
    <w:p>
      <w:pPr>
        <w:pStyle w:val="TextBody"/>
        <w:bidi w:val="0"/>
        <w:spacing w:lineRule="auto" w:line="276" w:before="0" w:after="120"/>
        <w:ind w:left="0" w:right="0" w:hanging="360"/>
        <w:jc w:val="both"/>
        <w:rPr/>
      </w:pPr>
      <w:r>
        <w:rPr>
          <w:rFonts w:ascii="Times New Roman;sans-serif" w:hAnsi="Times New Roman;sans-serif"/>
          <w:b w:val="false"/>
          <w:color w:val="231F20"/>
          <w:sz w:val="20"/>
        </w:rPr>
        <w:t>(c)</w:t>
      </w:r>
      <w:r>
        <w:rPr>
          <w:rFonts w:ascii="Times New Roman;sans-serif" w:hAnsi="Times New Roman;sans-serif"/>
          <w:b w:val="false"/>
          <w:color w:val="000000"/>
          <w:sz w:val="20"/>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and tranches of distressed home loans. </w:t>
      </w:r>
      <w:r>
        <w:rPr>
          <w:rFonts w:ascii="Times New Roman;sans-serif" w:hAnsi="Times New Roman;sans-serif"/>
          <w:b w:val="false"/>
          <w:color w:val="231F20"/>
          <w:sz w:val="20"/>
        </w:rPr>
        <w:t>Income f</w:t>
      </w:r>
      <w:r>
        <w:rPr>
          <w:rFonts w:ascii="Times New Roman;sans-serif" w:hAnsi="Times New Roman;sans-serif"/>
          <w:b w:val="false"/>
          <w:color w:val="000000"/>
          <w:sz w:val="20"/>
        </w:rPr>
        <w:t>rom the partnerships is recognized under the equity method of accounting. At June 30, 2023, the Company’s Excess and Surplus Lines segment has outstanding commitments to invest another $5.0 million in the limited partnerships and a $20.0 million commitment to invest in a new limited partnership.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hanging="360"/>
        <w:jc w:val="both"/>
        <w:rPr/>
      </w:pPr>
      <w:r>
        <w:rPr>
          <w:rFonts w:ascii="Times New Roman;sans-serif" w:hAnsi="Times New Roman;sans-serif"/>
          <w:b w:val="false"/>
          <w:color w:val="000000"/>
          <w:sz w:val="20"/>
        </w:rPr>
        <w:t>(d)The Company's Excess and Surplus Lines segment holds $4.5 million of subordinated notes issued by a bank holding company for which the Company’s Non-Executive Chairman was previously the Lead Independent Director and an investor and for which one of the Company’s directors is also an investor (the "Bank Holding Company").</w:t>
      </w:r>
      <w:r>
        <w:rPr>
          <w:color w:val="231F20"/>
        </w:rPr>
        <w:t xml:space="preserve"> </w:t>
      </w:r>
      <w:r>
        <w:rPr>
          <w:rFonts w:ascii="Times New Roman;sans-serif" w:hAnsi="Times New Roman;sans-serif"/>
          <w:b w:val="false"/>
          <w:color w:val="000000"/>
          <w:sz w:val="20"/>
        </w:rPr>
        <w:t>Interest on the notes, which mature on August 12, 2023, is fixed at 7.6% per annum.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3.    Goodwill and Intangible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June 30, 2023 and December 31,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for each major specifically identifiable intangible asset class were as follows: </w:t>
      </w:r>
    </w:p>
    <w:tbl>
      <w:tblPr>
        <w:tblW w:w="10205" w:type="dxa"/>
        <w:jc w:val="left"/>
        <w:tblInd w:w="0" w:type="dxa"/>
        <w:tblLayout w:type="fixed"/>
        <w:tblCellMar>
          <w:top w:w="28" w:type="dxa"/>
          <w:left w:w="28" w:type="dxa"/>
          <w:bottom w:w="28" w:type="dxa"/>
          <w:right w:w="28" w:type="dxa"/>
        </w:tblCellMar>
      </w:tblPr>
      <w:tblGrid>
        <w:gridCol w:w="1414"/>
        <w:gridCol w:w="1142"/>
        <w:gridCol w:w="1149"/>
        <w:gridCol w:w="299"/>
        <w:gridCol w:w="299"/>
        <w:gridCol w:w="303"/>
        <w:gridCol w:w="109"/>
        <w:gridCol w:w="109"/>
        <w:gridCol w:w="109"/>
        <w:gridCol w:w="211"/>
        <w:gridCol w:w="721"/>
        <w:gridCol w:w="109"/>
        <w:gridCol w:w="109"/>
        <w:gridCol w:w="109"/>
        <w:gridCol w:w="109"/>
        <w:gridCol w:w="243"/>
        <w:gridCol w:w="711"/>
        <w:gridCol w:w="127"/>
        <w:gridCol w:w="109"/>
        <w:gridCol w:w="109"/>
        <w:gridCol w:w="109"/>
        <w:gridCol w:w="211"/>
        <w:gridCol w:w="721"/>
        <w:gridCol w:w="109"/>
        <w:gridCol w:w="109"/>
        <w:gridCol w:w="109"/>
        <w:gridCol w:w="109"/>
        <w:gridCol w:w="242"/>
        <w:gridCol w:w="707"/>
        <w:gridCol w:w="179"/>
      </w:tblGrid>
      <w:tr>
        <w:trPr/>
        <w:tc>
          <w:tcPr>
            <w:tcW w:w="141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not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4.    Earnings Per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reconciliation of the numerator and denominator of the basic and diluted earnings (loss) per common share computations contained in the condensed consolidated financial statements:</w:t>
      </w:r>
    </w:p>
    <w:tbl>
      <w:tblPr>
        <w:tblW w:w="9746" w:type="dxa"/>
        <w:jc w:val="left"/>
        <w:tblInd w:w="0" w:type="dxa"/>
        <w:tblLayout w:type="fixed"/>
        <w:tblCellMar>
          <w:top w:w="28" w:type="dxa"/>
          <w:left w:w="28" w:type="dxa"/>
          <w:bottom w:w="28" w:type="dxa"/>
          <w:right w:w="28" w:type="dxa"/>
        </w:tblCellMar>
      </w:tblPr>
      <w:tblGrid>
        <w:gridCol w:w="1435"/>
        <w:gridCol w:w="1257"/>
        <w:gridCol w:w="1268"/>
        <w:gridCol w:w="244"/>
        <w:gridCol w:w="837"/>
        <w:gridCol w:w="109"/>
        <w:gridCol w:w="109"/>
        <w:gridCol w:w="109"/>
        <w:gridCol w:w="109"/>
        <w:gridCol w:w="275"/>
        <w:gridCol w:w="806"/>
        <w:gridCol w:w="109"/>
        <w:gridCol w:w="109"/>
        <w:gridCol w:w="109"/>
        <w:gridCol w:w="109"/>
        <w:gridCol w:w="244"/>
        <w:gridCol w:w="837"/>
        <w:gridCol w:w="109"/>
        <w:gridCol w:w="109"/>
        <w:gridCol w:w="109"/>
        <w:gridCol w:w="109"/>
        <w:gridCol w:w="244"/>
        <w:gridCol w:w="837"/>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and per share amounts)</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Dividends on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37,449,621 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37,428,385 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43,498,905 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37,732,371 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37,822,405 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37,643,634 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pPr>
      <w:r>
        <w:rPr>
          <w:rFonts w:ascii="Times New Roman;sans-serif" w:hAnsi="Times New Roman;sans-serif"/>
          <w:b w:val="false"/>
          <w:color w:val="000000"/>
          <w:sz w:val="20"/>
        </w:rPr>
        <w:t>For</w:t>
      </w:r>
      <w:r>
        <w:rPr>
          <w:color w:val="231F20"/>
        </w:rPr>
        <w:t xml:space="preserve"> </w:t>
      </w:r>
      <w:r>
        <w:rPr>
          <w:rFonts w:ascii="Times New Roman;sans-serif" w:hAnsi="Times New Roman;sans-serif"/>
          <w:b w:val="false"/>
          <w:color w:val="231F20"/>
          <w:sz w:val="20"/>
        </w:rPr>
        <w:t xml:space="preserve">the </w:t>
      </w:r>
      <w:r>
        <w:rPr>
          <w:rFonts w:ascii="Times New Roman;sans-serif" w:hAnsi="Times New Roman;sans-serif"/>
          <w:b w:val="false"/>
          <w:color w:val="000000"/>
          <w:sz w:val="20"/>
        </w:rPr>
        <w:t xml:space="preserve">three </w:t>
      </w:r>
      <w:r>
        <w:rPr>
          <w:rFonts w:ascii="Times New Roman;sans-serif" w:hAnsi="Times New Roman;sans-serif"/>
          <w:b w:val="false"/>
          <w:color w:val="231F20"/>
          <w:sz w:val="20"/>
        </w:rPr>
        <w:t xml:space="preserve">months ended June 30, 2023, all </w:t>
      </w:r>
      <w:r>
        <w:rPr>
          <w:rFonts w:ascii="Times New Roman;sans-serif" w:hAnsi="Times New Roman;sans-serif"/>
          <w:b w:val="false"/>
          <w:color w:val="000000"/>
          <w:sz w:val="20"/>
        </w:rPr>
        <w:t xml:space="preserve">potential common shares were dilutive. Dividends on the Series A preferred shares were added back to the numerator and 5,640,158 common shares from an assumed conversion of the Series A preferred shares were included in the denominator for the diluted earnings per common share calculation. For the six months ended </w:t>
      </w:r>
      <w:r>
        <w:rPr>
          <w:rFonts w:ascii="Times New Roman;sans-serif" w:hAnsi="Times New Roman;sans-serif"/>
          <w:b w:val="false"/>
          <w:color w:val="231F20"/>
          <w:sz w:val="20"/>
        </w:rPr>
        <w:t>June 30, 2023, potential common shares of 5,640,158</w:t>
      </w:r>
      <w:r>
        <w:rPr>
          <w:rFonts w:ascii="Times New Roman;sans-serif" w:hAnsi="Times New Roman;sans-serif"/>
          <w:b w:val="false"/>
          <w:color w:val="000000"/>
          <w:sz w:val="20"/>
        </w:rPr>
        <w:t xml:space="preserve">, representing the outstanding Series A preferred shares, were anti-dilutive and excluded from the calculation of diluted earnings per common share. For the three and six months ended June 30, 2022, potential common shares of </w:t>
      </w:r>
      <w:r>
        <w:rPr>
          <w:rFonts w:ascii="Times New Roman;sans-serif" w:hAnsi="Times New Roman;sans-serif"/>
          <w:b w:val="false"/>
          <w:color w:val="231F20"/>
          <w:sz w:val="20"/>
        </w:rPr>
        <w:t xml:space="preserve">5,928,132 and </w:t>
      </w:r>
      <w:r>
        <w:rPr>
          <w:rFonts w:ascii="Times New Roman;sans-serif" w:hAnsi="Times New Roman;sans-serif"/>
          <w:b w:val="false"/>
          <w:color w:val="000000"/>
          <w:sz w:val="20"/>
        </w:rPr>
        <w:t>4,089,627, respectively, were excluded from the calculation of diluted earnings per common share as their effects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5.    Reserve for Losses and Loss Adjustment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$670,000 at June 30, 2023, $661,000 at March 31, 2023, $612,000 at December 31, 2022, $601,000 at June 30, 2022, $604,000 at March 31, 2022, and $631,000 at December 31, 2021.</w:t>
      </w:r>
    </w:p>
    <w:tbl>
      <w:tblPr>
        <w:tblW w:w="10205" w:type="dxa"/>
        <w:jc w:val="left"/>
        <w:tblInd w:w="0" w:type="dxa"/>
        <w:tblLayout w:type="fixed"/>
        <w:tblCellMar>
          <w:top w:w="28" w:type="dxa"/>
          <w:left w:w="28" w:type="dxa"/>
          <w:bottom w:w="28" w:type="dxa"/>
          <w:right w:w="28" w:type="dxa"/>
        </w:tblCellMar>
      </w:tblPr>
      <w:tblGrid>
        <w:gridCol w:w="1445"/>
        <w:gridCol w:w="1270"/>
        <w:gridCol w:w="1278"/>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Incurred losses and loss adjustment expenses net of reinsurance: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retroactive reinsurance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excluding retroactive reinsurance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 losses and loss and adjustment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Loss and loss adjustment expense payments net of reinsurance: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and loss adjustment expense payments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Change in deferred reinsurance gain - retroactive reinsurance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Loss reserves ceded in Casualty Re LPT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Changes in reinsurance recoverable of Casualty Re LPT unrelated to net reserve activity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end of period</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Reinsurance recoverables on unpaid losses and loss adjustment expenses at end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1,571,486 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gross of reinsurance recoverables on unpaid losses and loss adjustment expenses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2,730,631 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experienced $2.3 million of net adverse reserve development in the three months ended June 30, 2023 on the reserve for losses and loss adjustment expenses held at December 31, 2022 (excluding adverse prior year development on the loss portfolio transfers subject to retroactive reinsurance accounting - see </w:t>
      </w:r>
      <w:r>
        <w:rPr>
          <w:rFonts w:ascii="Times New Roman;sans-serif" w:hAnsi="Times New Roman;sans-serif"/>
          <w:b w:val="false"/>
          <w:i/>
          <w:color w:val="000000"/>
          <w:sz w:val="20"/>
        </w:rPr>
        <w:t xml:space="preserve">Loss Portfolio Transfers </w:t>
      </w:r>
      <w:r>
        <w:rPr>
          <w:rFonts w:ascii="Times New Roman;sans-serif" w:hAnsi="Times New Roman;sans-serif"/>
          <w:b w:val="false"/>
          <w:color w:val="000000"/>
          <w:sz w:val="20"/>
        </w:rPr>
        <w:t>below). This reserve development included $118,000 of net adverse development in the Excess and Surplus Lines segment, $839,000 of net favorable development in the Specialty Admitted Insurance segment, and $3.0 million of net adverse development in the Casualty Reinsurance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experienced $1.6 million of net favorable reserve development in the three months ended June 30, 2022 on the reserve for losses and loss adjustment expenses held at December 31, 2021. This reserve development included $32,000 of net favorable development in the Excess and Surplus Lines segment, $1.5 million of net favorable development in the Specialty Admitted Insurance segment, and no development in the Casualty Reinsurance segment.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experienced $3.7 million of net adverse reserve development in the six months ended June 30, 2023 on the reserve for losses and loss adjustment expenses held at December 31, 2022 (excluding adverse prior year development on the loss portfolio transfers subject to retroactive reinsurance accounting - see </w:t>
      </w:r>
      <w:r>
        <w:rPr>
          <w:rFonts w:ascii="Times New Roman;sans-serif" w:hAnsi="Times New Roman;sans-serif"/>
          <w:b w:val="false"/>
          <w:i/>
          <w:color w:val="000000"/>
          <w:sz w:val="20"/>
        </w:rPr>
        <w:t xml:space="preserve">Loss Portfolio Transfers </w:t>
      </w:r>
      <w:r>
        <w:rPr>
          <w:rFonts w:ascii="Times New Roman;sans-serif" w:hAnsi="Times New Roman;sans-serif"/>
          <w:b w:val="false"/>
          <w:color w:val="000000"/>
          <w:sz w:val="20"/>
        </w:rPr>
        <w:t>below). This reserve development included $206,000 of net favorable development in the Excess and Surplus Lines segment, $1.0 million of net favorable development in the Specialty Admitted Insurance segment, and $4.9 million of net adverse development in the Casualty Reinsurance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experienced $5.2 million of net adverse reserve development in the six months ended June 30, 2022 on the reserve for losses and loss adjustment expenses held at December 31, 2021. This reserve development included $91,000 of net favorable development in the Excess and Surplus Lines segment, $1.5 million of net favorable development in the Specialty Admitted Insurance segment, and $6.8 million of net adverse development in the Casualty Reinsurance segment that was associated with the Casualty Re LPT (as defined below).</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Loss Portfolio Transfers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two loss portfolio transfers, which are a form of reinsurance utilized by the Company to transfer losses and loss adjustment expenses and associated risk of adverse development on covered subject business, as defined in the respective agreements, to an assuming reinsurer in exchange for a reinsurance premium.</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Commercial Auto Loss Portfolio Transfer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Casualty Re Loss Portfolio Transfer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JRG Re entered into a loss portfolio transfer retrocession agreement (the “Casualty Re LPT”)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were adjusted for claims paid from October 1, 2021 to the Retrocession Closing Date. The Casualty Reinsurance segment incurred $6.8 million of net adverse reserve development in the three months ended March 31, 2022 associated with the Casualty Re LPT.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Retroactive Reinsurance Accounting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Commercial Auto LPT and the Casualty Re LPT. For the three and six months ended June 30, 2023, due to adverse paid and reported loss trends, the Company recognized adverse prior year development of $18.4 million and $67.2 million, respectively, on the reserves subject to the Commercial Auto LPT ($12.6 million and $53.6 million, respectively) and Casualty Re LPT ($5.8 million and $13.7 million, respectively), resulting in corresponding additional amounts ceded under the respective loss portfolio transfers. Both loss portfolio transfers are in gain positions as the cumulative amounts ceded under the loss portfolio transfers exceed the consideration paid, requiring the application of retroactive reinsurance accounting under GAAP.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retroactive reinsurance accounting, gains are deferred and recognized in earnings in proportion to actual paid recoveries under the loss portfolio transfers using the recovery method. Over the life of the contracts, we would expect no economic impact to the Company as long as any additional losses are within the limit of the loss portfolio transfer and the counterparty performs under the contract. In periods where the Company recognizes a change in the estimate of the reserves subject to the loss portfolio transfers that increases or decreases the amounts ceded under the loss portfolio transfers, the proportion of actual paid recoveries to total ceded losses is affected and the change in deferred gain is recognized in earnings as if the revised estimate of ceded losses was available at the effective date of the loss portfolio transfer. The effect of the deferred retroactive reinsurance benefit is recorded in losses and loss adjustment expenses on the Condensed Consolidated Statements of Income and Comprehensive Income (Loss).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retroactive reinsurance benefits totaling $17.8 million and $49.8 million, respectively ($14.8 million and $44.1 million for the Commercial Auto LPT, respectively, and $2.9 million and $5.6 million for the Casualty Re LPT, respectively), were recorded in losses and loss adjustment expenses on the Condensed Consolidated Statements of Income and Comprehensive Income (Loss) using the recovery method. As of June 30, 2023, the cumulative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amounts ceded under the loss portfolio transfers was $800.1 million ($445.4 million under the Commercial Auto LPT and $354.7 million under the Casualty Re LPT). The total unrecognized deferred retroactive reinsurance gain of $37.6 million at June 30, 2023 under the loss portfolio transfers ($25.2 million related to the Commercial Auto LPT and $12.4 million related to the Casualty Re LPT) is separately presented on the Company's Condensed Consolidated Balance Sheets. The Company has $45.3 million of aggregate limit remaining under the Casualty Re LPT at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6.    Other Comprehensive (Loss) Income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other comprehensive (loss) income:</w:t>
      </w:r>
    </w:p>
    <w:tbl>
      <w:tblPr>
        <w:tblW w:w="10205" w:type="dxa"/>
        <w:jc w:val="left"/>
        <w:tblInd w:w="0" w:type="dxa"/>
        <w:tblLayout w:type="fixed"/>
        <w:tblCellMar>
          <w:top w:w="28" w:type="dxa"/>
          <w:left w:w="28" w:type="dxa"/>
          <w:bottom w:w="28" w:type="dxa"/>
          <w:right w:w="28" w:type="dxa"/>
        </w:tblCellMar>
      </w:tblPr>
      <w:tblGrid>
        <w:gridCol w:w="1812"/>
        <w:gridCol w:w="1462"/>
        <w:gridCol w:w="1472"/>
        <w:gridCol w:w="211"/>
        <w:gridCol w:w="774"/>
        <w:gridCol w:w="109"/>
        <w:gridCol w:w="109"/>
        <w:gridCol w:w="109"/>
        <w:gridCol w:w="109"/>
        <w:gridCol w:w="211"/>
        <w:gridCol w:w="774"/>
        <w:gridCol w:w="109"/>
        <w:gridCol w:w="109"/>
        <w:gridCol w:w="109"/>
        <w:gridCol w:w="109"/>
        <w:gridCol w:w="211"/>
        <w:gridCol w:w="721"/>
        <w:gridCol w:w="109"/>
        <w:gridCol w:w="109"/>
        <w:gridCol w:w="109"/>
        <w:gridCol w:w="109"/>
        <w:gridCol w:w="211"/>
        <w:gridCol w:w="879"/>
        <w:gridCol w:w="159"/>
      </w:tblGrid>
      <w:tr>
        <w:trPr/>
        <w:tc>
          <w:tcPr>
            <w:tcW w:w="181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4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arising during the period, before U.S.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arising during the period, net of U.S. income taxes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(143,578)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investment (losses) gains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investment (losses) gains realized in net income</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(144,571)</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In addition to the $277,000 and $369,000 of net realized investment losses on available-for-sale fixed maturities for the three and six</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June 30, 2023 ($1.1 million and $1.3 million of net realized investment gains for the three and six</w:t>
      </w:r>
      <w:r>
        <w:rPr>
          <w:color w:val="231F20"/>
        </w:rPr>
        <w:t xml:space="preserve"> </w:t>
      </w:r>
      <w:r>
        <w:rPr>
          <w:rFonts w:ascii="Times New Roman;sans-serif" w:hAnsi="Times New Roman;sans-serif"/>
          <w:b w:val="false"/>
          <w:color w:val="231F20"/>
          <w:sz w:val="20"/>
        </w:rPr>
        <w:t>months ended</w:t>
      </w:r>
      <w:r>
        <w:rPr>
          <w:color w:val="000000"/>
        </w:rPr>
        <w:t xml:space="preserve"> </w:t>
      </w:r>
      <w:r>
        <w:rPr>
          <w:rFonts w:ascii="Times New Roman;sans-serif" w:hAnsi="Times New Roman;sans-serif"/>
          <w:b w:val="false"/>
          <w:color w:val="000000"/>
          <w:sz w:val="20"/>
        </w:rPr>
        <w:t>June 30, 2022</w:t>
      </w:r>
      <w:r>
        <w:rPr>
          <w:rFonts w:ascii="Times New Roman;sans-serif" w:hAnsi="Times New Roman;sans-serif"/>
          <w:b w:val="false"/>
          <w:color w:val="231F20"/>
          <w:sz w:val="20"/>
        </w:rPr>
        <w:t>, respectively),</w:t>
      </w:r>
      <w:r>
        <w:rPr>
          <w:color w:val="000000"/>
        </w:rPr>
        <w:t xml:space="preserve"> </w:t>
      </w:r>
      <w:r>
        <w:rPr>
          <w:rFonts w:ascii="Times New Roman;sans-serif" w:hAnsi="Times New Roman;sans-serif"/>
          <w:b w:val="false"/>
          <w:color w:val="000000"/>
          <w:sz w:val="20"/>
        </w:rPr>
        <w:t>the Company also recognized net realized and unrealized investment gains (losses) in the respective periods of $2.1 million and $3.5 million on its investments in bank loan participations ($(9.9) million and $(12.0) million in the respective prior year periods) and $312,000 and $(594,000) on its investments in equity securities ($(8.2) million and $(11.3) million in the respective prior year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7.       Contingent Liabilities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including commercial matters and litigation regarding insurance claims which arise in the ordinary course of business, as well as an alleged class action lawsuit. In addition, the Company is involved from time to time in legal actions which seek extra-contractual damages, punitive damages or penalties, including claims alleging bad faith in handling of insurance claims. The Company believes that the outcome of such matters, individually and in the aggregate, is not reasonably likely to have a material adverse effect on the Company's consolidated financial position, results of operations or cash flows.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w:t>
      </w:r>
      <w:r>
        <w:rPr>
          <w:rFonts w:ascii="Times New Roman;sans-serif" w:hAnsi="Times New Roman;sans-serif"/>
          <w:b w:val="false"/>
          <w:color w:val="000000"/>
          <w:sz w:val="20"/>
          <w:shd w:fill="FFFFFF" w:val="clear"/>
        </w:rPr>
        <w:t>8</w:t>
      </w:r>
      <w:r>
        <w:rPr>
          <w:rFonts w:ascii="Times New Roman;sans-serif" w:hAnsi="Times New Roman;sans-serif"/>
          <w:b w:val="false"/>
          <w:color w:val="000000"/>
          <w:sz w:val="20"/>
        </w:rPr>
        <w:t xml:space="preserve">,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The First Amended Complaint and Second Amended Complaint assert claims under Sections 10(b) and 20(a) of the Securities Exchange Act of 1934 on behalf of a putative class of persons and entities that purchased the Company's stock between February 22, 2019 and October 25, 2021, and allege that Defendants failed to make appropriate disclosures concerning the adequacy of reserves for policies that covered Rasier LLC,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subsidiary of Uber Technologies, Inc., and seek unspecified damages, costs, attorneys’ fees and such other relief as the court may deem proper. We believe that the Plaintiffs’ claims are without merit and we intend to vigorously defend this lawsuit.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reinsurance subsidiary, JRG Re, entered into three letter of credit facilities with banks as security to third-party reinsureds on reinsurance assumed by JRG Re. JRG Re has established custodial accounts to secure these letters of credit. Under a $30.0 million facility, $4.4 million of letters of credit were issued through June 30, 2023 which were secured by deposits of $5.7 million. Under a $102.5 million facility, $42.3 million of letters of credit were issued through June 30, 2023 which were secured by deposits of $53.0 million. Under a $100.0 million facility, $28.2 million of letters of credit were issued through June 30, 2023 which were secured by deposits of $43.7 million. JRG Re has also established trust accounts to secure its obligations to selected reinsureds. The total amount deposited in the trust accounts for the benefit of third-party reinsureds was $399.8 million at June 30, 2023.</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Since inception, due to adverse paid and reported loss trends on the legacy Rasier business, the Company has recognized adverse prior year development of $100.3 million on the reserves subject to the Commercial Auto LPT, bringing the cumulative amount ceded under the Commercial Auto LPT to $445.4 million at June 30, 2023.</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under the Indemnity Agreements and the Commercial Auto LPT, respectively:</w:t>
      </w:r>
    </w:p>
    <w:p>
      <w:pPr>
        <w:pStyle w:val="TextBody"/>
        <w:bidi w:val="0"/>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June 30, 2023, the balance in the Indemnity Trust was $187.3 million, and, together with the balance of the Loss Fund Trust (as defined below) attributable to the Indemnity Agreements as described below, the total balance of collateral securing Rasier’s obligations under the Indemnity Agreements was $256.5 million.</w:t>
      </w:r>
    </w:p>
    <w:p>
      <w:pPr>
        <w:pStyle w:val="TextBody"/>
        <w:bidi w:val="0"/>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Commercial Auto LPT, Aleka is required to post collateral equal to 102% of James River's estimate of Aleka's obligations under the Commercial Auto LPT, calculated in accordance with standard actuarial principles and based on reserves recorded in the Company’s statutory financial statements. The collateral is provided through a collateral trust arrangement (the “LPT Trust”) established in favor of James River by Aleka. At June 30, 2023, the balance in the LPT Trust was $85.6 million, and, together with the balance of the Loss Fund Trust (as defined below) attributable to the Commercial Auto LPT as described below, the total balance of collateral securing Aleka’s obligations under the Commercial Auto LPT was $113.8 million. At June 30, 2023, the total reinsurance recoverables under the Commercial Auto LPT was $122.4 million (including $111.9 million of unpaid recoverables and $10.5 million of paid recoverables).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June 30, 2023, the balance in the Loss Fund Trust was $105.5 million, including $69.2 million representing collateral supporting Rasier’s obligations under the Indemnity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Agreements and $28.2 million representing collateral supporting Aleka’s obligations under the Commercial Auto LPT. Funds posted to the Loss Fund Trust are classified as restricted cash equivalents on the Company's balance sheets.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8.    Segment Information</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and gross fee income (in specific instances when the Company is not retaining insurance risk) in “other income” in the condensed consolidated statements of income and comprehensive income (loss) less loss and loss adjustment expenses on business not subject to retroactive reinsurance accounting for loss portfolio transfers (see </w:t>
      </w:r>
      <w:r>
        <w:rPr>
          <w:rFonts w:ascii="Times New Roman;sans-serif" w:hAnsi="Times New Roman;sans-serif"/>
          <w:b w:val="false"/>
          <w:i/>
          <w:color w:val="000000"/>
          <w:sz w:val="20"/>
        </w:rPr>
        <w:t xml:space="preserve">Loss Portfolio Transfers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i/>
          <w:color w:val="000000"/>
          <w:sz w:val="20"/>
        </w:rPr>
        <w:t>Note 5 - Reserve for Losses and Loss Adjustment Expenses</w:t>
      </w:r>
      <w:r>
        <w:rPr>
          <w:rFonts w:ascii="Times New Roman;sans-serif" w:hAnsi="Times New Roman;sans-serif"/>
          <w:b w:val="false"/>
          <w:color w:val="000000"/>
          <w:sz w:val="20"/>
        </w:rPr>
        <w:t>) and other operating expenses of the operating segments. Gross fee income of $1.3 million and $2.4 million for the Specialty Admitted Insurance segment was included in other income and in underwriting profit (loss) for the three and six</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June 30, 2023, respectively ($900,000 and $1.7 million in the respective prior year periods)</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Segment results are reported prior to the effects of intercompany reinsurance agreements among the Company’s insurance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segment results:</w:t>
      </w:r>
    </w:p>
    <w:tbl>
      <w:tblPr>
        <w:tblW w:w="10205" w:type="dxa"/>
        <w:jc w:val="left"/>
        <w:tblInd w:w="0" w:type="dxa"/>
        <w:tblLayout w:type="fixed"/>
        <w:tblCellMar>
          <w:top w:w="28" w:type="dxa"/>
          <w:left w:w="28" w:type="dxa"/>
          <w:bottom w:w="28" w:type="dxa"/>
          <w:right w:w="28" w:type="dxa"/>
        </w:tblCellMar>
      </w:tblPr>
      <w:tblGrid>
        <w:gridCol w:w="1307"/>
        <w:gridCol w:w="1072"/>
        <w:gridCol w:w="1077"/>
        <w:gridCol w:w="211"/>
        <w:gridCol w:w="826"/>
        <w:gridCol w:w="109"/>
        <w:gridCol w:w="109"/>
        <w:gridCol w:w="109"/>
        <w:gridCol w:w="109"/>
        <w:gridCol w:w="211"/>
        <w:gridCol w:w="826"/>
        <w:gridCol w:w="109"/>
        <w:gridCol w:w="109"/>
        <w:gridCol w:w="109"/>
        <w:gridCol w:w="109"/>
        <w:gridCol w:w="220"/>
        <w:gridCol w:w="756"/>
        <w:gridCol w:w="109"/>
        <w:gridCol w:w="109"/>
        <w:gridCol w:w="109"/>
        <w:gridCol w:w="109"/>
        <w:gridCol w:w="253"/>
        <w:gridCol w:w="487"/>
        <w:gridCol w:w="131"/>
        <w:gridCol w:w="109"/>
        <w:gridCol w:w="109"/>
        <w:gridCol w:w="109"/>
        <w:gridCol w:w="211"/>
        <w:gridCol w:w="826"/>
        <w:gridCol w:w="156"/>
      </w:tblGrid>
      <w:tr>
        <w:trPr/>
        <w:tc>
          <w:tcPr>
            <w:tcW w:w="130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w:t>
              <w:br/>
              <w:t>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Casualty</w:t>
              <w:br/>
              <w:t>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209,658 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of operating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of operating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5,265,275 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417,771 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operating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2022</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376,086 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operating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5,265,275 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profit (loss) of the operating segments by individual segment to consolidated income before income taxes:</w:t>
      </w:r>
    </w:p>
    <w:tbl>
      <w:tblPr>
        <w:tblW w:w="10205" w:type="dxa"/>
        <w:jc w:val="left"/>
        <w:tblInd w:w="0" w:type="dxa"/>
        <w:tblLayout w:type="fixed"/>
        <w:tblCellMar>
          <w:top w:w="28" w:type="dxa"/>
          <w:left w:w="28" w:type="dxa"/>
          <w:bottom w:w="28" w:type="dxa"/>
          <w:right w:w="28" w:type="dxa"/>
        </w:tblCellMar>
      </w:tblPr>
      <w:tblGrid>
        <w:gridCol w:w="1817"/>
        <w:gridCol w:w="1594"/>
        <w:gridCol w:w="160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the operating segments: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profit of operating segments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9.    Other Operating Expenses and Other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consist of the following:</w:t>
      </w:r>
    </w:p>
    <w:tbl>
      <w:tblPr>
        <w:tblW w:w="10205" w:type="dxa"/>
        <w:jc w:val="left"/>
        <w:tblInd w:w="0" w:type="dxa"/>
        <w:tblLayout w:type="fixed"/>
        <w:tblCellMar>
          <w:top w:w="28" w:type="dxa"/>
          <w:left w:w="28" w:type="dxa"/>
          <w:bottom w:w="28" w:type="dxa"/>
          <w:right w:w="28" w:type="dxa"/>
        </w:tblCellMar>
      </w:tblPr>
      <w:tblGrid>
        <w:gridCol w:w="1778"/>
        <w:gridCol w:w="1561"/>
        <w:gridCol w:w="157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5"/>
      </w:tblGrid>
      <w:tr>
        <w:trPr/>
        <w:tc>
          <w:tcPr>
            <w:tcW w:w="1778"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9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policy acquisition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 of the operating segments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expenses of $223,000 and $826,000 for the three and six</w:t>
      </w:r>
      <w:r>
        <w:rPr>
          <w:color w:val="231F20"/>
        </w:rPr>
        <w:t xml:space="preserve"> </w:t>
      </w:r>
      <w:r>
        <w:rPr>
          <w:rFonts w:ascii="Times New Roman;sans-serif" w:hAnsi="Times New Roman;sans-serif"/>
          <w:b w:val="false"/>
          <w:color w:val="231F20"/>
          <w:sz w:val="20"/>
        </w:rPr>
        <w:t>months ended June 30, 2023</w:t>
      </w:r>
      <w:r>
        <w:rPr>
          <w:rFonts w:ascii="Times New Roman;sans-serif" w:hAnsi="Times New Roman;sans-serif"/>
          <w:b w:val="false"/>
          <w:color w:val="000000"/>
          <w:sz w:val="20"/>
        </w:rPr>
        <w:t>, respectively ($0 and $368,000 in the respective prior year periods), primarily consist of certain nonoperating expenses including legal fees related to a purported class action lawsuit and legal and other professional fees and other expenses related to various strategic initiatives including loss portfolio transfers accounted for as retroactive reinsurance.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10.    Fair Value Measurements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in the principal or most advantageous market in an orderly transaction between market participants on the measurement date.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 xml:space="preserve">broker quotes and prices observed for comparable securities). Values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2021.</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June 30, 2023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1,875,695 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December 31, 2022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107,812 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available-for-sale fixed maturity securities, equity securities, and bank loan participations measured at fair value on a recurring basis using significant unobservable inputs (Level 3) is shown below:</w:t>
      </w:r>
    </w:p>
    <w:tbl>
      <w:tblPr>
        <w:tblW w:w="7455" w:type="dxa"/>
        <w:jc w:val="center"/>
        <w:tblInd w:w="0" w:type="dxa"/>
        <w:tblLayout w:type="fixed"/>
        <w:tblCellMar>
          <w:top w:w="28" w:type="dxa"/>
          <w:left w:w="28" w:type="dxa"/>
          <w:bottom w:w="28" w:type="dxa"/>
          <w:right w:w="28" w:type="dxa"/>
        </w:tblCellMar>
      </w:tblPr>
      <w:tblGrid>
        <w:gridCol w:w="1289"/>
        <w:gridCol w:w="1130"/>
        <w:gridCol w:w="1136"/>
        <w:gridCol w:w="211"/>
        <w:gridCol w:w="361"/>
        <w:gridCol w:w="109"/>
        <w:gridCol w:w="109"/>
        <w:gridCol w:w="109"/>
        <w:gridCol w:w="109"/>
        <w:gridCol w:w="211"/>
        <w:gridCol w:w="406"/>
        <w:gridCol w:w="109"/>
        <w:gridCol w:w="109"/>
        <w:gridCol w:w="109"/>
        <w:gridCol w:w="109"/>
        <w:gridCol w:w="211"/>
        <w:gridCol w:w="361"/>
        <w:gridCol w:w="109"/>
        <w:gridCol w:w="109"/>
        <w:gridCol w:w="109"/>
        <w:gridCol w:w="109"/>
        <w:gridCol w:w="211"/>
        <w:gridCol w:w="466"/>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 of Level 3</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 to Level 3</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calls and paydowns</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gains or losses (realized/unrealized):</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earnings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other comprehensive income</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one equity security at December 31, 2022 and June 30, 2023 for which the fair value was determined using significant unobservable inputs (Level 3). The fair value of $16,000 at June 30, 2023 for the equity security was obtained from our asset manager and was derived from an internal model.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one equity security at December 31, 2021 for which the fair value was determined using significant unobservable inputs (Level 3). The fair value of $102,000 for the equity security was based on expected proceeds from its sale. During the six months ended June 30, 2022, the Company sold the equity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during the six months ended June 30, 2023 or 2022. The Company recognizes transfers between levels at the beginning of the reporting period.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June 30, 2023 and December 31, 2022, there were no investments for which external sources were unavailable to determine fair value.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and fair values of financial instruments are summarized below:</w:t>
      </w:r>
    </w:p>
    <w:tbl>
      <w:tblPr>
        <w:tblW w:w="9840" w:type="dxa"/>
        <w:jc w:val="left"/>
        <w:tblInd w:w="0" w:type="dxa"/>
        <w:tblLayout w:type="fixed"/>
        <w:tblCellMar>
          <w:top w:w="28" w:type="dxa"/>
          <w:left w:w="28" w:type="dxa"/>
          <w:bottom w:w="28" w:type="dxa"/>
          <w:right w:w="28" w:type="dxa"/>
        </w:tblCellMar>
      </w:tblPr>
      <w:tblGrid>
        <w:gridCol w:w="1310"/>
        <w:gridCol w:w="1154"/>
        <w:gridCol w:w="116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 – notes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other invested assets-notes receivable, senior debt, and junior subordinated debt at June 30, 2023 and December 31, 2022 were determined by calculating the present value of expected future cash flows under the terms of the note agreements or debt agreements, as applicable, discounted at an estimated market rate of interest at June 30, 2023 and December 31, 2022,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senior debt and junior subordinated debt at June 30, 2023 and December 31, 2022 were determined using inputs to the valuation methodology that are unobservable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11.    Senior Debt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repaid $40.0 million of loans that were outstanding under a credit agreement (the “2017 Facility”) in the three months ended March 31, 2022. At June 30, 2023, unsecured loans of $21.5 million and secured letters of credit totaling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$28.2 million were outstanding under the 2017 Facility. The 2017 Facility provides the Company with a revolving line of credit of up to $100.0 million, which may be used for loans and letters of credit made or issued, at the borrowers’ option, on a secured or unsecured basis. The 2017 Facility contains certain financial and other covenants which the Company was in compliance with at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12.    Series A Preferred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2022, the Company entered into an Investment Agreement with GPC Partners Investments (Thames) LP (“GPC Partners”), an affiliate of Gallatin Point Capital LLC, relating to the issuance and sale of 150,000 7% Series A Perpetual Cumulative Convertible Preferred Shares, par value $0.00125 per share (the “Series A Preferred Shares”), for an aggregate purchase price of $150.0 million, or $1,000 per share, in a private placement. The transaction closed on March 1, 2022 (the “Series A Closing Date”).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Series A Preferred Shares are entitled to a dividend at the initial rate of 7% of the Liquidation Preference per annum, paid in cash, in-kind in common shares or in Series A Preferred Shares, at the Company's election. On the five-year anniversary of the Series A Closing Date, and each five-year anniversary thereafter, the dividend rate will reset to a rate equal to the five-year U.S. treasury rate plus 5.2%. Dividends accrue and are payable quarterly. Cash dividends of $7.9 million were paid in the six months ended June 30, 2023 including cash dividends paid in January, March, and June for the three month periods ended December 31, 2022, March 31, 2023, and June 30, 2023, respectively. In 2022, the first dividend payment of $3.5 million was paid on June 30, 2022.</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are convertible at the option of the holders thereof at any time into common shares at an initial conversion price of $26.5950, making the Series A Preferred Shares initially convertible into 5,640,158 common shares. The conversion price is subject to customary anti-dilution adjustments, including cash dividends on the common shares above specified levels, as well as certain adjustments in case of adverse reserve developments. None of the triggers that would result in adjustments to the conversion price have been met at June 30, 2023.</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Designations setting forth the terms of the Series A Preferred Shares limits the Company's ability to pay dividends to its common shareholders. If the Company pays cash dividends of more than $0.05 per common share per quarter, without the consent of at least the majority of the Series A Preferred Shares then outstanding, the Company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to the Company's shareholders also trigger a reduction of the conversion price applicable to the Series A Preferred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on or after the two year anniversary of the Series A Closing Date, if the volume-weighted average price (“VWAP”) per common share is greater than 130% of the then-applicable conversion price for at least twenty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the Series A Preferred Shares may require the Company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Shares into common shares,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the five-year anniversary of the Series A Closing Date, all dividends that would have accrued up to such five-year anniversary, but that have not been repaid. The repurchase price will be payable in cash.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may be required to repurchase all or a portion of the Series A Preferred Shares at the option of the holder upon the occurrence of certain change of control events, the Series A Preferred Shares have been classified as mezzanine equity in the Company's condensed consolidated balance sheets and are recognized at fair value of $150.0 million (the proceeds on the date of issuance) less issuance costs of $5.1 million, resulting in a carrying value of $144.9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Investment Agreement, GPC Partners has the right to designate one member of the Board (the “Series A Designee”). GPC Partners has designated Matthew Botein as the Series A Designee and, accordingly, the Board approved the appointment of Mr. Botein to serve as a Class I director with a term expiring at the 2024 annual meeting of the Company’s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13.    Capital Stock and Equity Awards</w:t>
      </w:r>
    </w:p>
    <w:p>
      <w:pPr>
        <w:pStyle w:val="TextBody"/>
        <w:bidi w:val="0"/>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Common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common shares outstanding increased from 37,470,237 at December 31, 2022 to 37,619,226 at June 30, 2023, reflecting 148,989 common shares issued in the six months ended June 30, 2023 related to vesting of RSUs.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declared the following dividends on common shares during the first six months of 2023 and 2022:</w:t>
      </w:r>
    </w:p>
    <w:tbl>
      <w:tblPr>
        <w:tblW w:w="10205" w:type="dxa"/>
        <w:jc w:val="left"/>
        <w:tblInd w:w="0" w:type="dxa"/>
        <w:tblLayout w:type="fixed"/>
        <w:tblCellMar>
          <w:top w:w="28" w:type="dxa"/>
          <w:left w:w="28" w:type="dxa"/>
          <w:bottom w:w="28" w:type="dxa"/>
          <w:right w:w="28" w:type="dxa"/>
        </w:tblCellMar>
      </w:tblPr>
      <w:tblGrid>
        <w:gridCol w:w="554"/>
        <w:gridCol w:w="487"/>
        <w:gridCol w:w="490"/>
        <w:gridCol w:w="109"/>
        <w:gridCol w:w="109"/>
        <w:gridCol w:w="109"/>
        <w:gridCol w:w="530"/>
        <w:gridCol w:w="1283"/>
        <w:gridCol w:w="273"/>
        <w:gridCol w:w="109"/>
        <w:gridCol w:w="109"/>
        <w:gridCol w:w="109"/>
        <w:gridCol w:w="884"/>
        <w:gridCol w:w="884"/>
        <w:gridCol w:w="887"/>
        <w:gridCol w:w="109"/>
        <w:gridCol w:w="109"/>
        <w:gridCol w:w="109"/>
        <w:gridCol w:w="426"/>
        <w:gridCol w:w="426"/>
        <w:gridCol w:w="428"/>
        <w:gridCol w:w="109"/>
        <w:gridCol w:w="109"/>
        <w:gridCol w:w="109"/>
        <w:gridCol w:w="211"/>
        <w:gridCol w:w="976"/>
        <w:gridCol w:w="158"/>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Date of Declaration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Payable to Shareholders of Record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Amount</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3,842,842 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1,908,482 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1,907,953 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3,816,435 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total dividends for the six months ended June 30, 2023 and 2022 are $81,000 and $72,000, respectively, of dividend equivalents on unvested RSUs. The balance of dividends payable on unvested RSUs was $244,000 at June 30, 2023 and $335,000 at December 31, 2022.</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Employees are eligible to receive non-qualified stock options, incentive stock options, share appreciation rights, performance shares, restricted shares, RSUs, and other awards under the 2014 LTIP. The maximum number of shares available for issuance under the 2014 LTIP is 4,982,650, and at June 30, 2023, 1,502,779 shares are available for grant.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 Initial awards were granted in the first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PRSU represents a contingent right to receive one Company common share based upon the level of achievement of certain performance metrics during the performance period, with payout for achievement of threshold, target and maximum performance levels to be set at 50%, 100% and 200% of the target number of PRSUs, respectively. The initial PRSU awards have a performance period of January 1, 2023 through December 31, 2025.</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June 30, 2023, 70,508 shares are available for grant.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Options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activity:</w:t>
      </w:r>
    </w:p>
    <w:tbl>
      <w:tblPr>
        <w:tblW w:w="7251" w:type="dxa"/>
        <w:jc w:val="left"/>
        <w:tblInd w:w="0" w:type="dxa"/>
        <w:tblLayout w:type="fixed"/>
        <w:tblCellMar>
          <w:top w:w="28" w:type="dxa"/>
          <w:left w:w="28" w:type="dxa"/>
          <w:bottom w:w="28" w:type="dxa"/>
          <w:right w:w="28" w:type="dxa"/>
        </w:tblCellMar>
      </w:tblPr>
      <w:tblGrid>
        <w:gridCol w:w="809"/>
        <w:gridCol w:w="711"/>
        <w:gridCol w:w="715"/>
        <w:gridCol w:w="449"/>
        <w:gridCol w:w="451"/>
        <w:gridCol w:w="196"/>
        <w:gridCol w:w="109"/>
        <w:gridCol w:w="109"/>
        <w:gridCol w:w="109"/>
        <w:gridCol w:w="211"/>
        <w:gridCol w:w="616"/>
        <w:gridCol w:w="109"/>
        <w:gridCol w:w="109"/>
        <w:gridCol w:w="109"/>
        <w:gridCol w:w="109"/>
        <w:gridCol w:w="413"/>
        <w:gridCol w:w="413"/>
        <w:gridCol w:w="196"/>
        <w:gridCol w:w="109"/>
        <w:gridCol w:w="109"/>
        <w:gridCol w:w="109"/>
        <w:gridCol w:w="211"/>
        <w:gridCol w:w="61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end of period</w:t>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outstanding options are fully vested (vesting period of three years from date of grant) and have a contractual life of seven years from the original date of grant. All of the outstanding options have an exercise price equal to the fair value of the underlying shares at the date of grant. The weighted-average remaining contractual life of the options outstanding and exercisable at June 30, 2023 was 0.6 years.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RSUs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w:t>
      </w:r>
    </w:p>
    <w:tbl>
      <w:tblPr>
        <w:tblW w:w="7702" w:type="dxa"/>
        <w:jc w:val="left"/>
        <w:tblInd w:w="0" w:type="dxa"/>
        <w:tblLayout w:type="fixed"/>
        <w:tblCellMar>
          <w:top w:w="28" w:type="dxa"/>
          <w:left w:w="28" w:type="dxa"/>
          <w:bottom w:w="28" w:type="dxa"/>
          <w:right w:w="28" w:type="dxa"/>
        </w:tblCellMar>
      </w:tblPr>
      <w:tblGrid>
        <w:gridCol w:w="939"/>
        <w:gridCol w:w="825"/>
        <w:gridCol w:w="830"/>
        <w:gridCol w:w="449"/>
        <w:gridCol w:w="451"/>
        <w:gridCol w:w="196"/>
        <w:gridCol w:w="109"/>
        <w:gridCol w:w="109"/>
        <w:gridCol w:w="109"/>
        <w:gridCol w:w="213"/>
        <w:gridCol w:w="622"/>
        <w:gridCol w:w="110"/>
        <w:gridCol w:w="109"/>
        <w:gridCol w:w="109"/>
        <w:gridCol w:w="109"/>
        <w:gridCol w:w="449"/>
        <w:gridCol w:w="451"/>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period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(112,353)</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period</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801,581 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RSUs granted to employees generally vest ratably over a three year vesting period. RSUs granted to non-employee directors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 The RSUs granted in 2023 include 91,818 PRSU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Compensation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 is recognized on a straight-line basis over the vesting period. The amount of expense and related tax benefit is summarized below:</w:t>
      </w:r>
    </w:p>
    <w:tbl>
      <w:tblPr>
        <w:tblW w:w="9254" w:type="dxa"/>
        <w:jc w:val="left"/>
        <w:tblInd w:w="0" w:type="dxa"/>
        <w:tblLayout w:type="fixed"/>
        <w:tblCellMar>
          <w:top w:w="28" w:type="dxa"/>
          <w:left w:w="28" w:type="dxa"/>
          <w:bottom w:w="28" w:type="dxa"/>
          <w:right w:w="28" w:type="dxa"/>
        </w:tblCellMar>
      </w:tblPr>
      <w:tblGrid>
        <w:gridCol w:w="1625"/>
        <w:gridCol w:w="1426"/>
        <w:gridCol w:w="143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benefit on share 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 Company had $14.8 million of unrecognized share based compensation expense expected to be charged to earnings over a weighted-average period of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14.    Subsequent Events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27, 2023, the Board of Directors declared a cash dividend of $0.05 per common share. The dividend is payable on September 29, 2023 to shareholders of record on September 11,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27, 2023, the Board of Directors declared a 7% dividend on the Series A Preferred Shares. The dividend of $2.6 million will be payable in cash on October 2, 2023 to shareholders of record on September 15,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7, 2023, the Company entered into a Third Amended and Restated Credit Agreement for its $315.0 million senior revolving credit facility which, among other things, extended the maturity date of such facility until July 7, 2026 and increased the applicable interest rate and letter of credit fees.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On July 27, 2023, the Board of Directors approved awards under the 2014 LTIP and the 2014 Director Plan to the Company’s employees and directors with aggregate fair values of $187,000 and $50,000 and grant dates of July 27, 2023 and August 9, 2023, respectively.</w:t>
      </w:r>
    </w:p>
    <w:p>
      <w:pPr>
        <w:pStyle w:val="TextBody"/>
        <w:bidi w:val="0"/>
        <w:spacing w:before="0" w:after="120"/>
        <w:ind w:left="0" w:right="0" w:firstLine="360"/>
        <w:jc w:val="both"/>
        <w:rPr/>
      </w:pPr>
      <w:r>
        <w:rPr/>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and Part I, Item 1A “Risk Factors” in our Annual Report on Form 10-K for the year ended December 31, 2022. The results of operations for the three and six months ended June 30, 2023 are not necessarily indicative of the results that may be expected for the full year ending December 31, 2023,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2022.</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is a Bermuda-based holding company. We own and operate a group of specialty insurance companies with the objective of generating compelling returns on tangible equity while limiting underwriting and investment volatility. We seek to accomplish this by earning profits from insurance underwriting and generating meaningful risk-adjusted investment returns while managing our capital.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organized into four reportable segments, which are separately managed business units: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Specialty Admitted Insurance segment approaches the insurance market in two ways: as a “fronting” company and as a risk bearing underwriter. In its fronting business, the Specialty Admitted segment works with distributors, such as managing general agents and other producers, by using our licensure, rating and administrative services in order to produce and service insurance policies for reinsurers and other third party risk bearing entities. We charge fees for “fronting” for these capital providers. In some instances, we retain a small percentage of the risk on fronted business, generally 10%-35%. The Company’s risk bearing underwriting is focused on niche classes within the standard insurance markets, such as workers’ compensation coverage for residential contractors, light manufacturing operations, transportation workers and healthcare workers. This segment has admitted licenses and the authority to write excess and surplus lines insurance on a non-admitted basis in every U.S. state and the District of Columbia;</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Casualty Reinsurance segment, until the suspension of its underwriting activities at the beginning of this year, primarily provided proportional and working layer casualty reinsurance to third parties (primarily through reinsurance intermediaries) through JRG Reinsurance Company Ltd. (“JRG Re”). JRG Re also provided reinsurance to the Company’s U.S.-based insurance subsidiaries in the past through a quota-share reinsurance agreement. Carolina Re Ltd (“Carolina Re”) was formed in 2018 to also provide reinsurance to the Company’s U.S.-based insurance subsidiaries through a quota-share reinsurance agreement, and was also the cedent on an aggregate stop loss reinsurance treaty with JRG Re through December 31, 2021. JRG Re and Carolina Re are both Bermuda-based companies, and JRG Re is licensed as a Class 3B reinsurer by the Bermuda Monetary Authority. Carolina Re made an irrevocable election to be taxed as a U.S. domestic corporation under Section 953(d) of the Internal Revenue Code of 1986, as amended, effective January 1, 2018. Carolina Re surrendered its Class 3A insurance license in 2022.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from January 1, 2018 through December 31, 2021, ceded 70% of their premiums and losses to Carolina Re. During 2022, Carolina Re commuted the outstanding obligations ceded under the intercompany quota-share reinsurance agreements back to the Company’s U.S.-based insurance subsidiaries with effect from January 1, 2022. During the second quarter of 2023, JRG Re commuted the majority of the outstanding obligations ceded under the intercompany quota share reinsurance agreements back to the Company's U.S.-based insurance subsidiaries with effect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January 1, 2023.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insurance and reinsurance subsidiaries have financial strength ratings of “A-” (Excellent) from A.M. Best Company.</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certain key metrics, described below, which we believe provide useful information about our business and the operational factors underlying our financial performance.</w:t>
      </w:r>
    </w:p>
    <w:p>
      <w:pPr>
        <w:pStyle w:val="TextBody"/>
        <w:bidi w:val="0"/>
        <w:spacing w:lineRule="auto" w:line="288" w:before="0" w:after="120"/>
        <w:jc w:val="both"/>
        <w:rPr/>
      </w:pPr>
      <w:r>
        <w:rPr>
          <w:rFonts w:ascii="Times New Roman;sans-serif" w:hAnsi="Times New Roman;sans-serif"/>
          <w:b w:val="false"/>
          <w:i/>
          <w:color w:val="000000"/>
          <w:sz w:val="20"/>
        </w:rPr>
        <w:t>Underwriting profit</w:t>
      </w:r>
      <w:r>
        <w:rPr>
          <w:color w:val="000000"/>
        </w:rPr>
        <w:t xml:space="preserve"> </w:t>
      </w:r>
      <w:r>
        <w:rPr>
          <w:rFonts w:ascii="Times New Roman;sans-serif" w:hAnsi="Times New Roman;sans-serif"/>
          <w:b w:val="false"/>
          <w:color w:val="000000"/>
          <w:sz w:val="20"/>
        </w:rPr>
        <w:t>is a non-GAAP measure commonly used in the property and casualty insurance industry to evaluate underwriting performance. 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(in specific instances when the Company is not retaining insurance risk) less losses and loss adjustment expenses on business not subject to retroactive reinsurance accounting for loss portfolio transfers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before taxes and for additional information.</w:t>
      </w:r>
    </w:p>
    <w:p>
      <w:pPr>
        <w:pStyle w:val="TextBody"/>
        <w:bidi w:val="0"/>
        <w:spacing w:lineRule="auto" w:line="288" w:before="0" w:after="120"/>
        <w:jc w:val="both"/>
        <w:rPr/>
      </w:pPr>
      <w:r>
        <w:rPr>
          <w:rFonts w:ascii="Times New Roman;sans-serif" w:hAnsi="Times New Roman;sans-serif"/>
          <w:b w:val="false"/>
          <w:i/>
          <w:color w:val="000000"/>
          <w:sz w:val="20"/>
        </w:rPr>
        <w:t>Loss ratio</w:t>
      </w:r>
      <w:r>
        <w:rPr>
          <w:rFonts w:ascii="Times New Roman;sans-serif" w:hAnsi="Times New Roman;sans-serif"/>
          <w:b w:val="false"/>
          <w:color w:val="000000"/>
          <w:sz w:val="20"/>
        </w:rPr>
        <w:t>, expressed as a percentage, is the ratio of losses and loss adjustment expenses on business not subject to retroactive reinsurance accounting for loss portfolio transfers to net earned premiums. Our definition of loss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ans-serif" w:hAnsi="Times New Roman;sans-serif"/>
          <w:b w:val="false"/>
          <w:i/>
          <w:color w:val="000000"/>
          <w:sz w:val="20"/>
        </w:rPr>
        <w:t>Accident year loss ratio</w:t>
      </w:r>
      <w:r>
        <w:rPr>
          <w:rFonts w:ascii="Times New Roman;sans-serif" w:hAnsi="Times New Roman;sans-serif"/>
          <w:b w:val="false"/>
          <w:color w:val="000000"/>
          <w:sz w:val="20"/>
        </w:rPr>
        <w:t>, expressed as a percentage, is the ratio of losses and loss adjustment expenses for the current accident year (excluding development on prior accident year reserves) to net earned premiums.</w:t>
      </w:r>
    </w:p>
    <w:p>
      <w:pPr>
        <w:pStyle w:val="TextBody"/>
        <w:bidi w:val="0"/>
        <w:spacing w:lineRule="auto" w:line="288" w:before="0" w:after="120"/>
        <w:jc w:val="both"/>
        <w:rPr/>
      </w:pPr>
      <w:r>
        <w:rPr>
          <w:rFonts w:ascii="Times New Roman;sans-serif" w:hAnsi="Times New Roman;sans-serif"/>
          <w:b w:val="false"/>
          <w:i/>
          <w:color w:val="000000"/>
          <w:sz w:val="20"/>
        </w:rPr>
        <w:t>Expense ratio</w:t>
      </w:r>
      <w:r>
        <w:rPr>
          <w:rFonts w:ascii="Times New Roman;sans-serif" w:hAnsi="Times New Roman;sans-serif"/>
          <w:b w:val="false"/>
          <w:color w:val="000000"/>
          <w:sz w:val="20"/>
        </w:rPr>
        <w:t>, expressed as a percentage, is the ratio of other operating expenses net of gross fee income included in other income to net earned premiums.</w:t>
      </w:r>
    </w:p>
    <w:p>
      <w:pPr>
        <w:pStyle w:val="TextBody"/>
        <w:bidi w:val="0"/>
        <w:spacing w:lineRule="auto" w:line="288" w:before="0" w:after="120"/>
        <w:jc w:val="both"/>
        <w:rPr/>
      </w:pPr>
      <w:r>
        <w:rPr>
          <w:rFonts w:ascii="Times New Roman;sans-serif" w:hAnsi="Times New Roman;sans-serif"/>
          <w:b w:val="false"/>
          <w:i/>
          <w:color w:val="000000"/>
          <w:sz w:val="20"/>
        </w:rPr>
        <w:t>Combined ratio</w:t>
      </w:r>
      <w:r>
        <w:rPr>
          <w:color w:val="000000"/>
        </w:rPr>
        <w:t xml:space="preserve"> </w:t>
      </w:r>
      <w:r>
        <w:rPr>
          <w:rFonts w:ascii="Times New Roman;sans-serif" w:hAnsi="Times New Roman;sans-serif"/>
          <w:b w:val="false"/>
          <w:color w:val="000000"/>
          <w:sz w:val="20"/>
        </w:rPr>
        <w:t>is a measure of underwriting performance calculated as the sum of the loss ratio and the expense ratio. A combined ratio of less than 100% 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ans-serif" w:hAnsi="Times New Roman;sans-serif"/>
          <w:b w:val="false"/>
          <w:i/>
          <w:color w:val="000000"/>
          <w:sz w:val="20"/>
        </w:rPr>
        <w:t>Adjusted net operating income</w:t>
      </w:r>
      <w:r>
        <w:rPr>
          <w:color w:val="000000"/>
        </w:rPr>
        <w:t xml:space="preserve"> </w:t>
      </w:r>
      <w:r>
        <w:rPr>
          <w:rFonts w:ascii="Times New Roman;sans-serif" w:hAnsi="Times New Roman;sans-serif"/>
          <w:b w:val="false"/>
          <w:color w:val="000000"/>
          <w:sz w:val="20"/>
        </w:rPr>
        <w:t>is an internal performance measure used in the management of our operations. We believe it gives our management and other users of our financial information useful insight into our results of operations and our underlying business performance. Adjusted net operating income is defined as income available to common shareholders excluding a) the impact of retroactive reinsurance accounting for loss portfolio transfers, b) net realized and unrealized gains (losses) on investments, c) certain non-operating expenses such as professional service fees related to a purported class action lawsuit, various strategic initiatives, and the filing of registration statements for the offering of securities, and d) severance costs associated with terminated employees.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pStyle w:val="TextBody"/>
        <w:bidi w:val="0"/>
        <w:spacing w:lineRule="auto" w:line="288" w:before="0" w:after="120"/>
        <w:jc w:val="both"/>
        <w:rPr/>
      </w:pPr>
      <w:r>
        <w:rPr>
          <w:rFonts w:ascii="Times New Roman;sans-serif" w:hAnsi="Times New Roman;sans-serif"/>
          <w:b w:val="false"/>
          <w:i/>
          <w:color w:val="000000"/>
          <w:sz w:val="20"/>
        </w:rPr>
        <w:t>Tangible equity</w:t>
      </w:r>
      <w:r>
        <w:rPr>
          <w:color w:val="000000"/>
        </w:rPr>
        <w:t xml:space="preserve"> </w:t>
      </w:r>
      <w:r>
        <w:rPr>
          <w:rFonts w:ascii="Times New Roman;sans-serif" w:hAnsi="Times New Roman;sans-serif"/>
          <w:b w:val="false"/>
          <w:color w:val="000000"/>
          <w:sz w:val="20"/>
        </w:rPr>
        <w:t>is defined as shareholders' equity plus mezzanine Series A Preferred Shares (as defined below) and the unrecognized deferred retroactive reinsurance gain on loss portfolio transfers less goodwill and intangible assets, net of amortization. We believe tangible equity is a good measure to evaluate the strength of our balance sheet and to compare returns relative to this measure. Key financial measures that we use to assess our longer term financial performance include the percentage growth in our tangible equity per share and our return on tangible equity.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pStyle w:val="TextBody"/>
        <w:bidi w:val="0"/>
        <w:spacing w:lineRule="auto" w:line="288" w:before="0" w:after="120"/>
        <w:jc w:val="both"/>
        <w:rPr/>
      </w:pPr>
      <w:r>
        <w:rPr>
          <w:rFonts w:ascii="Times New Roman;sans-serif" w:hAnsi="Times New Roman;sans-serif"/>
          <w:b w:val="false"/>
          <w:i/>
          <w:color w:val="000000"/>
          <w:sz w:val="20"/>
        </w:rPr>
        <w:t>Adjusted net operating return on tangible equity</w:t>
      </w:r>
      <w:r>
        <w:rPr>
          <w:color w:val="000000"/>
        </w:rPr>
        <w:t xml:space="preserve"> </w:t>
      </w:r>
      <w:r>
        <w:rPr>
          <w:rFonts w:ascii="Times New Roman;sans-serif" w:hAnsi="Times New Roman;sans-serif"/>
          <w:b w:val="false"/>
          <w:color w:val="000000"/>
          <w:sz w:val="20"/>
        </w:rPr>
        <w:t>is defined as annualized adjusted net operating income expressed as a percentage of the average quarterly tangible equity balances in the respective period.</w:t>
      </w:r>
    </w:p>
    <w:p>
      <w:pPr>
        <w:pStyle w:val="TextBody"/>
        <w:bidi w:val="0"/>
        <w:spacing w:lineRule="auto" w:line="288" w:before="0" w:after="120"/>
        <w:jc w:val="both"/>
        <w:rPr/>
      </w:pPr>
      <w:r>
        <w:rPr>
          <w:rFonts w:ascii="Times New Roman;sans-serif" w:hAnsi="Times New Roman;sans-serif"/>
          <w:b w:val="false"/>
          <w:i/>
          <w:color w:val="000000"/>
          <w:sz w:val="20"/>
        </w:rPr>
        <w:t>Tangible equity per share</w:t>
      </w:r>
      <w:r>
        <w:rPr>
          <w:color w:val="000000"/>
        </w:rPr>
        <w:t xml:space="preserve"> </w:t>
      </w:r>
      <w:r>
        <w:rPr>
          <w:rFonts w:ascii="Times New Roman;sans-serif" w:hAnsi="Times New Roman;sans-serif"/>
          <w:b w:val="false"/>
          <w:color w:val="000000"/>
          <w:sz w:val="20"/>
        </w:rPr>
        <w:t>represents tangible equity divided by the sum of total common shares outstanding plus the common shares resulting from an assumed conversion of the outstanding Series A Preferred Shares into common shares (at the current conversion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val="false"/>
          <w:i/>
          <w:color w:val="000000"/>
          <w:sz w:val="20"/>
        </w:rPr>
        <w:t>Net retention</w:t>
      </w:r>
      <w:r>
        <w:rPr>
          <w:color w:val="000000"/>
        </w:rPr>
        <w:t xml:space="preserve"> </w:t>
      </w:r>
      <w:r>
        <w:rPr>
          <w:rFonts w:ascii="Times New Roman;sans-serif" w:hAnsi="Times New Roman;sans-serif"/>
          <w:b w:val="false"/>
          <w:color w:val="000000"/>
          <w:sz w:val="20"/>
        </w:rPr>
        <w:t>is defined as the ratio of net written premiums to gross written premiums.</w:t>
      </w:r>
    </w:p>
    <w:p>
      <w:pPr>
        <w:pStyle w:val="TextBody"/>
        <w:bidi w:val="0"/>
        <w:spacing w:lineRule="auto" w:line="288" w:before="0" w:after="120"/>
        <w:jc w:val="both"/>
        <w:rPr/>
      </w:pPr>
      <w:r>
        <w:rPr>
          <w:rFonts w:ascii="Times New Roman;sans-serif" w:hAnsi="Times New Roman;sans-serif"/>
          <w:b w:val="false"/>
          <w:i/>
          <w:color w:val="000000"/>
          <w:sz w:val="20"/>
        </w:rPr>
        <w:t>Gross investment yield</w:t>
      </w:r>
      <w:r>
        <w:rPr>
          <w:color w:val="000000"/>
        </w:rPr>
        <w:t xml:space="preserve"> </w:t>
      </w:r>
      <w:r>
        <w:rPr>
          <w:rFonts w:ascii="Times New Roman;sans-serif" w:hAnsi="Times New Roman;sans-serif"/>
          <w:b w:val="false"/>
          <w:color w:val="000000"/>
          <w:sz w:val="20"/>
        </w:rPr>
        <w:t>is annualized investment income before any deductions for fees and expenses, expressed as a percentage of the average beginning and ending carrying values of those investments during the period.</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Unless specified otherwise, all references to our defined metrics above in this </w:t>
      </w:r>
      <w:r>
        <w:rPr>
          <w:rFonts w:ascii="Times New Roman;sans-serif" w:hAnsi="Times New Roman;sans-serif"/>
          <w:b w:val="false"/>
          <w:i/>
          <w:color w:val="000000"/>
          <w:sz w:val="20"/>
        </w:rPr>
        <w:t xml:space="preserve">Management’s Discussion and Analysis of Financial Condition and Results of Operations </w:t>
      </w:r>
      <w:r>
        <w:rPr>
          <w:rFonts w:ascii="Times New Roman;sans-serif" w:hAnsi="Times New Roman;sans-serif"/>
          <w:b w:val="false"/>
          <w:color w:val="000000"/>
          <w:sz w:val="20"/>
        </w:rPr>
        <w:t>are for our business that is not subject to retroactive reinsurance accounting for loss portfolio transfers. Retroactive reinsurance accounting lacks economic impact and management believes that the presentation of our key metrics on business not subject to retroactive reinsurance accounting is helpful to the users of our financial information. See “Underwriting Performance Ratios” and “Reconciliation of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2022. There have been no significant changes to any of these policies during the current year.</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Impact of Inflation and Higher Interest Rates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be impacted by the heightened inflationary environment and higher interest rates. Most evident are the impacts on our investment portfolio and investing results, as well as the interest due on our outstanding variable rate senior and trust preferred debt. Our investment portfolio is primarily comprised of fixed maturity investments (85.8% of total invested assets at June 30, 2023). The fair values of fixed maturities generally move inversely with interest rates, and unrealized gains and losses associated with the changes in fair values, which are recognized as a component of other comprehensive income (loss), contribute to volatility in shareholders' equity and tangible equity. For the six months ended June 30, 2023 and 2022, other comprehensive income (loss), representing the after-tax impact of the unrealized gains and losses on fixed maturity investments, was $14.4 million and $(144.6) million, respectively. We continue to monitor our portfolio for credit-related impairments, and to date, we have concluded that the declines are primarily market-driven with no allowance for credit losses deemed necessary. As turnover occurs in our portfolio and we invest cash generated from operations, our investment income benefits from the addition of higher yielding fixed income investments. The annualized gross investment yield on fixed maturities was 4.2% and 4.2% for the three and six months ended June 30, 2023, respectively (3.0% and 2.9% in the respective prior year periods). Bank loans carry floating rates and yields on these investments have risen with interest rates.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Higher interest rates have also increased interest expense on our outstanding variable rate senior and trust preferred debt. The applicable rates on our debt reset periodically and are structured as LIBOR or SOFR plus a margin or spread. Interest expense on our outstanding debt was $6.0 million and $11.6 million (average interest rates of 7.4% and 7.2%) for the three and six months ended June 30, 2023, respectively ($2.7 million and $5.0 million in the respective prior year periods, average interest rates of 3.3% and 3.1%).</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Recent Strategic Actions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Suspension of Underwriting Activities in Casualty Reinsurance Segment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As disclosed in our Form 10-K for the year ended December 31, 2022, the Company has suspended writing business in the Casualty Reinsurance segment, as we continue our focus on growing our higher returning U.S. insurance businesses.</w:t>
      </w:r>
      <w:r>
        <w:rPr>
          <w:color w:val="000000"/>
        </w:rPr>
        <w:t xml:space="preserve"> </w:t>
      </w:r>
      <w:r>
        <w:rPr>
          <w:rFonts w:ascii="Times New Roman;sans-serif" w:hAnsi="Times New Roman;sans-serif"/>
          <w:b w:val="false"/>
          <w:color w:val="000000"/>
          <w:sz w:val="20"/>
        </w:rPr>
        <w:t>The Casualty Reinsurance segment will continue earning premium</w:t>
      </w:r>
      <w:r>
        <w:rPr>
          <w:color w:val="000000"/>
        </w:rPr>
        <w:t xml:space="preserve"> </w:t>
      </w:r>
      <w:r>
        <w:rPr>
          <w:rFonts w:ascii="Times New Roman;sans-serif" w:hAnsi="Times New Roman;sans-serif"/>
          <w:b w:val="false"/>
          <w:color w:val="000000"/>
          <w:sz w:val="20"/>
        </w:rPr>
        <w:t>due to the nature of the earnings patterns in the reinsurance business, which can extend over multiple years.</w:t>
      </w:r>
      <w:r>
        <w:rPr>
          <w:color w:val="000000"/>
        </w:rPr>
        <w:t xml:space="preserve"> </w:t>
      </w:r>
      <w:r>
        <w:rPr>
          <w:rFonts w:ascii="Times New Roman;sans-serif" w:hAnsi="Times New Roman;sans-serif"/>
          <w:b w:val="false"/>
          <w:color w:val="000000"/>
          <w:sz w:val="20"/>
        </w:rPr>
        <w:t>Aside from the suspension of underwriting activities, the Casualty Reinsurance segment will maintain its normal day-to-day operations, with a staff to service the business on its books and facilitate compliance with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w:t>
      </w:r>
    </w:p>
    <w:tbl>
      <w:tblPr>
        <w:tblW w:w="10205" w:type="dxa"/>
        <w:jc w:val="left"/>
        <w:tblInd w:w="0" w:type="dxa"/>
        <w:tblLayout w:type="fixed"/>
        <w:tblCellMar>
          <w:top w:w="28" w:type="dxa"/>
          <w:left w:w="28" w:type="dxa"/>
          <w:bottom w:w="28" w:type="dxa"/>
          <w:right w:w="28" w:type="dxa"/>
        </w:tblCellMar>
      </w:tblPr>
      <w:tblGrid>
        <w:gridCol w:w="655"/>
        <w:gridCol w:w="331"/>
        <w:gridCol w:w="333"/>
        <w:gridCol w:w="211"/>
        <w:gridCol w:w="826"/>
        <w:gridCol w:w="271"/>
        <w:gridCol w:w="109"/>
        <w:gridCol w:w="109"/>
        <w:gridCol w:w="109"/>
        <w:gridCol w:w="211"/>
        <w:gridCol w:w="826"/>
        <w:gridCol w:w="271"/>
        <w:gridCol w:w="109"/>
        <w:gridCol w:w="109"/>
        <w:gridCol w:w="109"/>
        <w:gridCol w:w="306"/>
        <w:gridCol w:w="310"/>
        <w:gridCol w:w="367"/>
        <w:gridCol w:w="109"/>
        <w:gridCol w:w="109"/>
        <w:gridCol w:w="109"/>
        <w:gridCol w:w="211"/>
        <w:gridCol w:w="826"/>
        <w:gridCol w:w="271"/>
        <w:gridCol w:w="109"/>
        <w:gridCol w:w="109"/>
        <w:gridCol w:w="109"/>
        <w:gridCol w:w="211"/>
        <w:gridCol w:w="826"/>
        <w:gridCol w:w="271"/>
        <w:gridCol w:w="109"/>
        <w:gridCol w:w="109"/>
        <w:gridCol w:w="109"/>
        <w:gridCol w:w="307"/>
        <w:gridCol w:w="309"/>
        <w:gridCol w:w="420"/>
      </w:tblGrid>
      <w:tr>
        <w:trPr/>
        <w:tc>
          <w:tcPr>
            <w:tcW w:w="65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retention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218,179 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194,691 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401,399 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370,550 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8.3 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417,771 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376,086 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11.1 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8.6 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19.8 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color w:val="000000"/>
                <w:sz w:val="16"/>
              </w:rPr>
              <w:t>(1), (2)</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71.2 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64.5 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85.7 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71.4 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113.8 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202.3 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83.9 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181.9 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76.6 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209.1 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86.4 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50.0 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318.1 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95.2 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net operating income </w:t>
            </w:r>
            <w:r>
              <w:rPr>
                <w:rFonts w:ascii="Times New Roman;sans-serif" w:hAnsi="Times New Roman;sans-serif"/>
                <w:b w:val="false"/>
                <w:color w:val="000000"/>
                <w:sz w:val="16"/>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24.3 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and adjusted net operating income are non-GAAP measures. See “Reconciliation of Non-GAAP Measures.”</w:t>
      </w:r>
    </w:p>
    <w:p>
      <w:pPr>
        <w:pStyle w:val="TextBody"/>
        <w:bidi w:val="0"/>
        <w:spacing w:lineRule="auto" w:line="288" w:before="0" w:after="6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(2)Included in underwriting results for the three and six months ended June 30, 2023 is gross fee income of $5.8 million and $11.5 million, respectively ($5.9 million and $11.4 million in the respective prior year periods).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Three Months Ended June 30, 2023 and 2022</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produced net income available to common shareholders of $21.1 million for the three months ended June 30, 2023 compared to $5.0 million for the three months ended June 30, 2022. Adjusted net operating income was $20.6 million and $20.0 million for the three months ended June 30, 2023 and 2022,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Underwriting profits were $11.4 million and $16.8 million (combined ratios of 94.6% and 91.0%) for the three months ended June 30, 2023 and 2022, respectively. Net earned premiums grew by $23.4 million or 12.6% over the prior year primarily driven by growth in the Excess and Surplus Lines segment. Net earned premiums for the Excess and Surplus Lines segment grew by $21.1 million or 15.3% reflecting growth in our larger underwriting divisions with broad based renewal rate increases and higher net retention in our Excess Casualty division. Our loss ratio increased from 65.2% in the prior year to 67.1% in the current year due to net reserve development on prior accident years. The three months ended June 30, 2023 include $2.3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or 1.1 percentage points of net adverse development including $3.0 million of net adverse development in our Casualty Reinsurance segment related to prior year treaties not subject to the Casualty Re LPT. The three months ended June 30, 2022 include $1.6 million or 0.8 percentage points of net favorable development with $1.5 million experienced in the Specialty Admitted Insurance segment. Our expense ratio increased from 25.8% to 27.5% driven primarily by lower reinsurance cessions in both the Excess and Surplus Lines and Specialty Admitted insurance segments that resulted in fewer ceding commissions in the aggregate and higher net commissions.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Investment income exceeded the prior year by $10.5 million or 71.2% driven by higher yields on fixed maturities, bank loans, and cash equivalents. Net realized and unrealized gains and losses on investments include the impact of market volatility in the respective periods on the fair values of equity securities and bank loan participations. Equities and bank loans are carried at fair value with changes in fair value recognized as unrealized gains and losses in our Condensed Consolidated Statements of Income and Comprehensive Income (Loss) (see </w:t>
      </w:r>
      <w:r>
        <w:rPr>
          <w:rFonts w:ascii="Times New Roman;sans-serif" w:hAnsi="Times New Roman;sans-serif"/>
          <w:b w:val="false"/>
          <w:i/>
          <w:color w:val="000000"/>
          <w:sz w:val="20"/>
        </w:rPr>
        <w:t>Investing Results</w:t>
      </w:r>
      <w:r>
        <w:rPr>
          <w:color w:val="000000"/>
        </w:rPr>
        <w:t xml:space="preserve"> </w:t>
      </w:r>
      <w:r>
        <w:rPr>
          <w:rFonts w:ascii="Times New Roman;sans-serif" w:hAnsi="Times New Roman;sans-serif"/>
          <w:b w:val="false"/>
          <w:color w:val="000000"/>
          <w:sz w:val="20"/>
        </w:rPr>
        <w:t>below). Interest expense was $2.9 million higher in the current year largely driven by higher interest rates on our variable rate senior and trust preferred debt.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was 2.6% above prior year due to the higher investment income, which offset the lower underwriting results and higher interest expense. Tangible equity and tangible equity per share both increased 1.0% in the current quarter as the positive operating results were mostly offset by unrealized losses on fixed maturities in other comprehensive income. Our 14.7% adjusted net operating return on tangible equity for the three months ended June 30, 2023 compares to a 14.6% return for the three months ended June 30, 2022.</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Six Months Ended June 30, 2023 and 2022</w:t>
      </w:r>
    </w:p>
    <w:p>
      <w:pPr>
        <w:pStyle w:val="TextBody"/>
        <w:bidi w:val="0"/>
        <w:spacing w:lineRule="auto" w:line="288" w:before="2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produced net income available to common shareholders of $28.1 million for the six months ended June 30, 2023 compared to $14.4 million for the six months ended June 30, 2022. Adjusted net operating income was $42.1 million for the six months ended June 30, 2023 compared to $33.9 million for the six months ended June 30, 2022.</w:t>
      </w:r>
    </w:p>
    <w:p>
      <w:pPr>
        <w:pStyle w:val="TextBody"/>
        <w:bidi w:val="0"/>
        <w:spacing w:lineRule="auto" w:line="288" w:before="2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profits were $21.9 million and $21.7 million (combined ratios of 94.7% and 94.2%) for the six months ended June 30, 2023 and 2022, respectively. Net earned premiums grew by $41.7 million or 11.1% over the prior year driven by $41.2 million or 15.3% growth in the Excess and Surplus Lines segment. Our loss ratio improved from 68.3% in the prior year to 66.8% in the current year due to a lower current accident year loss ratio reflecting changes in the mix of our business and net reserve development on prior accident years, which was $3.7 million or 0.9 percentage points adverse for the six months ended June 30, 2023 compared to $5.2 million or 1.4 percentage points adverse in the six months ended June 30, 2022. Our expense ratio increased from 25.9% to 27.9% primarily due to higher net commissions resulting from lower reinsurance cessions and fewer ceding commissions in the aggregate in both the Excess and Surplus Lines and Specialty Admitted insurance segments.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Investment income grew by $20.0 million or 64.5% over the prior year primarily driven by higher yields on fixed maturities, bank loans, and cash equivalents. Net realized and unrealized gains and losses on investments include the impact of market volatility in the respective periods on the fair values of equity securities and bank loan participations (see </w:t>
      </w:r>
      <w:r>
        <w:rPr>
          <w:rFonts w:ascii="Times New Roman;sans-serif" w:hAnsi="Times New Roman;sans-serif"/>
          <w:b w:val="false"/>
          <w:i/>
          <w:color w:val="000000"/>
          <w:sz w:val="20"/>
        </w:rPr>
        <w:t>Investing Results</w:t>
      </w:r>
      <w:r>
        <w:rPr>
          <w:color w:val="000000"/>
        </w:rPr>
        <w:t xml:space="preserve"> </w:t>
      </w:r>
      <w:r>
        <w:rPr>
          <w:rFonts w:ascii="Times New Roman;sans-serif" w:hAnsi="Times New Roman;sans-serif"/>
          <w:b w:val="false"/>
          <w:color w:val="000000"/>
          <w:sz w:val="20"/>
        </w:rPr>
        <w:t>below). Interest expense was $7.2 million higher in the current year largely driven by higher interest rates on our variable rate senior and trust preferred debt. Net income available to common shareholders reflects dividends on the Series A Preferred Shares of $5.3 million and $3.5 million in the six months ended June 30, 2023 and 2022,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increased 24.3% over the prior year due to the higher investment income, partially offset by the higher interest expense. Tangible equity and tangible equity per share increased by 11.9% and 11.5%, respectively, in the current year mainly due to the positive operating results and unrealized gains on fixed maturities in other comprehensive income. Our 15.6% adjusted net operating return on tangible equity for the six months ended June 30, 2023 also compares favorably to the 12.7% return for the six months ended June 30, 2022.</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Loss Portfolio Transfers and Impact of Retroactive Reinsurance</w:t>
      </w:r>
    </w:p>
    <w:p>
      <w:pPr>
        <w:pStyle w:val="TextBody"/>
        <w:bidi w:val="0"/>
        <w:spacing w:lineRule="auto" w:line="288" w:before="2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two loss portfolio transfers, which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bring economic finality on the subject risks as long as any additional losses are within the limit of the loss portfolio transfer and the counterparty performs under the contract.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w:t>
      </w:r>
      <w:r>
        <w:rPr>
          <w:color w:val="000000"/>
        </w:rPr>
        <w:t xml:space="preserve"> </w:t>
      </w:r>
      <w:r>
        <w:rPr>
          <w:rFonts w:ascii="Times New Roman;sans-serif" w:hAnsi="Times New Roman;sans-serif"/>
          <w:b w:val="false"/>
          <w:color w:val="000000"/>
          <w:sz w:val="20"/>
        </w:rPr>
        <w:t xml:space="preserve">Excess and Surplus Lines segment’s legacy portfolio of commercial auto policies previously issued to Rasier LLC and its affiliates (collectively, “Rasier”) for which James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River is not otherwise indemnified by Rasier. The reinsurance coverage is structured to be fully collateralized, is not subject to an aggregate limit, and is subject to certain exclusions.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JRG Re entered into a loss portfolio transfer retrocession agreement (the “Casualty Re LPT”)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was adjusted for claims paid from October 1, 2021 to the Retrocession Closing Date. The Casualty Reinsurance segment incurred $6.8 million of net adverse reserve development in the three months ended March 31, 2022 associated with the Casualty Re LPT. The Funds Withheld Account balance was $178.0 million and $213.6 million at June 30, 2023 and December 31, 2022, respectively. Funds Withheld Account crediting fees of $944,000 and $2.0 million are included in interest expense in our Condensed Consolidated Statements of Income and Comprehensive Income (Loss) for the three and six months ended June 30, 2023, respectively ($1.3 million and $1.3 million in the respective prior year periods).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Commercial Auto LPT and the Casualty Re LPT. For the three and six months ended June 30, 2023, due to adverse paid and reported loss trends on the business subject to the loss portfolio transfers, the Company recognized adverse prior year development of $18.4 million and $67.2 million, respectively, on the reserves subject to the Commercial Auto LPT ($12.6 million and $53.6 million, respectively) and Casualty Re LPT ($5.8 million and $13.7 million, respectively), resulting in corresponding additional amounts ceded under the respective loss portfolio transfers. Both loss portfolio transfers are in gain positions as the cumulative amounts ceded under the loss portfolio transfers exceed the consideration paid, requiring the application of retroactive reinsurance accounting.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retroactive reinsurance accounting, gains are deferred and recognized in earnings in proportion to actual paid recoveries under the loss portfolio transfers using the recovery method. Over the life of the contracts, we would expect no economic impact to the Company as long as any additional losses are within the limit of the loss portfolio transfer and the counterparty performs under the contract. In periods where the Company recognizes a change in the estimate of the reserves subject to the loss portfolio transfers that increases or decreases the amounts ceded under the loss portfolio transfers, the proportion of actual paid recoveries to total ceded losses is affected and the change in deferred gain is recognized in earnings as if the revised estimate of ceded losses was available at the effective date of the loss portfolio transfer. The effect of the deferred retroactive reinsurance benefit is recorded in losses and loss adjustment expenses on the Condensed Consolidated Statements of Income and Comprehensive Income (Loss).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Retroactive reinsurance benefits totaling $17.8 million and $49.8 million, respectively ($14.8 million and $44.1 million for the Commercial Auto LPT, respectively, and $2.9 million and $5.6 million for the Casualty Re LPT, respectively) were recorded in losses and loss adjustment expenses for the three and six months ended June 30, 2023 using the recovery method, resulting in net impacts of $618,000 and $17.5 million within our net losses and loss adjustment expenses for the three and six months ended June 30, 2023, respectively. As of June 30, 2023, the cumulative amounts ceded under the loss portfolio transfers was $800.1 million ($445.4 million under the Commercial Auto LPT and $354.7 million under the Casualty Re LPT). The total unrecognized deferred retroactive reinsurance gain of $37.6 million at June 30, 2023 under the loss portfolio transfers ($25.2 million related to the Commercial Auto LPT and $12.4 million related to the Casualty Re LPT) is separately presented on the Company's Condensed Consolidated Balance Sheets. At June 30, 2023, the Company has $45.3 million of aggregate limit remaining under the Casualty Re LPT.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Premiums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or more in proportion to the level of underlying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 in premium volume by component and business segment:</w:t>
      </w:r>
    </w:p>
    <w:tbl>
      <w:tblPr>
        <w:tblW w:w="10205" w:type="dxa"/>
        <w:jc w:val="left"/>
        <w:tblInd w:w="0" w:type="dxa"/>
        <w:tblLayout w:type="fixed"/>
        <w:tblCellMar>
          <w:top w:w="28" w:type="dxa"/>
          <w:left w:w="28" w:type="dxa"/>
          <w:bottom w:w="28" w:type="dxa"/>
          <w:right w:w="28" w:type="dxa"/>
        </w:tblCellMar>
      </w:tblPr>
      <w:tblGrid>
        <w:gridCol w:w="792"/>
        <w:gridCol w:w="634"/>
        <w:gridCol w:w="640"/>
        <w:gridCol w:w="211"/>
        <w:gridCol w:w="826"/>
        <w:gridCol w:w="109"/>
        <w:gridCol w:w="109"/>
        <w:gridCol w:w="109"/>
        <w:gridCol w:w="109"/>
        <w:gridCol w:w="211"/>
        <w:gridCol w:w="826"/>
        <w:gridCol w:w="109"/>
        <w:gridCol w:w="109"/>
        <w:gridCol w:w="109"/>
        <w:gridCol w:w="109"/>
        <w:gridCol w:w="283"/>
        <w:gridCol w:w="283"/>
        <w:gridCol w:w="367"/>
        <w:gridCol w:w="109"/>
        <w:gridCol w:w="109"/>
        <w:gridCol w:w="109"/>
        <w:gridCol w:w="211"/>
        <w:gridCol w:w="826"/>
        <w:gridCol w:w="109"/>
        <w:gridCol w:w="109"/>
        <w:gridCol w:w="109"/>
        <w:gridCol w:w="109"/>
        <w:gridCol w:w="211"/>
        <w:gridCol w:w="826"/>
        <w:gridCol w:w="109"/>
        <w:gridCol w:w="109"/>
        <w:gridCol w:w="109"/>
        <w:gridCol w:w="109"/>
        <w:gridCol w:w="283"/>
        <w:gridCol w:w="283"/>
        <w:gridCol w:w="421"/>
      </w:tblGrid>
      <w:tr>
        <w:trPr/>
        <w:tc>
          <w:tcPr>
            <w:tcW w:w="79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9.4 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4.3 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(60.2)</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13.9 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58.3 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44.7 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(58.3)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(66.8)</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8.3 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15.3 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18.4 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(9.2)</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11.1 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written premiums for the Excess and Surplus Lines segment (which represents 65.1% of our consolidated gross written premiums in the six months ended June 30, 2023) increased 7.3% and 9.4% over the corresponding three and six month periods in the prior year. Total policy submissions for Core E&amp;S lines (excluding commercial auto) increased 3.4% from the prior year and our ratio of bound policies to quoted policies was also higher, generating 3.9% more bound policies in the six months ended June 30, 2023 than in the six months ended June 30, 2022. The total number of policies in force for the segment increased 1.1% over the prior year. Renewal rates for the Excess and Surplus Lines segment were up 11.0% and 10.2% compared to the three and six months ended June 30, 2022, respectively. The change in gross written premiums was notable in several divisions as shown below:</w:t>
      </w:r>
    </w:p>
    <w:tbl>
      <w:tblPr>
        <w:tblW w:w="10205" w:type="dxa"/>
        <w:jc w:val="center"/>
        <w:tblInd w:w="0" w:type="dxa"/>
        <w:tblLayout w:type="fixed"/>
        <w:tblCellMar>
          <w:top w:w="28" w:type="dxa"/>
          <w:left w:w="28" w:type="dxa"/>
          <w:bottom w:w="28" w:type="dxa"/>
          <w:right w:w="28" w:type="dxa"/>
        </w:tblCellMar>
      </w:tblPr>
      <w:tblGrid>
        <w:gridCol w:w="820"/>
        <w:gridCol w:w="718"/>
        <w:gridCol w:w="575"/>
        <w:gridCol w:w="211"/>
        <w:gridCol w:w="826"/>
        <w:gridCol w:w="109"/>
        <w:gridCol w:w="109"/>
        <w:gridCol w:w="109"/>
        <w:gridCol w:w="109"/>
        <w:gridCol w:w="211"/>
        <w:gridCol w:w="826"/>
        <w:gridCol w:w="109"/>
        <w:gridCol w:w="109"/>
        <w:gridCol w:w="109"/>
        <w:gridCol w:w="109"/>
        <w:gridCol w:w="270"/>
        <w:gridCol w:w="273"/>
        <w:gridCol w:w="367"/>
        <w:gridCol w:w="109"/>
        <w:gridCol w:w="109"/>
        <w:gridCol w:w="109"/>
        <w:gridCol w:w="211"/>
        <w:gridCol w:w="826"/>
        <w:gridCol w:w="109"/>
        <w:gridCol w:w="109"/>
        <w:gridCol w:w="109"/>
        <w:gridCol w:w="109"/>
        <w:gridCol w:w="211"/>
        <w:gridCol w:w="826"/>
        <w:gridCol w:w="109"/>
        <w:gridCol w:w="109"/>
        <w:gridCol w:w="109"/>
        <w:gridCol w:w="109"/>
        <w:gridCol w:w="270"/>
        <w:gridCol w:w="273"/>
        <w:gridCol w:w="420"/>
      </w:tblGrid>
      <w:tr>
        <w:trPr/>
        <w:tc>
          <w:tcPr>
            <w:tcW w:w="82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0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12.5 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Casualty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9.8 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&amp; Contractors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14.1 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29.5 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42.4 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Core E&amp;S divisions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Core E&amp;S divisions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11.0 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(33.5)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(28.6)</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gross written premium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9.4 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gross written premiums for the Specialty Admitted Insurance segment (which represents 33.0% of our consolidated gross written premiums for the six months ended June 30, 2023) are as follows:</w:t>
      </w:r>
    </w:p>
    <w:tbl>
      <w:tblPr>
        <w:tblW w:w="10205" w:type="dxa"/>
        <w:jc w:val="left"/>
        <w:tblInd w:w="0" w:type="dxa"/>
        <w:tblLayout w:type="fixed"/>
        <w:tblCellMar>
          <w:top w:w="28" w:type="dxa"/>
          <w:left w:w="28" w:type="dxa"/>
          <w:bottom w:w="28" w:type="dxa"/>
          <w:right w:w="28" w:type="dxa"/>
        </w:tblCellMar>
      </w:tblPr>
      <w:tblGrid>
        <w:gridCol w:w="827"/>
        <w:gridCol w:w="655"/>
        <w:gridCol w:w="658"/>
        <w:gridCol w:w="211"/>
        <w:gridCol w:w="826"/>
        <w:gridCol w:w="109"/>
        <w:gridCol w:w="109"/>
        <w:gridCol w:w="109"/>
        <w:gridCol w:w="109"/>
        <w:gridCol w:w="211"/>
        <w:gridCol w:w="826"/>
        <w:gridCol w:w="109"/>
        <w:gridCol w:w="109"/>
        <w:gridCol w:w="109"/>
        <w:gridCol w:w="109"/>
        <w:gridCol w:w="255"/>
        <w:gridCol w:w="256"/>
        <w:gridCol w:w="367"/>
        <w:gridCol w:w="109"/>
        <w:gridCol w:w="109"/>
        <w:gridCol w:w="109"/>
        <w:gridCol w:w="211"/>
        <w:gridCol w:w="826"/>
        <w:gridCol w:w="109"/>
        <w:gridCol w:w="109"/>
        <w:gridCol w:w="109"/>
        <w:gridCol w:w="109"/>
        <w:gridCol w:w="211"/>
        <w:gridCol w:w="826"/>
        <w:gridCol w:w="109"/>
        <w:gridCol w:w="109"/>
        <w:gridCol w:w="109"/>
        <w:gridCol w:w="109"/>
        <w:gridCol w:w="274"/>
        <w:gridCol w:w="274"/>
        <w:gridCol w:w="420"/>
      </w:tblGrid>
      <w:tr>
        <w:trPr/>
        <w:tc>
          <w:tcPr>
            <w:tcW w:w="82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7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Fronting and program premium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6.2 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risk workers’ compensation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(11.4)</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gross written premium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4.3 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fronting written premium increased over the prior year driven primarily by the continued expansion of existing fronting relationships. Our two largest fronting relationships represented $71.7 million and $133.9 million (52.4% and 51.2%) of segment gross written premium for the three and six months ended June 30, 2023, respectively, compared to $59.3 million and $112.8 million (47.4% and 45.0%) for the three and six months ended June 30, 2022, respectively. Individual risk workers' compensation premium declined for the comparable three and six month periods as we maintain underwriting discipline against continued soft market conditions for workers' compensation.</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suspended writing business in the Casualty Reinsurance segment earlier this year, and we are now focused on growing our higher returning U.S. insurance businesses. The gross written premiums of $4.7 million and $15.1 million for the Casualty Reinsurance segment in the three and six months ended June 30, 2023 represent adjustments to written premium estimates for prior year treaties.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Net Retention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net premium retention is summarized by segment as follows:</w:t>
      </w:r>
    </w:p>
    <w:tbl>
      <w:tblPr>
        <w:tblW w:w="7152" w:type="dxa"/>
        <w:jc w:val="left"/>
        <w:tblInd w:w="0" w:type="dxa"/>
        <w:tblLayout w:type="fixed"/>
        <w:tblCellMar>
          <w:top w:w="28" w:type="dxa"/>
          <w:left w:w="28" w:type="dxa"/>
          <w:bottom w:w="28" w:type="dxa"/>
          <w:right w:w="28" w:type="dxa"/>
        </w:tblCellMar>
      </w:tblPr>
      <w:tblGrid>
        <w:gridCol w:w="911"/>
        <w:gridCol w:w="801"/>
        <w:gridCol w:w="808"/>
        <w:gridCol w:w="255"/>
        <w:gridCol w:w="256"/>
        <w:gridCol w:w="333"/>
        <w:gridCol w:w="134"/>
        <w:gridCol w:w="134"/>
        <w:gridCol w:w="134"/>
        <w:gridCol w:w="307"/>
        <w:gridCol w:w="309"/>
        <w:gridCol w:w="333"/>
        <w:gridCol w:w="109"/>
        <w:gridCol w:w="109"/>
        <w:gridCol w:w="109"/>
        <w:gridCol w:w="255"/>
        <w:gridCol w:w="256"/>
        <w:gridCol w:w="292"/>
        <w:gridCol w:w="117"/>
        <w:gridCol w:w="117"/>
        <w:gridCol w:w="117"/>
        <w:gridCol w:w="307"/>
        <w:gridCol w:w="309"/>
        <w:gridCol w:w="340"/>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premium retention for the Excess and Surplus Lines segment increased relative to the three and six month periods of the prior year. The segment's Excess Casualty division, which comprises close to one-third of the segment's gross written premiums in the three and six months ended June 30, 2023 and 2022, cedes a high percentage of written premiums under a reinsurance treaty and changes in growth rates of this division can impact comparable premium retention ratios for the segment. In the third quarter of 2022, we increased our retention on the reinsurance treaty applicable to the Excess Casualty division. Net retention for the Excess Casualty division was 26.6% and 26.8% for the three and six months ended June 30, 2023 compared to 13.5% and 13.8% for the respective three and six month periods in the prior year.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premium retention for the Specialty Admitted Insurance segment increased for the three and six months ended June 30, 2023 as compared to the prior year primarily due to the termination of an individual risk workers' compensation quota share treaty effective January 1, 2023. The net retention on the individual risk workers’ compensation business was 73.9% and 73.6% for the three and six months ended June 30, 2023, respectively, compared to 29.2% and 30.0% for the three and six months ended June 30, 2022, respectively. Net retention on the fronting business was also higher due to the mix of business and changes in reinsurance coverage as treaties renew. The net retention on the segment’s fronting business was 16.5% and 16.0% for the three and six months ended June 30, 2023, respectively, compared to 13.2% and 13.6% for the three and six months ended June 30, 2022,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Casualty Reinsurance segment previously wrote a retrocessional treaty/fronting arrangement under which 100% of the premiums were ceded. The treaty was nonrenewed for 2022 and net retentions above or below 100% in the respective periods reflect adjustments to prior year assumed and ceded written premiums on the treaty.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combined ratios by segment:</w:t>
      </w:r>
    </w:p>
    <w:tbl>
      <w:tblPr>
        <w:tblW w:w="7152" w:type="dxa"/>
        <w:jc w:val="left"/>
        <w:tblInd w:w="0" w:type="dxa"/>
        <w:tblLayout w:type="fixed"/>
        <w:tblCellMar>
          <w:top w:w="28" w:type="dxa"/>
          <w:left w:w="28" w:type="dxa"/>
          <w:bottom w:w="28" w:type="dxa"/>
          <w:right w:w="28" w:type="dxa"/>
        </w:tblCellMar>
      </w:tblPr>
      <w:tblGrid>
        <w:gridCol w:w="911"/>
        <w:gridCol w:w="801"/>
        <w:gridCol w:w="808"/>
        <w:gridCol w:w="255"/>
        <w:gridCol w:w="256"/>
        <w:gridCol w:w="333"/>
        <w:gridCol w:w="134"/>
        <w:gridCol w:w="134"/>
        <w:gridCol w:w="134"/>
        <w:gridCol w:w="255"/>
        <w:gridCol w:w="256"/>
        <w:gridCol w:w="333"/>
        <w:gridCol w:w="109"/>
        <w:gridCol w:w="109"/>
        <w:gridCol w:w="109"/>
        <w:gridCol w:w="307"/>
        <w:gridCol w:w="309"/>
        <w:gridCol w:w="292"/>
        <w:gridCol w:w="117"/>
        <w:gridCol w:w="117"/>
        <w:gridCol w:w="117"/>
        <w:gridCol w:w="307"/>
        <w:gridCol w:w="309"/>
        <w:gridCol w:w="340"/>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Excess and Surplus Lines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Excess and Surplus Lines segment are as follows:</w:t>
      </w:r>
    </w:p>
    <w:tbl>
      <w:tblPr>
        <w:tblW w:w="10205" w:type="dxa"/>
        <w:jc w:val="left"/>
        <w:tblInd w:w="0" w:type="dxa"/>
        <w:tblLayout w:type="fixed"/>
        <w:tblCellMar>
          <w:top w:w="28" w:type="dxa"/>
          <w:left w:w="28" w:type="dxa"/>
          <w:bottom w:w="28" w:type="dxa"/>
          <w:right w:w="28" w:type="dxa"/>
        </w:tblCellMar>
      </w:tblPr>
      <w:tblGrid>
        <w:gridCol w:w="711"/>
        <w:gridCol w:w="389"/>
        <w:gridCol w:w="392"/>
        <w:gridCol w:w="211"/>
        <w:gridCol w:w="826"/>
        <w:gridCol w:w="271"/>
        <w:gridCol w:w="109"/>
        <w:gridCol w:w="109"/>
        <w:gridCol w:w="109"/>
        <w:gridCol w:w="211"/>
        <w:gridCol w:w="826"/>
        <w:gridCol w:w="271"/>
        <w:gridCol w:w="109"/>
        <w:gridCol w:w="109"/>
        <w:gridCol w:w="109"/>
        <w:gridCol w:w="263"/>
        <w:gridCol w:w="265"/>
        <w:gridCol w:w="367"/>
        <w:gridCol w:w="109"/>
        <w:gridCol w:w="109"/>
        <w:gridCol w:w="109"/>
        <w:gridCol w:w="211"/>
        <w:gridCol w:w="826"/>
        <w:gridCol w:w="271"/>
        <w:gridCol w:w="109"/>
        <w:gridCol w:w="109"/>
        <w:gridCol w:w="109"/>
        <w:gridCol w:w="211"/>
        <w:gridCol w:w="826"/>
        <w:gridCol w:w="271"/>
        <w:gridCol w:w="109"/>
        <w:gridCol w:w="109"/>
        <w:gridCol w:w="109"/>
        <w:gridCol w:w="263"/>
        <w:gridCol w:w="265"/>
        <w:gridCol w:w="423"/>
      </w:tblGrid>
      <w:tr>
        <w:trPr/>
        <w:tc>
          <w:tcPr>
            <w:tcW w:w="71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3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9.4 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166,004 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332,198 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291,714 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13.9 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310,361 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269,185 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15.3 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17.3 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30.0 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i/>
                <w:color w:val="000000"/>
                <w:sz w:val="16"/>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is a non-GAAP Measure. See “Reconciliation of Non-GAAP Measures.”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produced underwriting profits of $19.4 million and $22.3 million (combined ratios of 87.8% and 83.8%) in the three months ended June 30, 2023 and 2022, respectively. For the six months ended June 30, 2023 and 2022, segment underwriting profit was $39.4 million and $43.8 million (combined ratios of 87.3% and 83.7%), respectively. Attractive market conditions and higher net retentions drove the growth in written and earned premiums for both periods. Higher loss ratios in the current year periods primarily reflect the mix of business which resulted in higher current accident year loss ratios. Net reserve development on prior accident years (excluding adverse prior year development on the legacy Rasier business and the impact of retroactive reinsurance - see discussion above) was negligible at $118,000 adverse and $32,000 favorable in the three months ended June 30, 2023 and 2022, respectively ($206,000 favorable and $91,000 favorable in the six months ended June 30, 2023 and 2022, respectively). The expense ratios increased over the prior year mainly due to the mix of business and higher retentions which resulted in higher net commissions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Specialty Admitted Insurance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Specialty Admitted Insurance segment are as follows:</w:t>
      </w:r>
    </w:p>
    <w:tbl>
      <w:tblPr>
        <w:tblW w:w="10205" w:type="dxa"/>
        <w:jc w:val="left"/>
        <w:tblInd w:w="0" w:type="dxa"/>
        <w:tblLayout w:type="fixed"/>
        <w:tblCellMar>
          <w:top w:w="28" w:type="dxa"/>
          <w:left w:w="28" w:type="dxa"/>
          <w:bottom w:w="28" w:type="dxa"/>
          <w:right w:w="28" w:type="dxa"/>
        </w:tblCellMar>
      </w:tblPr>
      <w:tblGrid>
        <w:gridCol w:w="698"/>
        <w:gridCol w:w="402"/>
        <w:gridCol w:w="405"/>
        <w:gridCol w:w="211"/>
        <w:gridCol w:w="826"/>
        <w:gridCol w:w="271"/>
        <w:gridCol w:w="109"/>
        <w:gridCol w:w="109"/>
        <w:gridCol w:w="109"/>
        <w:gridCol w:w="211"/>
        <w:gridCol w:w="826"/>
        <w:gridCol w:w="271"/>
        <w:gridCol w:w="109"/>
        <w:gridCol w:w="109"/>
        <w:gridCol w:w="109"/>
        <w:gridCol w:w="266"/>
        <w:gridCol w:w="268"/>
        <w:gridCol w:w="367"/>
        <w:gridCol w:w="109"/>
        <w:gridCol w:w="109"/>
        <w:gridCol w:w="109"/>
        <w:gridCol w:w="211"/>
        <w:gridCol w:w="826"/>
        <w:gridCol w:w="271"/>
        <w:gridCol w:w="109"/>
        <w:gridCol w:w="109"/>
        <w:gridCol w:w="109"/>
        <w:gridCol w:w="211"/>
        <w:gridCol w:w="826"/>
        <w:gridCol w:w="271"/>
        <w:gridCol w:w="109"/>
        <w:gridCol w:w="109"/>
        <w:gridCol w:w="109"/>
        <w:gridCol w:w="255"/>
        <w:gridCol w:w="256"/>
        <w:gridCol w:w="421"/>
      </w:tblGrid>
      <w:tr>
        <w:trPr/>
        <w:tc>
          <w:tcPr>
            <w:tcW w:w="69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4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4.3 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58.3 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44.7 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18.4 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33.1 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15.5 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54.3 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Underwriting profit (loss)</w:t>
            </w:r>
            <w:r>
              <w:rPr>
                <w:color w:val="000000"/>
              </w:rPr>
              <w:t xml:space="preserve"> </w:t>
            </w:r>
            <w:r>
              <w:rPr>
                <w:rFonts w:ascii="Times New Roman;sans-serif" w:hAnsi="Times New Roman;sans-serif"/>
                <w:b w:val="false"/>
                <w:i/>
                <w:color w:val="000000"/>
                <w:sz w:val="16"/>
              </w:rPr>
              <w:t>(1), (2)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(69.3)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(Loss) is a non-GAAP Measure. See “Reconciliation of Non-GAAP Measures.”</w:t>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(2)Underwriting results include gross fee income of $5.8 million and $11.5 million for the three and six months ended June 30, 2023, respectively ($5.9 million and $11.4 million in the respective prior year periods).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Specialty Admitted Insurance segment produced underwriting profits of $384,000 and $1.3 million (combined ratios of 98.4% and 93.1%) in the three months ended June 30, 2023 and 2022, respectively. The higher loss ratio in the current year primarily reflects lower favorable development in our loss estimates for prior accident years, partially offset by changes in the mix of business which helped to produce a lower current accident year loss ratio. Net favorable development in our loss estimates for prior accident years was $839,000 or 3.5 points in the three months ended June 30, 2023 compared to $1.5 million or 8.5 points in the three months ended June 30, 2022. The higher expense ratio of 24.7% for the three months ended</w:t>
      </w:r>
      <w:r>
        <w:rPr>
          <w:color w:val="000000"/>
        </w:rPr>
        <w:t xml:space="preserve"> </w:t>
      </w:r>
      <w:r>
        <w:rPr>
          <w:rFonts w:ascii="Times New Roman;sans-serif" w:hAnsi="Times New Roman;sans-serif"/>
          <w:b w:val="false"/>
          <w:color w:val="000000"/>
          <w:sz w:val="20"/>
        </w:rPr>
        <w:t>June 30, 2023 compared to 20.2% in the prior year was mainly driven by higher net commission expense due to the January 1, 2023 termination of the individual risk workers' compensation quota share treaty.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Specialty Admitted Insurance segment had an underwriting loss of $85,000 and a combined ratio of 100.2%. This compares to an underwriting profit of $1.5 million and a combined ratio of 96.1% in the six months ended June 30, 2022. The loss ratio improvement from 76.5% in the prior year to 74.6% in the current year primarily reflects changes in the mix of business which helped to produce a lower current accident year loss ratio, partially offset by lower net favorable development in our loss estimates for prior accident years. Net favorable development in our loss estimates for prior accident years was $1.0 million or 2.3 points in the six months ended June 30, 2023 compared to $1.5 million or 4.0 points in the six months ended June 30, 2022. The higher expense ratio of 25.6% for the six months ended June 30, 2023 compared to 19.6% in the prior year was mainly driven by higher net commission expense due to the January 1, 2023 termination of the individual risk workers' compensation quota share treaty.</w:t>
      </w:r>
    </w:p>
    <w:p>
      <w:pPr>
        <w:pStyle w:val="TextBody"/>
        <w:bidi w:val="0"/>
        <w:spacing w:before="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Casualty Reinsurance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Casualty Reinsurance segment are as follows:</w:t>
      </w:r>
    </w:p>
    <w:tbl>
      <w:tblPr>
        <w:tblW w:w="10205" w:type="dxa"/>
        <w:jc w:val="left"/>
        <w:tblInd w:w="0" w:type="dxa"/>
        <w:tblLayout w:type="fixed"/>
        <w:tblCellMar>
          <w:top w:w="28" w:type="dxa"/>
          <w:left w:w="28" w:type="dxa"/>
          <w:bottom w:w="28" w:type="dxa"/>
          <w:right w:w="28" w:type="dxa"/>
        </w:tblCellMar>
      </w:tblPr>
      <w:tblGrid>
        <w:gridCol w:w="843"/>
        <w:gridCol w:w="527"/>
        <w:gridCol w:w="531"/>
        <w:gridCol w:w="211"/>
        <w:gridCol w:w="721"/>
        <w:gridCol w:w="271"/>
        <w:gridCol w:w="109"/>
        <w:gridCol w:w="109"/>
        <w:gridCol w:w="109"/>
        <w:gridCol w:w="211"/>
        <w:gridCol w:w="721"/>
        <w:gridCol w:w="271"/>
        <w:gridCol w:w="109"/>
        <w:gridCol w:w="109"/>
        <w:gridCol w:w="109"/>
        <w:gridCol w:w="267"/>
        <w:gridCol w:w="267"/>
        <w:gridCol w:w="367"/>
        <w:gridCol w:w="109"/>
        <w:gridCol w:w="109"/>
        <w:gridCol w:w="109"/>
        <w:gridCol w:w="211"/>
        <w:gridCol w:w="721"/>
        <w:gridCol w:w="271"/>
        <w:gridCol w:w="109"/>
        <w:gridCol w:w="109"/>
        <w:gridCol w:w="109"/>
        <w:gridCol w:w="211"/>
        <w:gridCol w:w="721"/>
        <w:gridCol w:w="271"/>
        <w:gridCol w:w="109"/>
        <w:gridCol w:w="109"/>
        <w:gridCol w:w="109"/>
        <w:gridCol w:w="267"/>
        <w:gridCol w:w="267"/>
        <w:gridCol w:w="422"/>
      </w:tblGrid>
      <w:tr>
        <w:trPr/>
        <w:tc>
          <w:tcPr>
            <w:tcW w:w="84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(60.2)</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(58.3)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(66.8)</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(9.2)</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(23.0)</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(5.0)</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profit (loss) </w:t>
            </w:r>
            <w:r>
              <w:rPr>
                <w:rFonts w:ascii="Times New Roman;sans-serif" w:hAnsi="Times New Roman;sans-serif"/>
                <w:b w:val="false"/>
                <w:i/>
                <w:color w:val="000000"/>
                <w:sz w:val="16"/>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(93.8)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(Loss) is a non-GAAP Measure. See “Reconciliation of Non-GAAP Measures.”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Casualty Reinsurance segment suspended underwriting activities earlier this year. Current year written premiums represent adjustments to written premium estimates for prior year treaties. The earning patterns of the business can extend over multiple years, and changes in net earned premium for this segment will lag the decline in gross and net written premium.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the segment produced underwriting profits of $128,000 and $2.1 million (combined ratios of 99.5% and 93.2%), respectively. The loss ratio increase from 62.7% in the prior three month period to 67.2% in the current year was largely driven by net adverse reserve development of $3.0 million or 11.2 percentage points in the three months ended June 30, 2023 compared to none in the prior year (excluding adverse prior year development on the business subject to the Casualty Re LPT and the impact of retroactive reinsurance - see discussion above). This was partially offset by a lower current accident year loss ratio resulting from changes in the mix of business. The expense ratio increased from 30.5% for the three months ended June 30, 2022 to 32.3% for three months ended June 30, 2023 primarily reflecting higher commissions due to changes in the mix of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segment had an underwriting profit of $434,000 and a combined ratio of 99.3%. This compares to an underwriting loss of $6.8 million and a combined ratio of 109.8% in the six months ended June 30, 2022. The loss ratio improved from 78.1% in the prior six month period to 66.2% in the current year, driven by a decline in the current accident year ratio and lower net adverse reserve development on prior accident years. For the six months ended June 30, 2023 and 2022, $4.9 million and $6.8 million (7.7 and 9.8 percentage points), respectively, of net adverse reserve development was recognized (excluding adverse prior year development on the business subject to the Casualty Re LPT and the impact of retroactive reinsurance - see discussion above). The expense ratio increased from 31.7% for the six months ended June 30, 2022 to 33.1% for the six months ended June 30, 2023 primarily reflecting higher commissions due to changes in the mix of business.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and Other Segment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operating expenses for the Corporate and Other segment include personnel costs associated with the Bermuda and U.S. holding companies, professional fees, share based compensation for the full Company group, and various other corporate expenses that were not reimbursed by our subsidiaries, including costs associated with our internal reinsurance, rating agencies and strategic initiatives. The expenses are included in our calculation of consolidated underwriting profit, and in our consolidated expense ratio and combined ratio. Total operating expenses of the Corporate and Other segment were $8.5 million and $17.8 million for the three and six months ended</w:t>
      </w:r>
      <w:r>
        <w:rPr>
          <w:color w:val="000000"/>
        </w:rPr>
        <w:t xml:space="preserve"> </w:t>
      </w:r>
      <w:r>
        <w:rPr>
          <w:rFonts w:ascii="Times New Roman;sans-serif" w:hAnsi="Times New Roman;sans-serif"/>
          <w:b w:val="false"/>
          <w:color w:val="000000"/>
          <w:sz w:val="20"/>
        </w:rPr>
        <w:t>June 30, 2023, respectively ($8.9 million and $16.8 million in the respective prior year periods). The lower operating expense for the three months ended June 30, 2023 primarily reflects lower short-term incentive compensation, while the higher year to date expense is largely attributable to share based compensation, which was $5.0 million and $4.0 million for the six months ended June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20"/>
        <w:jc w:val="left"/>
        <w:rPr>
          <w:rFonts w:ascii="Times New Roman;sans-serif" w:hAnsi="Times New Roman;sans-serif"/>
          <w:b/>
          <w:i/>
          <w:color w:val="000000"/>
          <w:sz w:val="20"/>
        </w:rPr>
      </w:pPr>
      <w:r>
        <w:rPr>
          <w:rFonts w:ascii="Times New Roman;sans-serif" w:hAnsi="Times New Roman;sans-serif"/>
          <w:b/>
          <w:i/>
          <w:color w:val="000000"/>
          <w:sz w:val="20"/>
        </w:rPr>
        <w:t>Investing Results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Net investment income was $25.2 million and $50.9 million for the three and six months ended</w:t>
      </w:r>
      <w:r>
        <w:rPr>
          <w:color w:val="000000"/>
        </w:rPr>
        <w:t xml:space="preserve"> </w:t>
      </w:r>
      <w:r>
        <w:rPr>
          <w:rFonts w:ascii="Times New Roman;sans-serif" w:hAnsi="Times New Roman;sans-serif"/>
          <w:b w:val="false"/>
          <w:color w:val="000000"/>
          <w:sz w:val="20"/>
        </w:rPr>
        <w:t>June 30, 2023, compared to $14.7 million and $31.0 million for the respective periods in the prior year. The Company's private investments generated income of $232,000 and $1.8 million for the three and six months ended</w:t>
      </w:r>
      <w:r>
        <w:rPr>
          <w:color w:val="000000"/>
        </w:rPr>
        <w:t xml:space="preserve"> </w:t>
      </w:r>
      <w:r>
        <w:rPr>
          <w:rFonts w:ascii="Times New Roman;sans-serif" w:hAnsi="Times New Roman;sans-serif"/>
          <w:b w:val="false"/>
          <w:color w:val="000000"/>
          <w:sz w:val="20"/>
        </w:rPr>
        <w:t>June 30, 2023 compared to losses of $489,000 and income of $2.4 million in the respective prior year periods. Excluding private investments, our net investment income for the three and six months ended June 30, 2023 increased 64.2% and 72.0% over the prior year periods, respectively, principally due to higher yields on fixed maturities and bank loan participations. The average duration of our portfolio excluding restricted cash equivalents was 4.0 years at June 30, 2023.</w:t>
      </w:r>
    </w:p>
    <w:p>
      <w:pPr>
        <w:pStyle w:val="TextBody"/>
        <w:bidi w:val="0"/>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Major categories of the Company’s net investment income are summarized as follows:</w:t>
      </w:r>
    </w:p>
    <w:tbl>
      <w:tblPr>
        <w:tblW w:w="10205" w:type="dxa"/>
        <w:jc w:val="left"/>
        <w:tblInd w:w="0" w:type="dxa"/>
        <w:tblLayout w:type="fixed"/>
        <w:tblCellMar>
          <w:top w:w="28" w:type="dxa"/>
          <w:left w:w="28" w:type="dxa"/>
          <w:bottom w:w="28" w:type="dxa"/>
          <w:right w:w="28" w:type="dxa"/>
        </w:tblCellMar>
      </w:tblPr>
      <w:tblGrid>
        <w:gridCol w:w="1880"/>
        <w:gridCol w:w="1564"/>
        <w:gridCol w:w="156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8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equivalents and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annualized gross investment yields:</w:t>
      </w:r>
    </w:p>
    <w:tbl>
      <w:tblPr>
        <w:tblW w:w="6132" w:type="dxa"/>
        <w:jc w:val="left"/>
        <w:tblInd w:w="0" w:type="dxa"/>
        <w:tblLayout w:type="fixed"/>
        <w:tblCellMar>
          <w:top w:w="28" w:type="dxa"/>
          <w:left w:w="28" w:type="dxa"/>
          <w:bottom w:w="28" w:type="dxa"/>
          <w:right w:w="28" w:type="dxa"/>
        </w:tblCellMar>
      </w:tblPr>
      <w:tblGrid>
        <w:gridCol w:w="772"/>
        <w:gridCol w:w="678"/>
        <w:gridCol w:w="680"/>
        <w:gridCol w:w="203"/>
        <w:gridCol w:w="203"/>
        <w:gridCol w:w="333"/>
        <w:gridCol w:w="134"/>
        <w:gridCol w:w="134"/>
        <w:gridCol w:w="134"/>
        <w:gridCol w:w="203"/>
        <w:gridCol w:w="203"/>
        <w:gridCol w:w="333"/>
        <w:gridCol w:w="109"/>
        <w:gridCol w:w="109"/>
        <w:gridCol w:w="109"/>
        <w:gridCol w:w="203"/>
        <w:gridCol w:w="203"/>
        <w:gridCol w:w="292"/>
        <w:gridCol w:w="117"/>
        <w:gridCol w:w="117"/>
        <w:gridCol w:w="117"/>
        <w:gridCol w:w="203"/>
        <w:gridCol w:w="203"/>
        <w:gridCol w:w="340"/>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invested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 our total cash and invested assets of $2,414.4 million at June 30, 2023 (excluding restricted cash equivalents), $227.2 million represents the cash and cash equivalents portion of the portfolio. The majority of the portfolio, or $1,875.7 million, is comprised of fixed maturity securities that are classified as available-for-sale and carried at fair value with unrealized gains and losses on these securities reported, net of applicable taxes, as a separate component of accumulated comprehensive income (loss). Also included in our investments are $143.8 million of bank loan participations, $118.1 million of equity securities, $22.1 million of short-term investments, and $27.4 million of other invested assets.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sans-serif" w:hAnsi="Times New Roman;sans-serif"/>
          <w:b w:val="false"/>
          <w:color w:val="231F20"/>
          <w:sz w:val="20"/>
        </w:rPr>
        <w:t xml:space="preserve">Bank loan participations are measured at fair value pursuant to the Company's election of the fair value option, and changes in unrealized gains and losses in bank loan participations are reported in our income statement as net realized and unrealized gains (losses) on investments. </w:t>
      </w:r>
      <w:r>
        <w:rPr>
          <w:rFonts w:ascii="Times New Roman;sans-serif" w:hAnsi="Times New Roman;sans-serif"/>
          <w:b w:val="false"/>
          <w:color w:val="000000"/>
          <w:sz w:val="20"/>
        </w:rPr>
        <w:t>At June 30, 2023 and December 31, 2022, the fair market value of these securities was $143.8 million and $155.0 million,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the Company recognized net realized and unrealized investment gains of $2.6 million ($2.1 million of net realized and unrealized investment gains for the three months ended June 30, 2023), including $7.8 million of net unrealized gains on bank loan participations, $1.3 million of net unrealized losses for the change in the fair value of equity securities, an $85,000 impairment loss for one fixed maturity security, $4.2 million of net realized investment losses on the sale of bank loan participations, $668,000 of net realized investment gains on the sale of equity securities, and $284,000 of net realized investment losses on the sale of fixed maturity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the Company recognized net realized and unrealized investment losses of $22.1 million ($17.1 million of net realized and unrealized investment losses for the three months ended June 30, 2022), including $11.8 million of net unrealized losses on bank loan participations, $11.0 million of net unrealized losses for the change in the fair value of equity securities, $1.3 million of net realized investment gains on the sale of fixed maturity securities, $193,000 of net realized investment losses on the sale of bank loan participations, and $352,000 of net realized investment losses on the sale of equity securities.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 conjunction with its outside investment managers, the Company performs quarterly reviews of all securities within its investment portfolio to determine whether any impairment has occurred. In the six months ended </w:t>
      </w:r>
      <w:r>
        <w:rPr>
          <w:rFonts w:ascii="Times New Roman;sans-serif" w:hAnsi="Times New Roman;sans-serif"/>
          <w:b w:val="false"/>
          <w:color w:val="231F20"/>
          <w:sz w:val="20"/>
        </w:rPr>
        <w:t>June 30, 2023, m</w:t>
      </w:r>
      <w:r>
        <w:rPr>
          <w:rFonts w:ascii="Times New Roman;sans-serif" w:hAnsi="Times New Roman;sans-serif"/>
          <w:b w:val="false"/>
          <w:color w:val="000000"/>
          <w:sz w:val="20"/>
        </w:rPr>
        <w:t xml:space="preserve">anagement recognized an impairment loss of $85,000 for one fixed maturity security due to an intent to sell the security. Management concluded that none of its fixed maturity securities were impaired at December 31, 2022. At June 30, 2023, 99.9% of the Company’s fixed maturity security portfolio was rated “BBB-” or better (“investment grade”) by Standard &amp; Poor’s or received an equivalent rating from another nationally recognized rating agency. </w:t>
      </w:r>
      <w:r>
        <w:rPr>
          <w:rFonts w:ascii="Times New Roman;sans-serif" w:hAnsi="Times New Roman;sans-serif"/>
          <w:b w:val="false"/>
          <w:color w:val="231F20"/>
          <w:sz w:val="20"/>
        </w:rPr>
        <w:t>Management does not intend to sell available-for-sale securities in an unrealized loss position, and it is not “more likely than not” that the Company will be required to sell these securities before a recovery in their value to their amortized cost basis occurs.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fixed maturity securities were as follows:</w:t>
      </w:r>
    </w:p>
    <w:tbl>
      <w:tblPr>
        <w:tblW w:w="10393" w:type="dxa"/>
        <w:jc w:val="left"/>
        <w:tblInd w:w="0" w:type="dxa"/>
        <w:tblLayout w:type="fixed"/>
        <w:tblCellMar>
          <w:top w:w="28" w:type="dxa"/>
          <w:left w:w="28" w:type="dxa"/>
          <w:bottom w:w="28" w:type="dxa"/>
          <w:right w:w="28" w:type="dxa"/>
        </w:tblCellMar>
      </w:tblPr>
      <w:tblGrid>
        <w:gridCol w:w="1117"/>
        <w:gridCol w:w="296"/>
        <w:gridCol w:w="298"/>
        <w:gridCol w:w="211"/>
        <w:gridCol w:w="976"/>
        <w:gridCol w:w="109"/>
        <w:gridCol w:w="109"/>
        <w:gridCol w:w="109"/>
        <w:gridCol w:w="109"/>
        <w:gridCol w:w="211"/>
        <w:gridCol w:w="976"/>
        <w:gridCol w:w="109"/>
        <w:gridCol w:w="109"/>
        <w:gridCol w:w="109"/>
        <w:gridCol w:w="109"/>
        <w:gridCol w:w="307"/>
        <w:gridCol w:w="309"/>
        <w:gridCol w:w="292"/>
        <w:gridCol w:w="109"/>
        <w:gridCol w:w="109"/>
        <w:gridCol w:w="109"/>
        <w:gridCol w:w="211"/>
        <w:gridCol w:w="976"/>
        <w:gridCol w:w="109"/>
        <w:gridCol w:w="109"/>
        <w:gridCol w:w="109"/>
        <w:gridCol w:w="109"/>
        <w:gridCol w:w="211"/>
        <w:gridCol w:w="976"/>
        <w:gridCol w:w="109"/>
        <w:gridCol w:w="109"/>
        <w:gridCol w:w="109"/>
        <w:gridCol w:w="109"/>
        <w:gridCol w:w="307"/>
        <w:gridCol w:w="309"/>
        <w:gridCol w:w="339"/>
      </w:tblGrid>
      <w:tr>
        <w:trPr/>
        <w:tc>
          <w:tcPr>
            <w:tcW w:w="11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Fair Value</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17.3 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following table sets forth the composition of the Company’s portfolio of available-for-sale fixed maturity securities by rating as of </w:t>
      </w:r>
      <w:r>
        <w:rPr>
          <w:rFonts w:ascii="Times New Roman;sans-serif" w:hAnsi="Times New Roman;sans-serif"/>
          <w:b w:val="false"/>
          <w:color w:val="231F20"/>
          <w:sz w:val="20"/>
        </w:rPr>
        <w:t>June 30, 2023</w:t>
      </w:r>
      <w:r>
        <w:rPr>
          <w:rFonts w:ascii="Times New Roman;sans-serif" w:hAnsi="Times New Roman;sans-serif"/>
          <w:b w:val="false"/>
          <w:color w:val="000000"/>
          <w:sz w:val="20"/>
        </w:rPr>
        <w:t>:</w:t>
      </w:r>
    </w:p>
    <w:tbl>
      <w:tblPr>
        <w:tblW w:w="6234" w:type="dxa"/>
        <w:jc w:val="left"/>
        <w:tblInd w:w="0" w:type="dxa"/>
        <w:tblLayout w:type="fixed"/>
        <w:tblCellMar>
          <w:top w:w="28" w:type="dxa"/>
          <w:left w:w="28" w:type="dxa"/>
          <w:bottom w:w="28" w:type="dxa"/>
          <w:right w:w="28" w:type="dxa"/>
        </w:tblCellMar>
      </w:tblPr>
      <w:tblGrid>
        <w:gridCol w:w="1242"/>
        <w:gridCol w:w="1094"/>
        <w:gridCol w:w="1098"/>
        <w:gridCol w:w="211"/>
        <w:gridCol w:w="976"/>
        <w:gridCol w:w="109"/>
        <w:gridCol w:w="109"/>
        <w:gridCol w:w="109"/>
        <w:gridCol w:w="109"/>
        <w:gridCol w:w="307"/>
        <w:gridCol w:w="309"/>
        <w:gridCol w:w="561"/>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Standard &amp; Poor’s or Equivalent Designation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BBB and unrated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investments in fixed maturity securities summarized by contractual maturity are as follows:</w:t>
      </w:r>
    </w:p>
    <w:tbl>
      <w:tblPr>
        <w:tblW w:w="7804" w:type="dxa"/>
        <w:jc w:val="left"/>
        <w:tblInd w:w="0" w:type="dxa"/>
        <w:tblLayout w:type="fixed"/>
        <w:tblCellMar>
          <w:top w:w="28" w:type="dxa"/>
          <w:left w:w="28" w:type="dxa"/>
          <w:bottom w:w="28" w:type="dxa"/>
          <w:right w:w="28" w:type="dxa"/>
        </w:tblCellMar>
      </w:tblPr>
      <w:tblGrid>
        <w:gridCol w:w="1210"/>
        <w:gridCol w:w="1060"/>
        <w:gridCol w:w="1075"/>
        <w:gridCol w:w="211"/>
        <w:gridCol w:w="976"/>
        <w:gridCol w:w="109"/>
        <w:gridCol w:w="109"/>
        <w:gridCol w:w="109"/>
        <w:gridCol w:w="109"/>
        <w:gridCol w:w="211"/>
        <w:gridCol w:w="976"/>
        <w:gridCol w:w="109"/>
        <w:gridCol w:w="109"/>
        <w:gridCol w:w="109"/>
        <w:gridCol w:w="109"/>
        <w:gridCol w:w="308"/>
        <w:gridCol w:w="308"/>
        <w:gridCol w:w="597"/>
      </w:tblGrid>
      <w:tr>
        <w:trPr/>
        <w:tc>
          <w:tcPr>
            <w:tcW w:w="12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 Value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4.9 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26.3 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17.3 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11.8 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22.9 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16.8 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Other Income and Expense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income and expense primarily consists of non-operating expenses of $223,000 and $798,000 for the three and six</w:t>
      </w:r>
      <w:r>
        <w:rPr>
          <w:color w:val="231F20"/>
        </w:rPr>
        <w:t xml:space="preserve"> </w:t>
      </w:r>
      <w:r>
        <w:rPr>
          <w:rFonts w:ascii="Times New Roman;sans-serif" w:hAnsi="Times New Roman;sans-serif"/>
          <w:b w:val="false"/>
          <w:color w:val="231F20"/>
          <w:sz w:val="20"/>
        </w:rPr>
        <w:t>months ended June 30, 2023, respectively (</w:t>
      </w:r>
      <w:r>
        <w:rPr>
          <w:rFonts w:ascii="Times New Roman;sans-serif" w:hAnsi="Times New Roman;sans-serif"/>
          <w:b w:val="false"/>
          <w:color w:val="000000"/>
          <w:sz w:val="20"/>
        </w:rPr>
        <w:t>$0</w:t>
      </w:r>
      <w:r>
        <w:rPr>
          <w:color w:val="231F20"/>
        </w:rPr>
        <w:t xml:space="preserve"> </w:t>
      </w:r>
      <w:r>
        <w:rPr>
          <w:rFonts w:ascii="Times New Roman;sans-serif" w:hAnsi="Times New Roman;sans-serif"/>
          <w:b w:val="false"/>
          <w:color w:val="000000"/>
          <w:sz w:val="20"/>
        </w:rPr>
        <w:t>and $347,000 for the three and six</w:t>
      </w:r>
      <w:r>
        <w:rPr>
          <w:color w:val="231F20"/>
        </w:rPr>
        <w:t xml:space="preserve"> </w:t>
      </w:r>
      <w:r>
        <w:rPr>
          <w:rFonts w:ascii="Times New Roman;sans-serif" w:hAnsi="Times New Roman;sans-serif"/>
          <w:b w:val="false"/>
          <w:color w:val="231F20"/>
          <w:sz w:val="20"/>
        </w:rPr>
        <w:t>months ended June 30, 2022, respectively</w:t>
      </w:r>
      <w:r>
        <w:rPr>
          <w:rFonts w:ascii="Times New Roman;sans-serif" w:hAnsi="Times New Roman;sans-serif"/>
          <w:b w:val="false"/>
          <w:color w:val="000000"/>
          <w:sz w:val="20"/>
        </w:rPr>
        <w:t>).</w:t>
      </w:r>
      <w:r>
        <w:rPr>
          <w:color w:val="231F20"/>
        </w:rPr>
        <w:t xml:space="preserve"> </w:t>
      </w:r>
      <w:r>
        <w:rPr>
          <w:rFonts w:ascii="Times New Roman;sans-serif" w:hAnsi="Times New Roman;sans-serif"/>
          <w:b w:val="false"/>
          <w:color w:val="231F20"/>
          <w:sz w:val="20"/>
        </w:rPr>
        <w:t xml:space="preserve">Non-operating expenses </w:t>
      </w:r>
      <w:r>
        <w:rPr>
          <w:rFonts w:ascii="Times New Roman;sans-serif" w:hAnsi="Times New Roman;sans-serif"/>
          <w:b w:val="false"/>
          <w:color w:val="000000"/>
          <w:sz w:val="20"/>
        </w:rPr>
        <w:t>include legal fees related to a purported class action lawsuit and legal and other professional fees and other expenses related to various strategic initiatives including loss portfolio transfers accounted for as retroactive reinsurance.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Interest expense was $6.9 million and $13.6 million for the three and six</w:t>
      </w:r>
      <w:r>
        <w:rPr>
          <w:color w:val="231F20"/>
        </w:rPr>
        <w:t xml:space="preserve"> </w:t>
      </w:r>
      <w:r>
        <w:rPr>
          <w:rFonts w:ascii="Times New Roman;sans-serif" w:hAnsi="Times New Roman;sans-serif"/>
          <w:b w:val="false"/>
          <w:color w:val="231F20"/>
          <w:sz w:val="20"/>
        </w:rPr>
        <w:t>months ended June 30, 2023, respectively (</w:t>
      </w:r>
      <w:r>
        <w:rPr>
          <w:rFonts w:ascii="Times New Roman;sans-serif" w:hAnsi="Times New Roman;sans-serif"/>
          <w:b w:val="false"/>
          <w:color w:val="000000"/>
          <w:sz w:val="20"/>
        </w:rPr>
        <w:t>$4.0 million</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$6.3 million for the three and six</w:t>
      </w:r>
      <w:r>
        <w:rPr>
          <w:color w:val="231F20"/>
        </w:rPr>
        <w:t xml:space="preserve"> </w:t>
      </w:r>
      <w:r>
        <w:rPr>
          <w:rFonts w:ascii="Times New Roman;sans-serif" w:hAnsi="Times New Roman;sans-serif"/>
          <w:b w:val="false"/>
          <w:color w:val="231F20"/>
          <w:sz w:val="20"/>
        </w:rPr>
        <w:t>months ended June 30, 2022, respectively</w:t>
      </w:r>
      <w:r>
        <w:rPr>
          <w:rFonts w:ascii="Times New Roman;sans-serif" w:hAnsi="Times New Roman;sans-serif"/>
          <w:b w:val="false"/>
          <w:color w:val="000000"/>
          <w:sz w:val="20"/>
        </w:rPr>
        <w:t>). The increase over the prior year periods reflects the impact of rising interest rates on our variable rate senior and trust preferred debt and crediting fees on the Funds Withheld Account balance under the Casualty Re LPT ($944,000 and $2.0 million for the three and six</w:t>
      </w:r>
      <w:r>
        <w:rPr>
          <w:color w:val="231F20"/>
        </w:rPr>
        <w:t xml:space="preserve"> </w:t>
      </w:r>
      <w:r>
        <w:rPr>
          <w:rFonts w:ascii="Times New Roman;sans-serif" w:hAnsi="Times New Roman;sans-serif"/>
          <w:b w:val="false"/>
          <w:color w:val="231F20"/>
          <w:sz w:val="20"/>
        </w:rPr>
        <w:t xml:space="preserve">months ended June 30, 2023, respectively, </w:t>
      </w:r>
      <w:r>
        <w:rPr>
          <w:rFonts w:ascii="Times New Roman;sans-serif" w:hAnsi="Times New Roman;sans-serif"/>
          <w:b w:val="false"/>
          <w:color w:val="000000"/>
          <w:sz w:val="20"/>
        </w:rPr>
        <w:t>and $1.3 million for both the three and six</w:t>
      </w:r>
      <w:r>
        <w:rPr>
          <w:color w:val="231F20"/>
        </w:rPr>
        <w:t xml:space="preserve"> </w:t>
      </w:r>
      <w:r>
        <w:rPr>
          <w:rFonts w:ascii="Times New Roman;sans-serif" w:hAnsi="Times New Roman;sans-serif"/>
          <w:b w:val="false"/>
          <w:color w:val="231F20"/>
          <w:sz w:val="20"/>
        </w:rPr>
        <w:t>months ended June 30, 2022)</w:t>
      </w:r>
      <w:r>
        <w:rPr>
          <w:rFonts w:ascii="Times New Roman;sans-serif" w:hAnsi="Times New Roman;sans-serif"/>
          <w:b w:val="false"/>
          <w:color w:val="000000"/>
          <w:sz w:val="20"/>
        </w:rPr>
        <w:t>. See “—Liquidity and Capital Resources—Sources and Uses of Funds” for more information regarding our senior bank debt facilities and trust preferred securities.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Amortization of Intangibles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$91,000 of amortization of intangible assets in each of the three months ended June 30, 2023 and 2022 ($182,000 in each of the six months ended June 30, 2023 and 2022).</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or expenses on share based compensation. For the three and six months ended June 30, 2023, our U.S. federal income tax expense was 23.6% and 23.9%, respectively, of the income before taxes (25.3% and 24.9% in the respective prior year periods). The effective rate exceeded the 21.0% U.S. statutory rate in all periods due to projected annual losses in Bermuda that do not provide a tax benefit and due to discrete items in the respective periods primarily related to excess tax expenses associated with vested restricted share units (“RSUs”).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Reserves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indicator of reserve strength that we monitor closely is the percentage of our gross and net loss reserves that are comprised of incurred but not reported (“IBNR”) reserves.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gross reserve for losses and loss adjustment expenses at June 30, 2023 was $2,885.4 million. Of this amount, 64.0% relates to amounts that are IBNR. This amount was 61.5% at December 31, 2022. The Company’s gross reserves for losses and loss adjustment expenses by segment are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tbl>
      <w:tblPr>
        <w:tblW w:w="7107" w:type="dxa"/>
        <w:jc w:val="left"/>
        <w:tblInd w:w="0" w:type="dxa"/>
        <w:tblLayout w:type="fixed"/>
        <w:tblCellMar>
          <w:top w:w="28" w:type="dxa"/>
          <w:left w:w="28" w:type="dxa"/>
          <w:bottom w:w="28" w:type="dxa"/>
          <w:right w:w="28" w:type="dxa"/>
        </w:tblCellMar>
      </w:tblPr>
      <w:tblGrid>
        <w:gridCol w:w="911"/>
        <w:gridCol w:w="801"/>
        <w:gridCol w:w="808"/>
        <w:gridCol w:w="211"/>
        <w:gridCol w:w="976"/>
        <w:gridCol w:w="109"/>
        <w:gridCol w:w="109"/>
        <w:gridCol w:w="109"/>
        <w:gridCol w:w="109"/>
        <w:gridCol w:w="211"/>
        <w:gridCol w:w="976"/>
        <w:gridCol w:w="109"/>
        <w:gridCol w:w="109"/>
        <w:gridCol w:w="109"/>
        <w:gridCol w:w="109"/>
        <w:gridCol w:w="211"/>
        <w:gridCol w:w="97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Gross Reserves at June 30, 2023</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2,885,379 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 amount of net reserves (prior to the $670,000 allowance for uncollectible reinsurance recoverables) of $1,339.0 million that related to IBNR was 70.3%. This amount was 66.6% at December 31, 2022. The Company’s net reserves for losses and loss adjustment expenses by segment are summarized as follows:</w:t>
      </w:r>
    </w:p>
    <w:tbl>
      <w:tblPr>
        <w:tblW w:w="6807" w:type="dxa"/>
        <w:jc w:val="left"/>
        <w:tblInd w:w="0" w:type="dxa"/>
        <w:tblLayout w:type="fixed"/>
        <w:tblCellMar>
          <w:top w:w="28" w:type="dxa"/>
          <w:left w:w="28" w:type="dxa"/>
          <w:bottom w:w="28" w:type="dxa"/>
          <w:right w:w="28" w:type="dxa"/>
        </w:tblCellMar>
      </w:tblPr>
      <w:tblGrid>
        <w:gridCol w:w="911"/>
        <w:gridCol w:w="801"/>
        <w:gridCol w:w="808"/>
        <w:gridCol w:w="211"/>
        <w:gridCol w:w="826"/>
        <w:gridCol w:w="109"/>
        <w:gridCol w:w="109"/>
        <w:gridCol w:w="109"/>
        <w:gridCol w:w="109"/>
        <w:gridCol w:w="211"/>
        <w:gridCol w:w="826"/>
        <w:gridCol w:w="109"/>
        <w:gridCol w:w="109"/>
        <w:gridCol w:w="109"/>
        <w:gridCol w:w="109"/>
        <w:gridCol w:w="211"/>
        <w:gridCol w:w="97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Reserves at June 30, 2023</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1,338,973 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Sources and Uses of Funds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sources of funds consist primarily of premiums written, investment income, reinsurance recoveries, proceeds from sales and redemptions of investments, borrowings on our credit facilities, and the issuance of common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or reinsurance contract means that substantial and unpredictable payments may need to be made within relatively short periods of time.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7943" w:type="dxa"/>
        <w:jc w:val="left"/>
        <w:tblInd w:w="0" w:type="dxa"/>
        <w:tblLayout w:type="fixed"/>
        <w:tblCellMar>
          <w:top w:w="28" w:type="dxa"/>
          <w:left w:w="28" w:type="dxa"/>
          <w:bottom w:w="28" w:type="dxa"/>
          <w:right w:w="28" w:type="dxa"/>
        </w:tblCellMar>
      </w:tblPr>
      <w:tblGrid>
        <w:gridCol w:w="1950"/>
        <w:gridCol w:w="1712"/>
        <w:gridCol w:w="1722"/>
        <w:gridCol w:w="211"/>
        <w:gridCol w:w="721"/>
        <w:gridCol w:w="109"/>
        <w:gridCol w:w="109"/>
        <w:gridCol w:w="109"/>
        <w:gridCol w:w="109"/>
        <w:gridCol w:w="211"/>
        <w:gridCol w:w="826"/>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provided by (used in):</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 (excluding restricted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cash equivalents (operating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excluding restricted cash equivalents of $40.3 million and $139.2 million for the six months ended June 30, 2023 and 2022, respectively, was driven by the growth in our U.S. segments and the collection of premiums receivable at a quicker rate than payments of loss and loss adjustment expenses. The cash provided by operating activities declined relative to the prior year due to the suspension of underwriting activities in the Casualty Reinsurance segment earlier this year.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of $27.1 million for the six months ended June 30, 2023 primarily reflects the suspension of underwriting activities in the Casualty Reinsurance segment earlier this year and the withdrawal of invested assets to fund claims and operating expenses for the segment. Cash used in investing activities of $75.1 million for the six months ended June 30, 2022 reflects our efforts to enhance the yield in our investment portfolio by investing available cash and cash equivalents into higher yielding investments. Cash and cash equivalents (excluding restricted cash equivalents) comprised 9.4% and 14.7% of total cash and invested assets at June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of $13.3 million for the six months ended June 30, 2023 includes $3.9 million of dividends paid to common shareholders and $7.9 million of dividends paid on the Series A Preferred Shares. Cash provided by financing activities of $96.5 million for the six months ended June 30, 2022 includes $144.9 million of net proceeds (after expenses) from the issuance and sale of 150,000 Series A Preferred Shares on March 1, 2022. The proceeds were used for general corporate purposes and to repay $40.0 million of loans outstanding on the 2017 Facility (as defined below) on March 28, 2022. Financing activities for the six months ended June 30, 2022 also include $4.0 million of dividends paid to common shareholders and $3.5 million of dividends paid on the Series A Preferred Shares.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activity in restricted cash equivalents for the six months ended June 30, 2023 and 2022 relates to a former insured, per the terms of a collateral trust. See </w:t>
      </w:r>
      <w:r>
        <w:rPr>
          <w:rFonts w:ascii="Times New Roman;sans-serif" w:hAnsi="Times New Roman;sans-serif"/>
          <w:b w:val="false"/>
          <w:i/>
          <w:color w:val="000000"/>
          <w:sz w:val="20"/>
        </w:rPr>
        <w:t xml:space="preserve">Amounts Recoverable from an Indemnifying Party and Reinsurer on Legacy Commercial Auto Book </w:t>
      </w:r>
      <w:r>
        <w:rPr>
          <w:rFonts w:ascii="Times New Roman;sans-serif" w:hAnsi="Times New Roman;sans-serif"/>
          <w:b w:val="false"/>
          <w:color w:val="000000"/>
          <w:sz w:val="20"/>
        </w:rPr>
        <w:t>below.</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 – U.S. Insurance Regulation – State Regulation” in our Annual Report on Form 10-K for the year ended December 31, 2022 filed with the SEC on February 28, 2023 for additional information. The maximum amount of dividends available to the U.S. holding company from our U.S. insurance subsidiaries during 2023 without regulatory approval is $53.7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See “Item 1. Business – Regulation – Restrictions on Dividends and Distributions” in our Annual Report on Form 10-K for the year ended December 31, 2022 filed with the SEC on February 28, 2023 for additional information. Based on that calculation, the maximum combined amount of dividends and return of capital available to us from JRG Re without regulatory approval in 2023 is calculated to be approximately $93.9 million. However, any dividend payment is contingent upon continued compliance with Bermuda regulatory requirements, including but not limited to the enhanced solvency requirement calculations.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Series A Preferred Shares are entitled to a dividend at the initial rate of 7% of the Liquidation Preference per annum, paid in cash, in-kind in common shares or in Series A Preferred Shares, at our election. On the five-year anniversary of the Closing Date, and each five-year anniversary thereafter, the dividend rate will reset to a rate equal to the five-year U.S. treasury rate plus 5.2%. Dividends accrue and are payable quarterly. Cash dividends of $7.9 million were paid in the six months ended June 30, 2023 including cash dividends paid in January, March, and June for the three month periods ended December 31, 2022, March 31, 2023, and June 30, 2023,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 Bermuda holding company had $2.3 million of cash and cash equivalents. The U.S. holding company had $22.8 million of cash and invested assets, comprised of cash and cash equivalents of $20.2 million and other invested assets of $2.6 million, which are not subject to regulatory restrictions. Additionally, our U.K. intermediate holding company had no invested assets and cash of less than ten thousand dollars at June 30, 2023.</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$315.0 million senior revolving credit facility (as amended or amended and restated, the “2013 Facility”). The 2013 Facility is comprised of the following at June 30, 2023:</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$102.5 million secured revolving facility used by JRG Re to issue letters of credit for the benefit of third-party reinsureds. This portion of our credit facility is secured by our investment securities. At June 30, 2023, the Company had $42.3 million of letters of credit issued under the secured facility.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 $212.5 million unsecured revolving facility to meet the working capital needs of the Company. All unpaid principal on the revolver is due at maturity. Interest accrues and is payable in arrears, currently at 1-month SOFR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per the terms of the credit agreement, can elect between one, two, three, or six month interest periods) plus a 0.1% SOFR index adjustment and a SOFR margin which is currently 1.5% and is subject to change according to terms in the credit agreement. At June 30, 2023, the Company had a drawn balance of $185.8 million outstanding on the unsecured revolver.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7, 2023, the Company entered into a Third Amended and Restated Credit Agreement for its $315.0 million senior revolving credit facility which, among other things, extended the maturity date of such facility until July 7, 2026 and increased the applicable interest rate and letter of credit fees.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2013 Facility contains certain financial and other covenants (including minimum net worth, maximum ratio of total adjusted debt outstanding to total capitalization, and financial strength ratings) with which the Company was in compliance at June 30,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June 30, 2023. The loans and letters of credit made or issued under the revolving line of credit of the 2017 Facility may be used to finance the borrowers' general corporate purposes. The 2017 Facility has been amended from time to time since its inception in 2017, including on November 8, 2019 when the Company entered into a First Amendment to Credit Agreement which, among other things, lowered the applicable interest rate and modified certain negative covenants to be less restrictive. Interest accrues and is payable in arrears at variable rates which are subject to change according to terms in the credit agreement. At June 30, 2023, unsecured loans of $21.5 million and secured letters of credit totaling $28.2 million were outstanding on the 2017 Facility. During the three months ended March 31, 2022, the Company repaid $40.0 million of loans that were outstanding under the 2017 Facility.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26,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June 30, 2023, and which, among other things, restrict our ability to assume senior indebtedness secured by our U.S. holding company’s common stock or its subsidiaries’ capital stock or to issue shares of its subsidiaries’ capital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nature and terms of the junior subordinated debt and trust preferred securities outstanding at June 30, 2023 (including the Company’s repurchases of a portion of these trust preferred securities):</w:t>
      </w:r>
    </w:p>
    <w:tbl>
      <w:tblPr>
        <w:tblW w:w="10205" w:type="dxa"/>
        <w:jc w:val="left"/>
        <w:tblInd w:w="0" w:type="dxa"/>
        <w:tblLayout w:type="fixed"/>
        <w:tblCellMar>
          <w:top w:w="28" w:type="dxa"/>
          <w:left w:w="28" w:type="dxa"/>
          <w:bottom w:w="28" w:type="dxa"/>
          <w:right w:w="28" w:type="dxa"/>
        </w:tblCellMar>
      </w:tblPr>
      <w:tblGrid>
        <w:gridCol w:w="1180"/>
        <w:gridCol w:w="889"/>
        <w:gridCol w:w="902"/>
        <w:gridCol w:w="364"/>
        <w:gridCol w:w="364"/>
        <w:gridCol w:w="339"/>
        <w:gridCol w:w="109"/>
        <w:gridCol w:w="109"/>
        <w:gridCol w:w="109"/>
        <w:gridCol w:w="494"/>
        <w:gridCol w:w="416"/>
        <w:gridCol w:w="367"/>
        <w:gridCol w:w="109"/>
        <w:gridCol w:w="109"/>
        <w:gridCol w:w="109"/>
        <w:gridCol w:w="364"/>
        <w:gridCol w:w="364"/>
        <w:gridCol w:w="339"/>
        <w:gridCol w:w="109"/>
        <w:gridCol w:w="109"/>
        <w:gridCol w:w="109"/>
        <w:gridCol w:w="494"/>
        <w:gridCol w:w="416"/>
        <w:gridCol w:w="367"/>
        <w:gridCol w:w="109"/>
        <w:gridCol w:w="109"/>
        <w:gridCol w:w="109"/>
        <w:gridCol w:w="398"/>
        <w:gridCol w:w="350"/>
        <w:gridCol w:w="490"/>
      </w:tblGrid>
      <w:tr>
        <w:trPr/>
        <w:tc>
          <w:tcPr>
            <w:tcW w:w="11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Franklin</w:t>
              <w:br/>
              <w:t>Holdings II</w:t>
              <w:br/>
              <w:t>(Bermuda)</w:t>
              <w:br/>
              <w:t>Capital</w:t>
              <w:br/>
              <w:t>Trust I</w:t>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Issue date</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26,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11,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10, 2008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trust preferred securities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$30,000</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junior subordinated debt</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$30,928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Carrying amount of junior subordinated debt net of repurchases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Maturity date of junior subordinated debt, unless accelerated earlier</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24,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15, 2038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common stock</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per annum</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4.0%</w:t>
            </w:r>
          </w:p>
        </w:tc>
      </w:tr>
    </w:tbl>
    <w:p>
      <w:pPr>
        <w:pStyle w:val="TextBody"/>
        <w:bidi w:val="0"/>
        <w:spacing w:lineRule="auto" w:line="288" w:before="10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junior subordinated debt is currently redeemable at 100.0% of the unpaid principal amount at our option.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junior subordinated debt contains certain covenants with which we are in compliance as of June 30,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the Company's leverage ratio was 22.3% and 22.9%, respectively. The leverage ratio is defined in our senior credit agreements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total debt plus tangible equity excluding accumulated other comprehensive income. The maximum leverage ratio permitted by the agreements is 35.0%. We believe having debt as part of our capital structure allows us to generate a higher return on equity and greater book value per share results than we could by using equity capital alone.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Ceded Reinsurance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June 30, 2023 and 2022, our net premium retention was 51.0% and 48.7%, respectively. For the six months ended June 30, 2023 and 2022, our net premium retention was 50.7% and 48.8%,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Excess and Surplus Lines segment’s ceded reinsurance in place as of June 30, 2023:</w:t>
      </w:r>
    </w:p>
    <w:tbl>
      <w:tblPr>
        <w:tblW w:w="10205" w:type="dxa"/>
        <w:jc w:val="left"/>
        <w:tblInd w:w="0" w:type="dxa"/>
        <w:tblLayout w:type="fixed"/>
        <w:tblCellMar>
          <w:top w:w="28" w:type="dxa"/>
          <w:left w:w="28" w:type="dxa"/>
          <w:bottom w:w="28" w:type="dxa"/>
          <w:right w:w="28" w:type="dxa"/>
        </w:tblCellMar>
      </w:tblPr>
      <w:tblGrid>
        <w:gridCol w:w="1529"/>
        <w:gridCol w:w="1317"/>
        <w:gridCol w:w="1317"/>
        <w:gridCol w:w="109"/>
        <w:gridCol w:w="109"/>
        <w:gridCol w:w="109"/>
        <w:gridCol w:w="1701"/>
        <w:gridCol w:w="1660"/>
        <w:gridCol w:w="2354"/>
      </w:tblGrid>
      <w:tr>
        <w:trPr/>
        <w:tc>
          <w:tcPr>
            <w:tcW w:w="152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 Retention</w:t>
            </w:r>
          </w:p>
        </w:tc>
      </w:tr>
      <w:tr>
        <w:trPr/>
        <w:tc>
          <w:tcPr>
            <w:tcW w:w="4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Primary Specialty Casualty, including Professional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$1.0 million per occurrence, subject to a $1.0 million aggregate deductible.</w:t>
            </w:r>
            <w:r>
              <w:rPr>
                <w:rFonts w:ascii="Times New Roman;sans-serif" w:hAnsi="Times New Roman;sans-serif"/>
                <w:b w:val="false"/>
                <w:color w:val="000000"/>
                <w:sz w:val="13"/>
              </w:rPr>
              <w:t>(1)</w:t>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Primary Casualty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$2.0 million per occurrence.</w:t>
            </w:r>
            <w:r>
              <w:rPr>
                <w:rFonts w:ascii="Times New Roman;sans-serif" w:hAnsi="Times New Roman;sans-serif"/>
                <w:b w:val="false"/>
                <w:color w:val="000000"/>
                <w:sz w:val="13"/>
              </w:rPr>
              <w:t>(2)</w:t>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$2.0 million per occurrence.</w:t>
            </w:r>
            <w:r>
              <w:rPr>
                <w:rFonts w:ascii="Times New Roman;sans-serif" w:hAnsi="Times New Roman;sans-serif"/>
                <w:b w:val="false"/>
                <w:color w:val="000000"/>
                <w:sz w:val="13"/>
              </w:rPr>
              <w:t>(3)</w:t>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$5.0 million per event.</w:t>
            </w:r>
            <w:r>
              <w:rPr>
                <w:rFonts w:ascii="Times New Roman;sans-serif" w:hAnsi="Times New Roman;sans-serif"/>
                <w:b w:val="false"/>
                <w:color w:val="000000"/>
                <w:sz w:val="13"/>
              </w:rPr>
              <w:t>(4)</w:t>
            </w:r>
          </w:p>
        </w:tc>
      </w:tr>
    </w:tbl>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    Except for Life Sciences quota share carve out, which is up to $2.0 million per occurrence.</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    Total exposure to any one claim is generally $1.0 million.</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(3)    For policies with an occurrence limit up to $10.0 million, the excess casualty treaty is set such that our retention is no more than $2.0 million.</w:t>
      </w:r>
    </w:p>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(4)    The property catastrophe reinsurance treaty has a limit of $20.0 million with one reinstatement.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our Excess and Surplus Lines segment, we write a small book of excess property insurance, but we do not write primary property insurance. The Excess and Surplus Lines segment has a specific quota share treaty in effect to cover property risks. The quota share treaty along with facultative reinsurance helps ensure that our net retained limit per risk will be $5.0 million or less.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modeling of our Excess and Surplus Lines and Specialty Admitted segments, it would take an event greater than the 1 in 1000 year PML to exhaust our $20.0 million property catastrophe reinsurance. In the event of a catastrophe loss exhausting our $20.0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pStyle w:val="TextBody"/>
        <w:bidi w:val="0"/>
        <w:spacing w:lineRule="auto" w:line="288" w:before="0" w:after="120"/>
        <w:ind w:left="0" w:right="0" w:firstLine="405"/>
        <w:jc w:val="both"/>
        <w:rPr/>
      </w:pPr>
      <w:r>
        <w:rPr>
          <w:rFonts w:ascii="Times New Roman;sans-serif" w:hAnsi="Times New Roman;sans-serif"/>
          <w:b w:val="false"/>
          <w:color w:val="000000"/>
          <w:sz w:val="20"/>
        </w:rPr>
        <w:t>The Commercial Auto LPT with Aleka reinsures substantially all of the Excess and Surplus Lines segment’s legacy portfolio of commercial auto policies previously issued to Rasier. See “</w:t>
      </w:r>
      <w:r>
        <w:rPr>
          <w:rFonts w:ascii="Times New Roman;sans-serif" w:hAnsi="Times New Roman;sans-serif"/>
          <w:b w:val="false"/>
          <w:i/>
          <w:color w:val="000000"/>
          <w:sz w:val="20"/>
        </w:rPr>
        <w:t>Amounts Recoverable from an Indemnifying Party and Reinsurer on the Legacy Commercial Auto Book</w:t>
      </w:r>
      <w:r>
        <w:rPr>
          <w:color w:val="000000"/>
        </w:rPr>
        <w:t xml:space="preserve">” </w:t>
      </w:r>
      <w:r>
        <w:rPr>
          <w:rFonts w:ascii="Times New Roman;sans-serif" w:hAnsi="Times New Roman;sans-serif"/>
          <w:b w:val="false"/>
          <w:color w:val="000000"/>
          <w:sz w:val="20"/>
        </w:rPr>
        <w:t>below for further information on this reinsurance agreement.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Specialty Admitted Insurance segment’s ceded reinsurance in place as of June 30, 2023:</w:t>
      </w:r>
    </w:p>
    <w:tbl>
      <w:tblPr>
        <w:tblW w:w="10205" w:type="dxa"/>
        <w:jc w:val="left"/>
        <w:tblInd w:w="0" w:type="dxa"/>
        <w:tblLayout w:type="fixed"/>
        <w:tblCellMar>
          <w:top w:w="28" w:type="dxa"/>
          <w:left w:w="28" w:type="dxa"/>
          <w:bottom w:w="28" w:type="dxa"/>
          <w:right w:w="28" w:type="dxa"/>
        </w:tblCellMar>
      </w:tblPr>
      <w:tblGrid>
        <w:gridCol w:w="1062"/>
        <w:gridCol w:w="696"/>
        <w:gridCol w:w="644"/>
        <w:gridCol w:w="109"/>
        <w:gridCol w:w="109"/>
        <w:gridCol w:w="109"/>
        <w:gridCol w:w="2327"/>
        <w:gridCol w:w="2112"/>
        <w:gridCol w:w="3037"/>
      </w:tblGrid>
      <w:tr>
        <w:trPr/>
        <w:tc>
          <w:tcPr>
            <w:tcW w:w="10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Coverage</w:t>
            </w:r>
          </w:p>
        </w:tc>
      </w:tr>
      <w:tr>
        <w:trPr/>
        <w:tc>
          <w:tcPr>
            <w:tcW w:w="2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Workers’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of loss coverage for $29.5 million in excess of $500,000.</w:t>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50%-90% of limits up to $1.5 million liability and $7.5 million physical damage per occurrence.</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Liability &amp; Professional Liability –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62.5%-100% of limits up to $3.0 million per occurrence.</w:t>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Umbrella and Excess Casualty -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at least 65% of limits up to $10.0 million per occurrence, and 75% of excess of loss coverage for $5.0 million in excess of $10.0 million.</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within Package - Programs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$40.0 million per occurrence.</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$58.9 million.</w:t>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Catastrophe Coverage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Excess of Loss coverage for $20.0 million in excess of $5.0 million per occurrence.</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80% of limits up to $20 million liability and $2.5 million hull per occurrence, each aircraft; and excess of loss coverage for up to $8.7M excess of $300,000 of our 20% share of the quota share each occurrence.</w:t>
            </w:r>
          </w:p>
        </w:tc>
      </w:tr>
    </w:tbl>
    <w:p>
      <w:pPr>
        <w:pStyle w:val="TextBody"/>
        <w:bidi w:val="0"/>
        <w:spacing w:lineRule="auto" w:line="288" w:before="12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$20.0 million in excess of $5.0 million per occurrence to manage its property exposure to an approximate 1 in 1,000 year PML.</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our Casualty Reinsurance segment, we also have limited property catastrophe exposure on treaties in run-off, primarily through auto physical damage coverage. In the aggregate, we believe our pre-tax group-wide PML from a 1 in 1,000 year property catastrophe event would not exceed 2.5% of shareholders’ equity, inclusive of reinstatement premiums payable.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JRG Re entered into the Casualty Re LPT with FRL to reinsure the majority of the segment risk, which closed on March 31, 2022. Under the terms of the transaction,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had a contingency clash reinsurance treaty to cover both the Excess and Surplus Lines and Specialty Admitted Insurance segments in the event of a claim incident involving more than one of our insureds in addition to Extra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and Excess Policy Limits protection. The treaty covered $10.0 million in excess of a $2.0 million retention for loss occurrences within the treaty term. This coverage was put into runoff effective July 1, 2022. As of June 30, 2023, our average net retained limit per risk is $2.5 million.</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2020, we purchased an additional $10.0 million in claims made coverage for excess policy limits and extra contractual obligations exposures above the clash and contingency treaty for the period 2014 to present. This treaty had one reinstatement and expired on December 31, 2022.</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June 30, 2023, the allowance for credit losses on reinsurance recoverables was $670,000.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we had reinsurance recoverables on unpaid losses of $1,545.7 million (net of a $670,000 allowance for credit losses) and reinsurance recoverables on paid losses of $182.0 million, and all material recoverable amounts were from companies with A.M. Best ratings of “A-" (Excellent) or better, or are collateralized by the reinsurer for our benefit through letters of credit or funds on deposit in trust accounts.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under the Indemnity Agreements and the Commercial Auto LPT, respectively:</w:t>
      </w:r>
    </w:p>
    <w:p>
      <w:pPr>
        <w:pStyle w:val="TextBody"/>
        <w:bidi w:val="0"/>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June 30, 2023, the balance in the Indemnity Trust was $187.3 million, and, together with the balance of the Loss Fund Trust (as defined below) attributable to the Indemnity Agreements as described below, the total balance of collateral securing Rasier’s obligations under the Indemnity Agreements was $256.5 million.</w:t>
      </w:r>
    </w:p>
    <w:p>
      <w:pPr>
        <w:pStyle w:val="TextBody"/>
        <w:bidi w:val="0"/>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Commercial Auto LPT, Aleka is required to post collateral equal to 102% of James River's estimate of Aleka's obligations under the Commercial Auto LPT, calculated in accordance with statutory actuarial principles and based on reserves recorded in the Company's statutory financial statements. The collateral is provided through a collateral trust arrangement (the “LPT Trust”) established in favor of James River by Aleka. At June 30, 2023, the balance in the LPT Trust was $85.6 million, and, together with the balance of the Loss Fund Trust (as defined below) attributable to the Commercial Auto LPT as described below, the total balance of collateral securing Aleka’s obligations under the Commercial Auto LPT was $113.8 million. At June 30, 2023, the total reinsurance recoverables under the Commercial Auto LPT was $122.4 million (including $111.9 million of unpaid recoverables and $10.5 million of paid recoverables).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June 30, 2023, the balance in the Loss Fund Trust was $105.5 million, including $69.2 million representing collateral supporting Rasier’s obligations under the Indemnity Agreements and $28.2 million representing collateral supporting Aleka’s obligations under the Commercial Auto LPT. Funds posted to the Loss Fund Trust are classified as restricted cash equivalents on the Company's balance sheet.</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Ratings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A.M. Best financial strength rating for our group’s regulated insurance and reinsurance subsidiaries is “A-” (Excellent) with a stable outlook. This rating reflects A.M. Best’s opinion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and reinsurance subsidiaries allow our subsidiaries to actively pursue relationships with the agents and brokers identified in their marketing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Series A Preferred Shares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Liquidation Preference per annum, which may be paid in cash, in-kind in common shares or in Series A Preferred Shares, at the Company’s election.</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EQUITY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common shares outstanding increased from 37,470,237 at December 31, 2022 to 37,619,226 at June 30, 2023, reflecting 148,989 common shares issued in the six months ended June 30, 2023 related to vesting of RSUs.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Share Based Compensation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the Company recognized $2.3 million and $2.2 million of share based compensation expense, respectively ($5.0 million and $4.0 million in the six month periods ended June 30, 2023 and 2022, respectively). As of June 30, 2023, the Company had $14.8 million of unrecognized share based compensation expense expected to be charged to earnings over a weighted-average period of 2.0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Options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activity:</w:t>
      </w:r>
    </w:p>
    <w:tbl>
      <w:tblPr>
        <w:tblW w:w="7251" w:type="dxa"/>
        <w:jc w:val="left"/>
        <w:tblInd w:w="0" w:type="dxa"/>
        <w:tblLayout w:type="fixed"/>
        <w:tblCellMar>
          <w:top w:w="28" w:type="dxa"/>
          <w:left w:w="28" w:type="dxa"/>
          <w:bottom w:w="28" w:type="dxa"/>
          <w:right w:w="28" w:type="dxa"/>
        </w:tblCellMar>
      </w:tblPr>
      <w:tblGrid>
        <w:gridCol w:w="809"/>
        <w:gridCol w:w="711"/>
        <w:gridCol w:w="715"/>
        <w:gridCol w:w="449"/>
        <w:gridCol w:w="451"/>
        <w:gridCol w:w="196"/>
        <w:gridCol w:w="109"/>
        <w:gridCol w:w="109"/>
        <w:gridCol w:w="109"/>
        <w:gridCol w:w="211"/>
        <w:gridCol w:w="616"/>
        <w:gridCol w:w="109"/>
        <w:gridCol w:w="109"/>
        <w:gridCol w:w="109"/>
        <w:gridCol w:w="109"/>
        <w:gridCol w:w="413"/>
        <w:gridCol w:w="413"/>
        <w:gridCol w:w="196"/>
        <w:gridCol w:w="109"/>
        <w:gridCol w:w="109"/>
        <w:gridCol w:w="109"/>
        <w:gridCol w:w="211"/>
        <w:gridCol w:w="61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end of period</w:t>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outstanding options are fully vested (vesting period of three years from date of grant) and have a contractual life of seven years from the original date of grant.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RSUs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w:t>
      </w:r>
    </w:p>
    <w:tbl>
      <w:tblPr>
        <w:tblW w:w="7702" w:type="dxa"/>
        <w:jc w:val="left"/>
        <w:tblInd w:w="0" w:type="dxa"/>
        <w:tblLayout w:type="fixed"/>
        <w:tblCellMar>
          <w:top w:w="28" w:type="dxa"/>
          <w:left w:w="28" w:type="dxa"/>
          <w:bottom w:w="28" w:type="dxa"/>
          <w:right w:w="28" w:type="dxa"/>
        </w:tblCellMar>
      </w:tblPr>
      <w:tblGrid>
        <w:gridCol w:w="939"/>
        <w:gridCol w:w="825"/>
        <w:gridCol w:w="830"/>
        <w:gridCol w:w="449"/>
        <w:gridCol w:w="451"/>
        <w:gridCol w:w="196"/>
        <w:gridCol w:w="109"/>
        <w:gridCol w:w="109"/>
        <w:gridCol w:w="109"/>
        <w:gridCol w:w="213"/>
        <w:gridCol w:w="622"/>
        <w:gridCol w:w="110"/>
        <w:gridCol w:w="109"/>
        <w:gridCol w:w="109"/>
        <w:gridCol w:w="109"/>
        <w:gridCol w:w="449"/>
        <w:gridCol w:w="451"/>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period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(112,353)</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period</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801,581 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RSUs granted to employees generally vest ratably over a three year vesting period. RSUs granted to non-employee directors have a one year vesting period. The RSUs granted in 2023 include 91,818 PRSU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Underwriting Performance Ratios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underwriting performance ratios of the Company inclusive of the business subject to retroactive reinsurance accounting for loss portfolio transfers. There is no economic impact to the Company over the life of a loss portfolio transfer contract so long as any additional losses subject to the contract are within the limit of the loss portfolio transfer and the counterparty performs under the contract. Retroactive reinsurance accounting is not indicative of our current and ongoing operations. Management believes that providing loss ratios and combined ratios on business not subject to retroactive reinsurance accounting for loss portfolio transfers gives the users of our financial statements useful information in evaluating our current and ongoing operations.</w:t>
      </w:r>
    </w:p>
    <w:tbl>
      <w:tblPr>
        <w:tblW w:w="9747" w:type="dxa"/>
        <w:jc w:val="left"/>
        <w:tblInd w:w="0" w:type="dxa"/>
        <w:tblLayout w:type="fixed"/>
        <w:tblCellMar>
          <w:top w:w="28" w:type="dxa"/>
          <w:left w:w="28" w:type="dxa"/>
          <w:bottom w:w="28" w:type="dxa"/>
          <w:right w:w="28" w:type="dxa"/>
        </w:tblCellMar>
      </w:tblPr>
      <w:tblGrid>
        <w:gridCol w:w="1811"/>
        <w:gridCol w:w="1596"/>
        <w:gridCol w:w="1603"/>
        <w:gridCol w:w="307"/>
        <w:gridCol w:w="309"/>
        <w:gridCol w:w="333"/>
        <w:gridCol w:w="134"/>
        <w:gridCol w:w="134"/>
        <w:gridCol w:w="134"/>
        <w:gridCol w:w="255"/>
        <w:gridCol w:w="256"/>
        <w:gridCol w:w="333"/>
        <w:gridCol w:w="109"/>
        <w:gridCol w:w="109"/>
        <w:gridCol w:w="109"/>
        <w:gridCol w:w="307"/>
        <w:gridCol w:w="309"/>
        <w:gridCol w:w="292"/>
        <w:gridCol w:w="117"/>
        <w:gridCol w:w="117"/>
        <w:gridCol w:w="117"/>
        <w:gridCol w:w="307"/>
        <w:gridCol w:w="309"/>
        <w:gridCol w:w="340"/>
      </w:tblGrid>
      <w:tr>
        <w:trPr/>
        <w:tc>
          <w:tcPr>
            <w:tcW w:w="181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Excess and Surplus Lines: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Casualty Reinsurance:</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RECONCILIATION OF NON-GAAP MEASURES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See “Key Metrics” above for descriptions of why management believes the following Non-GAAP measures provide useful information about our financial condition and results of operation.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Reconciliation of Underwriting Profit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underwriting profit as net earned premiums and gross fee income (in specific instances when the Company is not retaining insurance risk) less losses and loss adjustment expenses on business not subject to retroactive reinsurance accounting for loss portfolio transfers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profit (loss) of the operating segments by individual segment to consolidated income before income taxes:</w:t>
      </w:r>
    </w:p>
    <w:tbl>
      <w:tblPr>
        <w:tblW w:w="10205" w:type="dxa"/>
        <w:jc w:val="left"/>
        <w:tblInd w:w="0" w:type="dxa"/>
        <w:tblLayout w:type="fixed"/>
        <w:tblCellMar>
          <w:top w:w="28" w:type="dxa"/>
          <w:left w:w="28" w:type="dxa"/>
          <w:bottom w:w="28" w:type="dxa"/>
          <w:right w:w="28" w:type="dxa"/>
        </w:tblCellMar>
      </w:tblPr>
      <w:tblGrid>
        <w:gridCol w:w="1817"/>
        <w:gridCol w:w="1594"/>
        <w:gridCol w:w="160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the operating segments: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profit of operating segments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color w:val="000000"/>
                <w:sz w:val="16"/>
              </w:rPr>
              <w:t>(1)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(1)Included in underwriting results for the three and six months ended June 30, 2023 is gross fee income of $5.8 million and $11.5 million, respectively ($5.9 million and $11.4 million in the respective prior year periods).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Reconciliation of Adjusted Net Operating Income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is defined as income available to common shareholders excluding a) the impact of loss portfolio transfers accounted for as retroactive reinsurance, b) net realized and unrealized gains (losses) on investments, c) certain non-operating expenses such as professional service fees related to a purported class action lawsuit, various strategic initiatives, and the filing of registration statements for the offering of securities, and d) severance costs associated with terminated employees. Adjusted net operating income should not be viewed as a substitute for net income calculated in accordance with GAAP, and our definition of adjusted net operating income may not be comparable to that of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available to common shareholders reconciles to our adjusted net operating income as follows:</w:t>
      </w:r>
    </w:p>
    <w:tbl>
      <w:tblPr>
        <w:tblW w:w="10205" w:type="dxa"/>
        <w:jc w:val="left"/>
        <w:tblInd w:w="0" w:type="dxa"/>
        <w:tblLayout w:type="fixed"/>
        <w:tblCellMar>
          <w:top w:w="28" w:type="dxa"/>
          <w:left w:w="28" w:type="dxa"/>
          <w:bottom w:w="28" w:type="dxa"/>
          <w:right w:w="28" w:type="dxa"/>
        </w:tblCellMar>
      </w:tblPr>
      <w:tblGrid>
        <w:gridCol w:w="1815"/>
        <w:gridCol w:w="1596"/>
        <w:gridCol w:w="16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1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15"/>
        <w:gridCol w:w="1596"/>
        <w:gridCol w:w="16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1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Tangible Equity and Tangible Equity per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Tangible equity is defined as shareholders' equity plus mezzanine Series A Preferred Shares and the unrecognized deferred retroactive reinsurance gain on loss portfolio transfers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current conversion price). Our definitions of tangible equity and tangible equity per share may not be comparable to that of other companies, and they should not be viewed as a substitute for shareholders’ equity and shareholders’ equity per share calculated in accordance with GAAP.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shareholders’ equity to tangible equity as of June 30, 2023, December 31, 2022, and June 30, 2022:</w:t>
      </w:r>
    </w:p>
    <w:tbl>
      <w:tblPr>
        <w:tblW w:w="10205" w:type="dxa"/>
        <w:jc w:val="left"/>
        <w:tblInd w:w="0" w:type="dxa"/>
        <w:tblLayout w:type="fixed"/>
        <w:tblCellMar>
          <w:top w:w="28" w:type="dxa"/>
          <w:left w:w="28" w:type="dxa"/>
          <w:bottom w:w="28" w:type="dxa"/>
          <w:right w:w="28" w:type="dxa"/>
        </w:tblCellMar>
      </w:tblPr>
      <w:tblGrid>
        <w:gridCol w:w="778"/>
        <w:gridCol w:w="683"/>
        <w:gridCol w:w="685"/>
        <w:gridCol w:w="219"/>
        <w:gridCol w:w="862"/>
        <w:gridCol w:w="109"/>
        <w:gridCol w:w="109"/>
        <w:gridCol w:w="109"/>
        <w:gridCol w:w="109"/>
        <w:gridCol w:w="211"/>
        <w:gridCol w:w="616"/>
        <w:gridCol w:w="109"/>
        <w:gridCol w:w="109"/>
        <w:gridCol w:w="109"/>
        <w:gridCol w:w="109"/>
        <w:gridCol w:w="219"/>
        <w:gridCol w:w="862"/>
        <w:gridCol w:w="109"/>
        <w:gridCol w:w="109"/>
        <w:gridCol w:w="109"/>
        <w:gridCol w:w="109"/>
        <w:gridCol w:w="211"/>
        <w:gridCol w:w="616"/>
        <w:gridCol w:w="109"/>
        <w:gridCol w:w="109"/>
        <w:gridCol w:w="109"/>
        <w:gridCol w:w="109"/>
        <w:gridCol w:w="219"/>
        <w:gridCol w:w="862"/>
        <w:gridCol w:w="109"/>
        <w:gridCol w:w="109"/>
        <w:gridCol w:w="109"/>
        <w:gridCol w:w="109"/>
        <w:gridCol w:w="211"/>
        <w:gridCol w:w="616"/>
        <w:gridCol w:w="155"/>
      </w:tblGrid>
      <w:tr>
        <w:trPr/>
        <w:tc>
          <w:tcPr>
            <w:tcW w:w="7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per</w:t>
              <w:br/>
              <w:t>Share</w:t>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equity</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37,470,237 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from assumed conversion of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after assumed conversion of Series A Preferred Shares</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43,259,384 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43,110,395 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43,090,422 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market risk from the information provided in Item 7A of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CEO and CFO, as of June 30, 2023,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June 30, 2023.</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our quarter ended June 30, 2023 that have materially affected, or are reasonably likely to materially affect, our internal control over financial reporting.</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including commercial matters and litigation regarding insurance claims which arise in the ordinary course of business, as well as an alleged class action lawsuit. In addition, the Company is involved from time to time in legal actions which seek extra-contractual damages, punitive damages or penalties, including claims alleging bad faith in handling of insurance claims. We believe that the outcome of such matters, individually and in the aggregate, is not reasonably likely to have a material adverse effect on our consolidated financial position, results of operations or cash flows.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w:t>
      </w:r>
      <w:r>
        <w:rPr>
          <w:rFonts w:ascii="Times New Roman;sans-serif" w:hAnsi="Times New Roman;sans-serif"/>
          <w:b w:val="false"/>
          <w:color w:val="000000"/>
          <w:sz w:val="20"/>
          <w:shd w:fill="FFFFFF" w:val="clear"/>
        </w:rPr>
        <w:t>8</w:t>
      </w:r>
      <w:r>
        <w:rPr>
          <w:rFonts w:ascii="Times New Roman;sans-serif" w:hAnsi="Times New Roman;sans-serif"/>
          <w:b w:val="false"/>
          <w:color w:val="000000"/>
          <w:sz w:val="20"/>
        </w:rPr>
        <w:t>,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The First Amended Complaint and Second Amended Complaint assert claims under Sections 10(b) and 20(a) of the Securities Exchange Act of 1934 on behalf of a putative class of persons and entities that purchased the Company's stock between February 22, 2019 and October 25, 2021, and allege that Defendants failed to make appropriate disclosures concerning the adequacy of reserves for policies that covered Rasier LLC, a subsidiary of Uber Technologies, Inc., and seek unspecified damages, costs, attorneys’ fees and such other relief as the court may deem proper. We believe that the Plaintiffs’ claims are without merit and we intend to vigorously defend this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risk factors in the quarter ended June 30, 2023 from those disclosed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5"/>
        <w:gridCol w:w="234"/>
        <w:gridCol w:w="235"/>
        <w:gridCol w:w="109"/>
        <w:gridCol w:w="109"/>
        <w:gridCol w:w="109"/>
        <w:gridCol w:w="2768"/>
        <w:gridCol w:w="2620"/>
        <w:gridCol w:w="3756"/>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First Amendment to Employment Agreement dated October 28, 2020, by and among Frank N. D’Orazio, James River Group Holdings, Ltd., and its subsidiary James River Group, Inc. (incorporated by reference to Exhibit 10.1 on the Current Report on Form 8-K filed on June 8, 2023; Commission File No. 001-36777)</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Amended and Restated Employment Agreement, dated June 7, 2023, by and among James River Group, Inc., certain subsidiaries of James River Group, Inc. and Terry McCafferty (incorporated by reference to Exhibit 10.2 on the Current Report on Form 8-K filed on June 8, 2023; Commission File No. 001-36777)</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Third Amended and Restated Credit Agreement, dated as of July 7, 2023, by and among James River Group Holdings, Ltd., JRG Reinsurance Company, Ltd., KeyBank National Association, as Administrative Agent and Letter of Credit Issuer, KeyBank National Association and Truist Securities, Inc. as Joint Book Runners and Joint Lead Arrangers, Truist Bank as Syndication Agent, and the lender parties thereto (incorporated by reference to Exhibit 10.1 on the Current Report on Form 8-K filed on July 12, 2023; Commission File No. 001-36777)</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3jrvrex311.htm">
              <w:r>
                <w:rPr>
                  <w:rStyle w:val="InternetLink"/>
                  <w:rFonts w:ascii="Times New Roman;sans-serif" w:hAnsi="Times New Roman;sans-serif"/>
                  <w:b w:val="false"/>
                  <w:color w:val="0000FF"/>
                  <w:sz w:val="20"/>
                  <w:u w:val="single"/>
                </w:rPr>
                <w:t>Chief Executive Officer Certification pursuant to Rule 13a-14(a)/15d-14(a)</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3jrvrex312.htm">
              <w:r>
                <w:rPr>
                  <w:rStyle w:val="InternetLink"/>
                  <w:rFonts w:ascii="Times New Roman;sans-serif" w:hAnsi="Times New Roman;sans-serif"/>
                  <w:b w:val="false"/>
                  <w:color w:val="0000FF"/>
                  <w:sz w:val="20"/>
                  <w:u w:val="single"/>
                </w:rPr>
                <w:t>Chief Financial Officer Certification pursuant to Rule 13a-14(a)/15d-14(a)</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q23jrvrex32.htm">
              <w:r>
                <w:rPr>
                  <w:rStyle w:val="InternetLink"/>
                  <w:rFonts w:ascii="Times New Roman;sans-serif" w:hAnsi="Times New Roman;sans-serif"/>
                  <w:b w:val="false"/>
                  <w:color w:val="0000FF"/>
                  <w:sz w:val="20"/>
                  <w:u w:val="single"/>
                </w:rPr>
                <w:t>Chief Executive Officer and Chief Financial Officer Certification pursuant to 18 U.S.C. Section 1350, as adopted pursuant to Section 906 of the Sarbanes-Oxley Act of 2002</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800dbdb63aa4c0ebb61af22f8dead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37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450"/>
        <w:gridCol w:w="450"/>
        <w:gridCol w:w="450"/>
        <w:gridCol w:w="909"/>
        <w:gridCol w:w="909"/>
        <w:gridCol w:w="13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Frank N. D’Orazio, certify that: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James River Group Holdings, Ltd.;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2023 </w:t>
      </w:r>
    </w:p>
    <w:p>
      <w:pPr>
        <w:pStyle w:val="TextBody"/>
        <w:bidi w:val="0"/>
        <w:spacing w:lineRule="auto" w:line="288" w:before="0" w:after="0"/>
        <w:jc w:val="left"/>
        <w:rPr>
          <w:color w:val="000000"/>
        </w:rPr>
      </w:pPr>
      <w:r>
        <w:rPr>
          <w:color w:val="000000"/>
        </w:rPr>
        <w:t> </w:t>
      </w:r>
    </w:p>
    <w:tbl>
      <w:tblPr>
        <w:tblW w:w="2816" w:type="dxa"/>
        <w:jc w:val="center"/>
        <w:tblInd w:w="0" w:type="dxa"/>
        <w:tblLayout w:type="fixed"/>
        <w:tblCellMar>
          <w:top w:w="28" w:type="dxa"/>
          <w:left w:w="28" w:type="dxa"/>
          <w:bottom w:w="28" w:type="dxa"/>
          <w:right w:w="28" w:type="dxa"/>
        </w:tblCellMar>
      </w:tblPr>
      <w:tblGrid>
        <w:gridCol w:w="886"/>
        <w:gridCol w:w="776"/>
        <w:gridCol w:w="782"/>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Sarah C. Doran, certify that: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James River Group Holdings, Ltd.;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2023 </w:t>
      </w:r>
    </w:p>
    <w:p>
      <w:pPr>
        <w:pStyle w:val="TextBody"/>
        <w:bidi w:val="0"/>
        <w:spacing w:before="100" w:after="283"/>
        <w:jc w:val="left"/>
        <w:rPr/>
      </w:pPr>
      <w:r>
        <w:rPr/>
      </w:r>
    </w:p>
    <w:tbl>
      <w:tblPr>
        <w:tblW w:w="2757" w:type="dxa"/>
        <w:jc w:val="center"/>
        <w:tblInd w:w="0" w:type="dxa"/>
        <w:tblLayout w:type="fixed"/>
        <w:tblCellMar>
          <w:top w:w="28" w:type="dxa"/>
          <w:left w:w="28" w:type="dxa"/>
          <w:bottom w:w="28" w:type="dxa"/>
          <w:right w:w="28" w:type="dxa"/>
        </w:tblCellMar>
      </w:tblPr>
      <w:tblGrid>
        <w:gridCol w:w="863"/>
        <w:gridCol w:w="759"/>
        <w:gridCol w:w="763"/>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James River Group Holdings, Ltd. (the “Company”) on Form 10-Q for the period ended June 30, 2023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pStyle w:val="TextBody"/>
        <w:bidi w:val="0"/>
        <w:spacing w:lineRule="auto" w:line="288" w:before="120" w:after="12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817" w:type="dxa"/>
        <w:jc w:val="center"/>
        <w:tblInd w:w="0" w:type="dxa"/>
        <w:tblLayout w:type="fixed"/>
        <w:tblCellMar>
          <w:top w:w="28" w:type="dxa"/>
          <w:left w:w="28" w:type="dxa"/>
          <w:bottom w:w="28" w:type="dxa"/>
          <w:right w:w="28" w:type="dxa"/>
        </w:tblCellMar>
      </w:tblPr>
      <w:tblGrid>
        <w:gridCol w:w="124"/>
        <w:gridCol w:w="109"/>
        <w:gridCol w:w="109"/>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459/000162045923000097/jrvrex101-firstamendmentto.htm" TargetMode="External"/><Relationship Id="rId3" Type="http://schemas.openxmlformats.org/officeDocument/2006/relationships/hyperlink" Target="https://www.sec.gov/Archives/edgar/data/1620459/000162045923000097/jrvrex102-amendedandrestat.htm" TargetMode="External"/><Relationship Id="rId4" Type="http://schemas.openxmlformats.org/officeDocument/2006/relationships/hyperlink" Target="https://www.sec.gov/Archives/edgar/data/1620459/000162045923000100/exhibit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33241</Words>
  <Characters>182380</Characters>
  <CharactersWithSpaces>213554</CharactersWithSpaces>
  <Paragraphs>5323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