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73" w:lineRule="exact"/>
        <w:rPr>
          <w:sz w:val="24"/>
          <w:szCs w:val="24"/>
          <w:color w:val="auto"/>
        </w:rPr>
      </w:pPr>
    </w:p>
    <w:p>
      <w:pPr>
        <w:ind w:left="820"/>
        <w:spacing w:after="0"/>
        <w:tabs>
          <w:tab w:leader="none" w:pos="498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March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34290</wp:posOffset>
            </wp:positionV>
            <wp:extent cx="1560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JAMES RIVER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Delaware</w:t>
            </w:r>
          </w:p>
        </w:tc>
        <w:tc>
          <w:tcPr>
            <w:tcW w:w="332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001-36777</w:t>
            </w:r>
          </w:p>
        </w:tc>
        <w:tc>
          <w:tcPr>
            <w:tcW w:w="388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98-0585280</w:t>
            </w:r>
          </w:p>
        </w:tc>
      </w:tr>
      <w:tr>
        <w:trPr>
          <w:trHeight w:val="234"/>
        </w:trPr>
        <w:tc>
          <w:tcPr>
            <w:tcW w:w="4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1414 Raleigh Road, Suite 405,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900-1200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23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4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8"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37"/>
        </w:trPr>
        <w:tc>
          <w:tcPr>
            <w:tcW w:w="178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92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5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Common Stock, par value $0.0002 per share</w:t>
            </w:r>
          </w:p>
        </w:tc>
        <w:tc>
          <w:tcPr>
            <w:tcW w:w="22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9"/>
              </w:rPr>
              <w:t>JRVR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highlight w:val="black"/>
        </w:rPr>
        <w:t>☐</w:t>
      </w:r>
    </w:p>
    <w:p>
      <w:pPr>
        <w:spacing w:after="0" w:line="309"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2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2, 2026, James River Group Holdings, Inc. (the “Company”) issued a press release announcing its financial results for the quarter and fiscal year ended December 31, 2025. A copy of the press release is furnished as Exhibit 99.1 to this Current Report on Form 8-K (this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in Exhibit 99.1 furnished herewith shall not be deemed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unless specifically stated by the Company.</w:t>
      </w:r>
    </w:p>
    <w:p>
      <w:pPr>
        <w:spacing w:after="0" w:line="21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2, 2026, the Company announced that its Board of Directors declared a cash dividend of $0.01 per share of common stock of the Company to be paid on March 31, 2026 to shareholders of record on March 13, 2026.</w:t>
      </w:r>
    </w:p>
    <w:p>
      <w:pPr>
        <w:spacing w:after="0" w:line="19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a part of this Form 8-K: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760" w:type="dxa"/>
            <w:vAlign w:val="bottom"/>
          </w:tcPr>
          <w:p>
            <w:pPr>
              <w:spacing w:after="0"/>
              <w:rPr>
                <w:sz w:val="19"/>
                <w:szCs w:val="19"/>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51"/>
        </w:trPr>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1"/>
                <w:szCs w:val="21"/>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the Company dated March 2, 2026</w:t>
            </w:r>
          </w:p>
        </w:tc>
      </w:tr>
      <w:tr>
        <w:trPr>
          <w:trHeight w:val="20"/>
        </w:trPr>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358"/>
        </w:trPr>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5640" w:type="dxa"/>
            <w:vAlign w:val="bottom"/>
            <w:gridSpan w:val="3"/>
          </w:tcPr>
          <w:p>
            <w:pPr>
              <w:ind w:left="222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w:t>
            </w:r>
          </w:p>
        </w:tc>
      </w:tr>
      <w:tr>
        <w:trPr>
          <w:trHeight w:val="51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 2026</w:t>
            </w:r>
          </w:p>
        </w:tc>
        <w:tc>
          <w:tcPr>
            <w:tcW w:w="564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By: /s/ Sarah C. Doran</w:t>
            </w:r>
          </w:p>
        </w:tc>
      </w:tr>
      <w:tr>
        <w:trPr>
          <w:trHeight w:val="20"/>
        </w:trPr>
        <w:tc>
          <w:tcPr>
            <w:tcW w:w="3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45"/>
        </w:trPr>
        <w:tc>
          <w:tcPr>
            <w:tcW w:w="3800" w:type="dxa"/>
            <w:vAlign w:val="bottom"/>
          </w:tcPr>
          <w:p>
            <w:pPr>
              <w:spacing w:after="0"/>
              <w:rPr>
                <w:sz w:val="21"/>
                <w:szCs w:val="21"/>
                <w:color w:val="auto"/>
              </w:rPr>
            </w:pPr>
          </w:p>
        </w:tc>
        <w:tc>
          <w:tcPr>
            <w:tcW w:w="56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Sarah C. Doran</w:t>
            </w:r>
          </w:p>
        </w:tc>
      </w:tr>
      <w:tr>
        <w:trPr>
          <w:trHeight w:val="234"/>
        </w:trPr>
        <w:tc>
          <w:tcPr>
            <w:tcW w:w="3800" w:type="dxa"/>
            <w:vAlign w:val="bottom"/>
          </w:tcPr>
          <w:p>
            <w:pPr>
              <w:spacing w:after="0"/>
              <w:rPr>
                <w:sz w:val="20"/>
                <w:szCs w:val="20"/>
                <w:color w:val="auto"/>
              </w:rPr>
            </w:pPr>
          </w:p>
        </w:tc>
        <w:tc>
          <w:tcPr>
            <w:tcW w:w="56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141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476250</wp:posOffset>
            </wp:positionV>
            <wp:extent cx="534924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JAMES RIVER ANNOUNCES FOURTH QUARTER 2025 RESULTS</w:t>
      </w:r>
    </w:p>
    <w:p>
      <w:pPr>
        <w:spacing w:after="0" w:line="2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Chapel Hill, NC, March 2, 2026 - James River Group Holdings, Inc. ("James River" or the "Company") (NASDAQ: JRVR) today reported the following results for the fourth quarter 2025 as compared to the same period in 2024:</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17"/>
                <w:szCs w:val="17"/>
                <w:color w:val="auto"/>
              </w:rPr>
            </w:pPr>
          </w:p>
        </w:tc>
        <w:tc>
          <w:tcPr>
            <w:tcW w:w="29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Pr>
          <w:p>
            <w:pPr>
              <w:spacing w:after="0"/>
              <w:rPr>
                <w:sz w:val="20"/>
                <w:szCs w:val="20"/>
                <w:color w:val="auto"/>
              </w:rPr>
            </w:pPr>
          </w:p>
        </w:tc>
        <w:tc>
          <w:tcPr>
            <w:tcW w:w="290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share data)</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per diluted share</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per diluted share</w:t>
            </w:r>
          </w:p>
        </w:tc>
      </w:tr>
      <w:tr>
        <w:trPr>
          <w:trHeight w:val="164"/>
        </w:trPr>
        <w:tc>
          <w:tcPr>
            <w:tcW w:w="46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Net income (loss) from continuing operations available to</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61"/>
        </w:trPr>
        <w:tc>
          <w:tcPr>
            <w:tcW w:w="4620" w:type="dxa"/>
            <w:vAlign w:val="bottom"/>
          </w:tcPr>
          <w:p>
            <w:pPr>
              <w:spacing w:after="0" w:line="262" w:lineRule="exact"/>
              <w:rPr>
                <w:sz w:val="20"/>
                <w:szCs w:val="20"/>
                <w:color w:val="auto"/>
              </w:rPr>
            </w:pPr>
            <w:r>
              <w:rPr>
                <w:rFonts w:ascii="Times New Roman" w:cs="Times New Roman" w:eastAsia="Times New Roman" w:hAnsi="Times New Roman"/>
                <w:sz w:val="18"/>
                <w:szCs w:val="18"/>
                <w:color w:val="auto"/>
              </w:rPr>
              <w:t>Net loss from discontinued operations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31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operating income (loss)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r>
    </w:tbl>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Unless specified otherwise, all underwriting performance ratios presented herein are for our continuing operations and business not subject to retroactive reinsurance accounting.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 Highlights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p>
      <w:pPr>
        <w:spacing w:after="0" w:line="4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combined ratio of 96.6%.</w:t>
      </w:r>
    </w:p>
    <w:p>
      <w:pPr>
        <w:spacing w:after="0" w:line="11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and administrative expenses down 9% compared to 2024.</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Tangible common equity per share of $8.94 grew 34% since December 31, 2024.</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net operating return on tangible common equity of 15.3%.</w:t>
      </w:r>
    </w:p>
    <w:p>
      <w:pPr>
        <w:spacing w:after="0" w:line="125" w:lineRule="exact"/>
        <w:rPr>
          <w:rFonts w:ascii="Times New Roman" w:cs="Times New Roman" w:eastAsia="Times New Roman" w:hAnsi="Times New Roman"/>
          <w:sz w:val="22"/>
          <w:szCs w:val="22"/>
          <w:color w:val="auto"/>
        </w:rPr>
      </w:pPr>
    </w:p>
    <w:p>
      <w:pPr>
        <w:ind w:right="3140" w:firstLine="332"/>
        <w:spacing w:after="0" w:line="304" w:lineRule="auto"/>
        <w:tabs>
          <w:tab w:leader="none" w:pos="643"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completed its redomicile from Bermuda to Delaware on November 7, 2025. Fourth Quarter Highlights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660" w:hanging="328"/>
        <w:spacing w:after="0" w:line="270" w:lineRule="auto"/>
        <w:tabs>
          <w:tab w:leader="none" w:pos="65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available to common shareholders of $30.1 million includes the one-time tax expense benefit of $14.1 million related to the Company's redomicile.</w:t>
      </w:r>
    </w:p>
    <w:p>
      <w:pPr>
        <w:spacing w:after="0" w:line="51" w:lineRule="exact"/>
        <w:rPr>
          <w:rFonts w:ascii="Times New Roman" w:cs="Times New Roman" w:eastAsia="Times New Roman" w:hAnsi="Times New Roman"/>
          <w:sz w:val="22"/>
          <w:szCs w:val="22"/>
          <w:color w:val="auto"/>
        </w:rPr>
      </w:pPr>
    </w:p>
    <w:p>
      <w:pPr>
        <w:ind w:left="660" w:right="20" w:hanging="328"/>
        <w:spacing w:after="0" w:line="284" w:lineRule="auto"/>
        <w:tabs>
          <w:tab w:leader="none" w:pos="6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Combined ratio of 94.1% as compared to 155.1% in the prior year quarter. Underwriting profit of $8.6 million as compared to a loss of $58.1 million in the prior year quarter.</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 ratio of 29.2% as compared to 43.7% in the prior year quarter.</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and Surplus (“E&amp;S”) segment combined ratio of 86.0% as compared to 159.8%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1" w:lineRule="exact"/>
        <w:rPr>
          <w:sz w:val="20"/>
          <w:szCs w:val="20"/>
          <w:color w:val="auto"/>
        </w:rPr>
      </w:pPr>
    </w:p>
    <w:p>
      <w:pPr>
        <w:ind w:right="20" w:firstLine="8"/>
        <w:spacing w:after="0" w:line="220" w:lineRule="auto"/>
        <w:tabs>
          <w:tab w:leader="none" w:pos="10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closed the sale of JRG Reinsurance Company Ltd. on April 16, 2024. As a result, the full financials for our former Casualty Reinsurance segment have been classified to discontinued operations for all periods.</w:t>
      </w:r>
    </w:p>
    <w:p>
      <w:pPr>
        <w:spacing w:after="0" w:line="1" w:lineRule="exact"/>
        <w:rPr>
          <w:rFonts w:ascii="Times New Roman" w:cs="Times New Roman" w:eastAsia="Times New Roman" w:hAnsi="Times New Roman"/>
          <w:sz w:val="23"/>
          <w:szCs w:val="23"/>
          <w:color w:val="auto"/>
          <w:vertAlign w:val="superscript"/>
        </w:rPr>
      </w:pPr>
    </w:p>
    <w:p>
      <w:pPr>
        <w:ind w:right="120"/>
        <w:spacing w:after="0" w:line="22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Adjusted net operating income (loss), tangible common equity per share, adjusted net operating return on tangible common equity and underwriting profit are non-GAAP financial measures. See “Non-GAAP Financial Measures” and “Reconciliation of Non-GAAP Financial Measures”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Chief Executive Officer Frank D'Orazio commented, "Throughout 2025, our Company remained disciplined and focused on creating value for our shareholders, and our fourth-quarter results reflect the tangible momentum created by that work. The strategic actions, underwriting changes, and focus on smaller insureds that we have driven over the past few years have strengthened our organization while improving our profitability and operational efficiency. This year's results provide a strong foundation to build upon for 2026 as we continue to pursue compelling opportunities across the E&amp;S market."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E&amp;S Segment Highlights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right="20" w:hanging="328"/>
        <w:spacing w:after="0" w:line="274"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earned premium of $140.9 million for the quarter and $559.5 million for the year, an increase of 61.5% and 9.2% respectively from the prior year periods.</w:t>
      </w:r>
    </w:p>
    <w:p>
      <w:pPr>
        <w:spacing w:after="0" w:line="73" w:lineRule="exact"/>
        <w:rPr>
          <w:rFonts w:ascii="Times New Roman" w:cs="Times New Roman" w:eastAsia="Times New Roman" w:hAnsi="Times New Roman"/>
          <w:sz w:val="22"/>
          <w:szCs w:val="22"/>
          <w:color w:val="auto"/>
        </w:rPr>
      </w:pPr>
    </w:p>
    <w:p>
      <w:pPr>
        <w:jc w:val="both"/>
        <w:ind w:left="660" w:right="20" w:hanging="328"/>
        <w:spacing w:after="0" w:line="276"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written premium for the segment declined 5% for full-year 2025 and 14.5% compared to the prior year periods driven by a continued focus on smaller profitable accounts (average premium per policy down 10% year over year) and a reduction of risks outside of our underwriting appetite.</w:t>
      </w:r>
    </w:p>
    <w:p>
      <w:pPr>
        <w:spacing w:after="0" w:line="7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Underwriting profit of $19.7 million represents the best quarterly result for the segment since 2022.</w:t>
      </w:r>
    </w:p>
    <w:p>
      <w:pPr>
        <w:spacing w:after="0" w:line="13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4% total growth for new and renewal submissions compared to the prior year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2025 Operating Results</w:t>
      </w:r>
    </w:p>
    <w:p>
      <w:pPr>
        <w:spacing w:after="0" w:line="19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Gross written premium of $262.7 million, consisting of the following:</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1"/>
        </w:trPr>
        <w:tc>
          <w:tcPr>
            <w:tcW w:w="2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5"/>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239,517</w:t>
            </w:r>
          </w:p>
        </w:tc>
        <w:tc>
          <w:tcPr>
            <w:tcW w:w="1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280,287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(15)%</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(70)%</w:t>
            </w:r>
          </w:p>
        </w:tc>
      </w:tr>
      <w:tr>
        <w:trPr>
          <w:trHeight w:val="223"/>
        </w:trPr>
        <w:tc>
          <w:tcPr>
            <w:tcW w:w="2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262,679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(27)%</w:t>
            </w:r>
          </w:p>
        </w:tc>
      </w:tr>
      <w:tr>
        <w:trPr>
          <w:trHeight w:val="20"/>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written premium of $142.1 million, consisting of the following:</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2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5"/>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140,693</w:t>
            </w:r>
          </w:p>
        </w:tc>
        <w:tc>
          <w:tcPr>
            <w:tcW w:w="1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(90)%</w:t>
            </w:r>
          </w:p>
        </w:tc>
      </w:tr>
      <w:tr>
        <w:trPr>
          <w:trHeight w:val="223"/>
        </w:trPr>
        <w:tc>
          <w:tcPr>
            <w:tcW w:w="2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25 %</w:t>
            </w:r>
          </w:p>
        </w:tc>
      </w:tr>
      <w:tr>
        <w:trPr>
          <w:trHeight w:val="21"/>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Net earned premium of $147.3 million, consisting of the following:</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8"/>
        </w:trPr>
        <w:tc>
          <w:tcPr>
            <w:tcW w:w="2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140,917</w:t>
            </w:r>
          </w:p>
        </w:tc>
        <w:tc>
          <w:tcPr>
            <w:tcW w:w="1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61 %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(65)%</w:t>
            </w:r>
          </w:p>
        </w:tc>
      </w:tr>
      <w:tr>
        <w:trPr>
          <w:trHeight w:val="223"/>
        </w:trPr>
        <w:tc>
          <w:tcPr>
            <w:tcW w:w="2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r>
      <w:tr>
        <w:trPr>
          <w:trHeight w:val="20"/>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hanging="328"/>
        <w:spacing w:after="0" w:line="258"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Pre-tax favorable (unfavorable) reserve development by segment on business not subject to retroactive reinsurance accounting was as follows:</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4,959</w:t>
            </w:r>
          </w:p>
        </w:tc>
        <w:tc>
          <w:tcPr>
            <w:tcW w:w="12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r>
      <w:tr>
        <w:trPr>
          <w:trHeight w:val="20"/>
        </w:trPr>
        <w:tc>
          <w:tcPr>
            <w:tcW w:w="2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left="660" w:hanging="328"/>
        <w:spacing w:after="0" w:line="241"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experienced $1.8 million of net favorable reserve development in the fourth quarter of 2025. This included $5.0 million of net favorable reserve development from the E&amp;S segment and ($3.1) million of net unfavorable reserve development from the Specialty Admitted segment. There remains $23.6 million of aggregate limit on the adverse development reinsurance contract with Cavello Bay ("E&amp;S Top Up ADC"). The Company does not have a retention on the E&amp;S Top Up ADC which covers the majority of the E&amp;S segment's reserves for accident years 2023 and prior. The Company continues to observe lower frequency and incurred losses on recent accident years.</w:t>
      </w:r>
    </w:p>
    <w:p>
      <w:pPr>
        <w:spacing w:after="0" w:line="14" w:lineRule="exact"/>
        <w:rPr>
          <w:rFonts w:ascii="Times New Roman" w:cs="Times New Roman" w:eastAsia="Times New Roman" w:hAnsi="Times New Roman"/>
          <w:sz w:val="22"/>
          <w:szCs w:val="22"/>
          <w:color w:val="auto"/>
        </w:rPr>
      </w:pPr>
    </w:p>
    <w:p>
      <w:pPr>
        <w:jc w:val="both"/>
        <w:ind w:left="660" w:hanging="328"/>
        <w:spacing w:after="0" w:line="241"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expense ratio was 29.2% for the fourth quarter of 2025, a decrease overall compared to 43.7% from the prior year quarter. Compared to the prior year quarter, a reduction of general and administrative expenses from both E&amp;S (down 13%) and Specialty Admitted (down 44%) principally drove the improvement as headcount reductions and other operating efficiencies contributed to reductions across compensation, taxes, and insurance. The expense ratio improvement was also a result of higher net earned premium in E&amp;S during the fourth quarter compared to 2024 due to ceded premium costs associated with the E&amp;S Top Up ADC.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Results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Net investment income of $21.0 million declined just below $1.0 million from the prior year quarter. Fixed income securities generated higher net investment income stemming from an increase in "A" rated structured securities added during 2025, as we invested cash accumulated during the 2024 strategic actions. The fixed maturity outperformance was offset by lower average market yields within the Company's bank loan portfolio as well as lower income from the common stock portfolio which was deliberately reduced. Private investments generated $1.0 million in income driven by positive performance in private credit investments, but offset by lower income earned by the portfolio's private equity positions compared to the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net investment income consisted of the following:</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20" w:type="dxa"/>
            <w:vAlign w:val="bottom"/>
          </w:tcPr>
          <w:p>
            <w:pPr>
              <w:spacing w:after="0"/>
              <w:rPr>
                <w:sz w:val="17"/>
                <w:szCs w:val="17"/>
                <w:color w:val="auto"/>
              </w:rPr>
            </w:pPr>
          </w:p>
        </w:tc>
      </w:tr>
      <w:tr>
        <w:trPr>
          <w:trHeight w:val="241"/>
        </w:trPr>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20" w:type="dxa"/>
            <w:vAlign w:val="bottom"/>
            <w:tcBorders>
              <w:bottom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Private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(27)%</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 Other Investments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20,020</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w:t>
            </w: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w:t>
            </w:r>
          </w:p>
        </w:tc>
      </w:tr>
      <w:tr>
        <w:trPr>
          <w:trHeight w:val="21"/>
        </w:trPr>
        <w:tc>
          <w:tcPr>
            <w:tcW w:w="3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Company’s annualized gross investment yield on average fixed maturity, bank loan and equity securities for the three months ended December 31, 2025 was 4.6% (versus 4.7% for the three months ended December 31, 2024), driven primarily by lower market yields in the bank loan portfolio.</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Net realized and unrealized losses on investments of $2.2 million for the twelve months ended December 31, 2025 compared to net realized and unrealized gains on investments of $3.6 million in the prior year period and were driven primarily by realized losses within the bank loan portfolio as the portfolio was defensively rebalanced following the tariff announcements in the spring of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On November 7, 2025, the Company redomiciled from Bermuda to Delaware. The Company recognized a one-time income tax benefit of $14.1 million related to interest expense deduction in connection with the redomicile. Going forward, the move to Delaware is expected to lower the effective tax rate closer to the U.S. statutory rate, as certain company expenses previously incurred in Bermuda are expected to be eligible to receive a U.S. tax deduction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Management</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Company announced that its Board of Directors declared a cash dividend of $0.01 per share of common stock. This dividend is payable on March 31, 2026 to all shareholders of record as of March 13,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Tangible Common Equity</w:t>
      </w:r>
    </w:p>
    <w:p>
      <w:pPr>
        <w:spacing w:after="0" w:line="1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Shareholders' equity of $538.2 million on December 31, 2025 increased 16.8% compared to $460.9 million on December 31, 2024. Tangible common equity</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of $411.0 million on December 31, 2025 increased 34.9% from $304.6 million on December 31,</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2024. Other comprehensive income was $4.3 million during the fourth quarter of 2025, improving accumulated other comprehensive loss to ($34.7) million due to the continued decline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0"/>
          <w:szCs w:val="20"/>
          <w:color w:val="auto"/>
        </w:rPr>
      </w:pPr>
    </w:p>
    <w:p>
      <w:pPr>
        <w:ind w:right="160" w:firstLine="8"/>
        <w:spacing w:after="0" w:line="213" w:lineRule="auto"/>
        <w:tabs>
          <w:tab w:leader="none" w:pos="10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Tangible common equity is a non-GAAP financial measure. See “Non-GAAP Financial Measures” and “Reconciliation of Non-GAAP Financial Measures”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James River will hold a conference call to discuss its fourth quarter results tomorrow, March 3, 2026 at 8:30 a.m. Eastern Time. Investors may access the conference call by dialing (800) 715-9871, Conference ID 6910670, or via the internet by visiting https://jrvrgroup.com and clicking on the “Investor Relations” link. A webcast replay of the call will be available by visiting the company website.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A3B3D"/>
        </w:rPr>
        <w:t>Forward-Looking Statements</w:t>
      </w:r>
    </w:p>
    <w:p>
      <w:pPr>
        <w:spacing w:after="0" w:line="1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This press release contains forward-looking statements as that term is defined in the Private Securities Litigation Reform Act of 1995. In some cases, such forward-looking statements may be identified by terms such as believe, expect, seek, may, will, should, intend, project, anticipate, plan, estimate, guidance or similar words. Forward-looking statements involve risks and uncertainties that could cause actual results to differ materially from those in the forward-looking statements. Although it is not possible to identify all of these risks and uncertainties, they include, among others, the following: the inherent uncertainty of estimating loss and loss adjustment expense reserves and the possibility that incurred losses and loss adjustment expenses may be greater than our estimate used to compute loss and loss adjustment expense reserves included in the financial statements; inaccurate estimates and judgments in our risk management may expose us to greater risks than intended; downgrades in the financial strength rating or outlook of our regulated insurance subsidiaries impacting our competitive position and ability to attract and retain insurance business that our subsidiaries write and ultimately our financial condition and triggering a default on our credit facility; the potential loss of key members of our management team or key employees, and our ability to attract and retain personnel; adverse economic and competitive factors resulting in the sale of fewer policies than expected or an increase in the frequency or severity of claims, or both; the impact of a higher than expected inflationary environment on our reserves, loss adjustment expenses, the values of our investments and investment returns, and our compensation expenses; exposure to credit risk, interest rate risk and other market risk in our investment portfolio and our reinsurers; reliance on a select group of brokers and agents for a significant portion of our business and the impact of our potential failure to maintain such relationships; reliance on a select group of customers for a significant portion of our business and the impact of our potential failure to maintain, or decision to terminate, such relationships; our ability to obtain insurance and reinsurance coverage at prices and on terms that allow us to transfer risk, adequately protect our Company against financial loss and that supports our growth plans; 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 the inherent uncertainty of estimating reinsurance recoverable on unpaid losses and the possibility that reinsurance may be less than our estimate of reinsurance recoverable on unpaid losses; inadequacy of premiums we charge to compensate us for our losses incurred; changes in laws or government regulation, including tax or insurance laws and regulations; changes in U.S. tax laws (including associated regulations) and the interpretation of certain provisions applicable to insurance/reinsurance businesses with U.S. and non-U.S. operations, which may be retroactive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and could have a significant effect on us including, among other things, by potentially increasing our tax rate, as well as on our shareholders; a failure of any of the loss limitations or exclusions we utilize in our insurance products to shield us from unanticipated financial losses or legal exposures, or other liabilities; losses from catastrophic events, such as natural disasters and terrorist acts, which substantially exceed our expectations and/or exceed the amount of reinsurance we have purchased to protect us from such events; potential effects on our business of emerging claim and coverage issues; the potential impact of internal or external fraud, operational errors, systems malfunctions or cyber security incidents; our ability to manage our growth effectively; failure to maintain effective internal controls in accordance with the Sarbanes-Oxley Act of 2002, as amended; changes in our financial condition, regulations or other factors that may restrict our subsidiaries’ ability to pay us dividends; an adverse result in any litigation or legal proceedings we are or may become subject to; and inability to generate taxable income and execute tax planning strategies which could adversely impact our ability to recognize deferred tax assets at the level reflected on our balance sheet. Additional information about these risks and uncertainties, as well as others that may cause actual results to differ materially from those in the forward-looking statements, is contained in our filings with the U.S. Securities and Exchange Commission, including our most recently filed Annual Report on Form 10-K. These forward-looking statements speak only as of the date of this release and the Company does not undertake any obligation to update or revise any forward-looking information to reflect changes in assumptions, the occurrence of unanticipated events,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 presenting James River Group Holdings, Inc.’s results, management has included financial measures that are not calculated under standards or rules that comprise accounting principles generally accepted in the United States (“GAAP”). Such measures, including underwriting (loss) profit, adjusted net operating (loss) income, tangible equity, tangible common equity, and adjusted net operating return on tangible equity (which is calculated as annualized adjusted net operating income divided by the average quarterly tangible equity balances in the respective period), are referred to as non-GAAP measures. These non-GAAP measures may be defined or calculated differently by other companies. These measures should not be viewed as a substitute for those measures determined in accordance with GAAP. Reconciliations of such measures to the most comparable GAAP figures are included at the end of this press release.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A3B3D"/>
        </w:rPr>
        <w:t>About James River Group Holdings, Inc.</w:t>
      </w:r>
    </w:p>
    <w:p>
      <w:pPr>
        <w:spacing w:after="0" w:line="1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James River Group Holdings, Inc. is a holding company that owns and operates a group of specialty insurance companies. The Company operates in two specialty property-casualty insurance segments: Excess and Surplus Lines and Specialty Admitted Insurance. Each of the Company’s regulated insurance subsidiaries are rated “A-” (Excellent) by A.M. Best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Visit James River Group Holdings, Inc. on the web at https://jrvrgroup.com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A3B3D"/>
        </w:rPr>
        <w:t>For more information contact: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Bob Zimardo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SVP, Investments and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InvestorRelations@james-river-group.com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River Group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 Data (Unaudited)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7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share data)</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211"/>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Invested assets:</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w:t>
            </w: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120" w:type="dxa"/>
            <w:vAlign w:val="bottom"/>
          </w:tcPr>
          <w:p>
            <w:pPr>
              <w:spacing w:after="0"/>
              <w:rPr>
                <w:sz w:val="19"/>
                <w:szCs w:val="19"/>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0" w:type="dxa"/>
            <w:vAlign w:val="bottom"/>
          </w:tcPr>
          <w:p>
            <w:pPr>
              <w:spacing w:after="0"/>
              <w:rPr>
                <w:sz w:val="1"/>
                <w:szCs w:val="1"/>
                <w:color w:val="auto"/>
              </w:rPr>
            </w:pPr>
          </w:p>
        </w:tc>
      </w:tr>
      <w:tr>
        <w:trPr>
          <w:trHeight w:val="25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Bank loan participations, at fair value</w:t>
            </w: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64,152</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invested assets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1,697,156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1,552,396</w:t>
            </w:r>
          </w:p>
        </w:tc>
        <w:tc>
          <w:tcPr>
            <w:tcW w:w="0" w:type="dxa"/>
            <w:vAlign w:val="bottom"/>
          </w:tcPr>
          <w:p>
            <w:pPr>
              <w:spacing w:after="0"/>
              <w:rPr>
                <w:sz w:val="1"/>
                <w:szCs w:val="1"/>
                <w:color w:val="auto"/>
              </w:rPr>
            </w:pPr>
          </w:p>
        </w:tc>
      </w:tr>
      <w:tr>
        <w:trPr>
          <w:trHeight w:val="27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362,345</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 (a)</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243,882</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1,996,913</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101,210</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337,413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466,635</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4,859,930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75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3,099,418</w:t>
            </w:r>
          </w:p>
        </w:tc>
        <w:tc>
          <w:tcPr>
            <w:tcW w:w="120" w:type="dxa"/>
            <w:vAlign w:val="bottom"/>
          </w:tcPr>
          <w:p>
            <w:pPr>
              <w:spacing w:after="0"/>
              <w:rPr>
                <w:sz w:val="19"/>
                <w:szCs w:val="19"/>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572,034</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Funds held (a)</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reinsurance gain</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Senior debt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200,800</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Junior subordinated debt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53,178</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186,534</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315,446</w:t>
            </w: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4,188,662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4,413,046</w:t>
            </w:r>
          </w:p>
        </w:tc>
        <w:tc>
          <w:tcPr>
            <w:tcW w:w="0" w:type="dxa"/>
            <w:vAlign w:val="bottom"/>
          </w:tcPr>
          <w:p>
            <w:pPr>
              <w:spacing w:after="0"/>
              <w:rPr>
                <w:sz w:val="1"/>
                <w:szCs w:val="1"/>
                <w:color w:val="auto"/>
              </w:rPr>
            </w:pPr>
          </w:p>
        </w:tc>
      </w:tr>
      <w:tr>
        <w:trPr>
          <w:trHeight w:val="27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preferred shares</w:t>
            </w:r>
          </w:p>
        </w:tc>
        <w:tc>
          <w:tcPr>
            <w:tcW w:w="5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538,153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5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4,859,930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 (b)</w:t>
            </w: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544,070</w:t>
            </w:r>
          </w:p>
        </w:tc>
        <w:tc>
          <w:tcPr>
            <w:tcW w:w="120" w:type="dxa"/>
            <w:vAlign w:val="bottom"/>
          </w:tcPr>
          <w:p>
            <w:pPr>
              <w:spacing w:after="0"/>
              <w:rPr>
                <w:sz w:val="21"/>
                <w:szCs w:val="21"/>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437,719</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 per share (b)</w:t>
            </w: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20"/>
                <w:szCs w:val="20"/>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 per share (b)</w:t>
            </w: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3"/>
                <w:szCs w:val="23"/>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6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 per share</w:t>
            </w: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23"/>
                <w:szCs w:val="23"/>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45,968,584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20" w:right="20" w:firstLine="6"/>
        <w:spacing w:after="0" w:line="261" w:lineRule="auto"/>
        <w:tabs>
          <w:tab w:leader="none" w:pos="21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equivalents and the funds held liability includes funds posted by the Company to a trust account for the benefit of a third party administrator handling the claims on the Rasier commercial auto policies in run-off. Such funds held in trust secure the Company's obligations to reimburse the administrator for claims payments, and are primarily sourced from the collateral posted to the Company by Rasier and its affiliates to support their obligations under the indemnity agreements and the loss portfolio transfer reinsurance agreement with the Company.</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of Non-GAAP Measures”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3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James River Group Holdings, Inc. and Subsidiaries</w:t>
      </w:r>
    </w:p>
    <w:p>
      <w:pPr>
        <w:spacing w:after="0" w:line="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Condensed Consolidated Income Statement Data (Unaudited)</w:t>
      </w:r>
    </w:p>
    <w:p>
      <w:pPr>
        <w:spacing w:after="0" w:line="83"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660" w:type="dxa"/>
            <w:vAlign w:val="bottom"/>
            <w:gridSpan w:val="4"/>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share data)</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262,679</w:t>
            </w:r>
          </w:p>
        </w:tc>
        <w:tc>
          <w:tcPr>
            <w:tcW w:w="100" w:type="dxa"/>
            <w:vAlign w:val="bottom"/>
          </w:tcPr>
          <w:p>
            <w:pPr>
              <w:spacing w:after="0"/>
              <w:rPr>
                <w:sz w:val="14"/>
                <w:szCs w:val="14"/>
                <w:color w:val="auto"/>
              </w:rPr>
            </w:pPr>
          </w:p>
        </w:tc>
        <w:tc>
          <w:tcPr>
            <w:tcW w:w="5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358,292</w:t>
            </w:r>
          </w:p>
        </w:tc>
        <w:tc>
          <w:tcPr>
            <w:tcW w:w="100" w:type="dxa"/>
            <w:vAlign w:val="bottom"/>
          </w:tcPr>
          <w:p>
            <w:pPr>
              <w:spacing w:after="0"/>
              <w:rPr>
                <w:sz w:val="14"/>
                <w:szCs w:val="14"/>
                <w:color w:val="auto"/>
              </w:rPr>
            </w:pP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1,172,319</w:t>
            </w:r>
          </w:p>
        </w:tc>
        <w:tc>
          <w:tcPr>
            <w:tcW w:w="100" w:type="dxa"/>
            <w:vAlign w:val="bottom"/>
          </w:tcPr>
          <w:p>
            <w:pPr>
              <w:spacing w:after="0"/>
              <w:rPr>
                <w:sz w:val="14"/>
                <w:szCs w:val="14"/>
                <w:color w:val="auto"/>
              </w:rPr>
            </w:pPr>
          </w:p>
        </w:tc>
        <w:tc>
          <w:tcPr>
            <w:tcW w:w="5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1,431,772</w:t>
            </w:r>
          </w:p>
        </w:tc>
        <w:tc>
          <w:tcPr>
            <w:tcW w:w="0" w:type="dxa"/>
            <w:vAlign w:val="bottom"/>
          </w:tcPr>
          <w:p>
            <w:pPr>
              <w:spacing w:after="0"/>
              <w:rPr>
                <w:sz w:val="1"/>
                <w:szCs w:val="1"/>
                <w:color w:val="auto"/>
              </w:rPr>
            </w:pPr>
          </w:p>
        </w:tc>
      </w:tr>
      <w:tr>
        <w:trPr>
          <w:trHeight w:val="220"/>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Gross written premiums</w:t>
            </w:r>
          </w:p>
        </w:tc>
        <w:tc>
          <w:tcPr>
            <w:tcW w:w="3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Net written premiums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142,136</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113,991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568,815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580,854</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Net earned premiums</w:t>
            </w:r>
          </w:p>
        </w:tc>
        <w:tc>
          <w:tcPr>
            <w:tcW w:w="300" w:type="dxa"/>
            <w:vAlign w:val="bottom"/>
          </w:tcPr>
          <w:p>
            <w:pPr>
              <w:spacing w:after="0"/>
              <w:rPr>
                <w:sz w:val="20"/>
                <w:szCs w:val="20"/>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147,326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105,586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600,288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600,196</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20,997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21,962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83,440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93,089</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Net realized and unrealized gains (losses) on investments</w:t>
            </w:r>
          </w:p>
        </w:tc>
        <w:tc>
          <w:tcPr>
            <w:tcW w:w="300" w:type="dxa"/>
            <w:vAlign w:val="bottom"/>
          </w:tcPr>
          <w:p>
            <w:pPr>
              <w:spacing w:after="0"/>
              <w:rPr>
                <w:sz w:val="17"/>
                <w:szCs w:val="17"/>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6,081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10,716</w:t>
            </w:r>
          </w:p>
        </w:tc>
        <w:tc>
          <w:tcPr>
            <w:tcW w:w="0" w:type="dxa"/>
            <w:vAlign w:val="bottom"/>
          </w:tcPr>
          <w:p>
            <w:pPr>
              <w:spacing w:after="0"/>
              <w:rPr>
                <w:sz w:val="1"/>
                <w:szCs w:val="1"/>
                <w:color w:val="auto"/>
              </w:rPr>
            </w:pPr>
          </w:p>
        </w:tc>
      </w:tr>
      <w:tr>
        <w:trPr>
          <w:trHeight w:val="2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167,747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126,713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687,614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707,626</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Losses and loss adjustment expenses (a)</w:t>
            </w: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93,534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144,560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427,204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554,374</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43,372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47,068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183,964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193,198</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6,145</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5,968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23,538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24,666</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 amortization and impairment</w:t>
            </w: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143,192</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198,991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637,071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778,746</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300" w:type="dxa"/>
            <w:vAlign w:val="bottom"/>
          </w:tcPr>
          <w:p>
            <w:pPr>
              <w:spacing w:after="0"/>
              <w:rPr>
                <w:sz w:val="16"/>
                <w:szCs w:val="16"/>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24,555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(72,278)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50,543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(71,120)</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 on continuing operations</w:t>
            </w:r>
          </w:p>
        </w:tc>
        <w:tc>
          <w:tcPr>
            <w:tcW w:w="30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(7,564)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(8,883)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(7,634)</w:t>
            </w:r>
          </w:p>
        </w:tc>
        <w:tc>
          <w:tcPr>
            <w:tcW w:w="0" w:type="dxa"/>
            <w:vAlign w:val="bottom"/>
          </w:tcPr>
          <w:p>
            <w:pPr>
              <w:spacing w:after="0"/>
              <w:rPr>
                <w:sz w:val="1"/>
                <w:szCs w:val="1"/>
                <w:color w:val="auto"/>
              </w:rPr>
            </w:pPr>
          </w:p>
        </w:tc>
      </w:tr>
      <w:tr>
        <w:trPr>
          <w:trHeight w:val="2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32,119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(63,395)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49,820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(63,486)</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Net loss from discontinued operations</w:t>
            </w:r>
          </w:p>
        </w:tc>
        <w:tc>
          <w:tcPr>
            <w:tcW w:w="30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(17,634)</w:t>
            </w:r>
          </w:p>
        </w:tc>
        <w:tc>
          <w:tcPr>
            <w:tcW w:w="0" w:type="dxa"/>
            <w:vAlign w:val="bottom"/>
          </w:tcPr>
          <w:p>
            <w:pPr>
              <w:spacing w:after="0"/>
              <w:rPr>
                <w:sz w:val="1"/>
                <w:szCs w:val="1"/>
                <w:color w:val="auto"/>
              </w:rPr>
            </w:pPr>
          </w:p>
        </w:tc>
      </w:tr>
      <w:tr>
        <w:trPr>
          <w:trHeight w:val="2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20" w:type="dxa"/>
            <w:vAlign w:val="bottom"/>
            <w:vMerge w:val="continue"/>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32,073</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(64,767)</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47,427</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(81,120)</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0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(1,969)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(29,274)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(7,876)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(37,149)</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AVAILABLE TO COMMON SHAREHOLDERS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30,104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(94,041)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39,551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(118,269)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NET OPERATING INCOME (LOSS) (b)</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15,962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(40,803)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54,140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(41,503)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PER COMMON SHARE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6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Continuing operations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3"/>
        </w:trPr>
        <w:tc>
          <w:tcPr>
            <w:tcW w:w="4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Diluted (c)</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Continuing operations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3"/>
        </w:trPr>
        <w:tc>
          <w:tcPr>
            <w:tcW w:w="4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8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 NET OPERATING INCOME (LOSS) PER COMMON SHARE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Diluted (c)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6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46,008,023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41,237,480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45,968,359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38,685,003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60,105,097</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41,237,480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60,013,622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38,685,003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per common share</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Ratios: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6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Loss ratio</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86.2 %</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Expense ratio (d)</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Combined ratio</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117.6 %</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Accident year loss ratio (e)</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0960"/>
          </w:cols>
          <w:pgMar w:left="320" w:top="126" w:right="6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right="400" w:hanging="4"/>
        <w:spacing w:after="0"/>
        <w:tabs>
          <w:tab w:leader="none" w:pos="49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Losses and loss adjustment expenses include $2.1 million of benefit and $28.8 million of expense for deferred retroactive reinsurance gains for the three and twelve months ended December 31, 2025, respectively ($27.0 million and $37.2 million of expense in the respective three and twelve month prior year periods).</w:t>
      </w:r>
    </w:p>
    <w:p>
      <w:pPr>
        <w:spacing w:after="0" w:line="11" w:lineRule="exact"/>
        <w:rPr>
          <w:rFonts w:ascii="Times New Roman" w:cs="Times New Roman" w:eastAsia="Times New Roman" w:hAnsi="Times New Roman"/>
          <w:sz w:val="13"/>
          <w:szCs w:val="13"/>
          <w:color w:val="auto"/>
        </w:rPr>
      </w:pPr>
    </w:p>
    <w:p>
      <w:pPr>
        <w:ind w:left="500" w:hanging="184"/>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"Reconciliation of Non-GAAP Measures".</w:t>
      </w:r>
    </w:p>
    <w:p>
      <w:pPr>
        <w:spacing w:after="0" w:line="26" w:lineRule="exact"/>
        <w:rPr>
          <w:rFonts w:ascii="Times New Roman" w:cs="Times New Roman" w:eastAsia="Times New Roman" w:hAnsi="Times New Roman"/>
          <w:sz w:val="13"/>
          <w:szCs w:val="13"/>
          <w:color w:val="auto"/>
        </w:rPr>
      </w:pPr>
    </w:p>
    <w:p>
      <w:pPr>
        <w:ind w:left="320" w:right="360" w:hanging="4"/>
        <w:spacing w:after="0"/>
        <w:tabs>
          <w:tab w:leader="none" w:pos="49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outstanding Series A preferred shares were dilutive for the three and twelve months ended December 31, 2025. Dividends on the Series A preferred shares were added back to the numerator in the calculation and 13,521,634 shares of common stock from an assumed conversion of the Series A preferred shares were included in the denominator.</w:t>
      </w:r>
    </w:p>
    <w:p>
      <w:pPr>
        <w:spacing w:after="0" w:line="25" w:lineRule="exact"/>
        <w:rPr>
          <w:rFonts w:ascii="Times New Roman" w:cs="Times New Roman" w:eastAsia="Times New Roman" w:hAnsi="Times New Roman"/>
          <w:sz w:val="13"/>
          <w:szCs w:val="13"/>
          <w:color w:val="auto"/>
        </w:rPr>
      </w:pPr>
    </w:p>
    <w:p>
      <w:pPr>
        <w:jc w:val="both"/>
        <w:ind w:left="320" w:hanging="4"/>
        <w:spacing w:after="0" w:line="250" w:lineRule="auto"/>
        <w:tabs>
          <w:tab w:leader="none" w:pos="49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with a numerator comprising other operating expenses less gross fee income (in specific instances when the Company is not retaining insurance risk) included in “Other income” in our Condensed Consolidated Income Statements of $303,000 and $2.4 million for the three and twelve months ended months ended December 31, 2025, respectively ($926,000 and $4.6 million in the respective prior year periods), and a denominator of net earned premiums.</w:t>
      </w:r>
    </w:p>
    <w:p>
      <w:pPr>
        <w:spacing w:after="0" w:line="18" w:lineRule="exact"/>
        <w:rPr>
          <w:rFonts w:ascii="Times New Roman" w:cs="Times New Roman" w:eastAsia="Times New Roman" w:hAnsi="Times New Roman"/>
          <w:sz w:val="13"/>
          <w:szCs w:val="13"/>
          <w:color w:val="auto"/>
        </w:rPr>
      </w:pPr>
    </w:p>
    <w:p>
      <w:pPr>
        <w:jc w:val="both"/>
        <w:ind w:left="320" w:hanging="4"/>
        <w:spacing w:after="0" w:line="303" w:lineRule="auto"/>
        <w:tabs>
          <w:tab w:leader="none" w:pos="50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Ratio of losses and loss adjustment expenses for the current accident year, excluding development on prior accident year reserves, to net earned premiums for the current year (excluding ceded earned premium associated with adverse development covers covering prior accident years and net earned premium adjustments on certain reinsurance treaties with reinstatement premiums associated with prior years).</w:t>
      </w:r>
    </w:p>
    <w:p>
      <w:pPr>
        <w:spacing w:after="0" w:line="1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0920"/>
          </w:cols>
          <w:pgMar w:left="320" w:top="126"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River Group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Results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97"/>
        </w:trPr>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140" w:type="dxa"/>
            <w:vAlign w:val="bottom"/>
          </w:tcPr>
          <w:p>
            <w:pPr>
              <w:spacing w:after="0"/>
              <w:rPr>
                <w:sz w:val="24"/>
                <w:szCs w:val="24"/>
                <w:color w:val="auto"/>
              </w:rPr>
            </w:pPr>
          </w:p>
        </w:tc>
      </w:tr>
      <w:tr>
        <w:trPr>
          <w:trHeight w:val="241"/>
        </w:trPr>
        <w:tc>
          <w:tcPr>
            <w:tcW w:w="3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0"/>
                <w:szCs w:val="20"/>
                <w:color w:val="auto"/>
              </w:rPr>
            </w:pPr>
          </w:p>
        </w:tc>
      </w:tr>
      <w:tr>
        <w:trPr>
          <w:trHeight w:val="22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
        </w:trPr>
        <w:tc>
          <w:tcPr>
            <w:tcW w:w="3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239,517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280,287</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963,035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1,017,029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
        </w:trPr>
        <w:tc>
          <w:tcPr>
            <w:tcW w:w="3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140,693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99,684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41.1 %</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544,124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508,445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1"/>
        </w:trPr>
        <w:tc>
          <w:tcPr>
            <w:tcW w:w="3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8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140,917</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87,275</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559,490</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512,237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180"/>
        </w:trPr>
        <w:tc>
          <w:tcPr>
            <w:tcW w:w="30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excluding retroactive reinsurance</w:t>
            </w:r>
          </w:p>
        </w:tc>
        <w:tc>
          <w:tcPr>
            <w:tcW w:w="30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(86,377)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(103,327)</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(358,074)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(448,714)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(34,866)</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(36,166)</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(141,944)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(140,978)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 (a)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19,674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(52,218)</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59,472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(77,455)</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0"/>
        </w:trPr>
        <w:tc>
          <w:tcPr>
            <w:tcW w:w="3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Ratios:</w:t>
            </w:r>
          </w:p>
        </w:tc>
        <w:tc>
          <w:tcPr>
            <w:tcW w:w="1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61.3 %</w:t>
            </w: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118.4 %</w:t>
            </w: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64.0 %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24.7 %</w:t>
            </w: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41.4 %</w:t>
            </w: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25.4 %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86.0 %</w:t>
            </w: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159.8 %</w:t>
            </w: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89.4 %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115.1 %</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Accident year loss ratio (b)</w:t>
            </w: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63.6 %</w:t>
            </w: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64.1 %</w:t>
            </w: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63.5 %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r>
    </w:tbl>
    <w:p>
      <w:pPr>
        <w:spacing w:after="0" w:line="85" w:lineRule="exact"/>
        <w:rPr>
          <w:sz w:val="20"/>
          <w:szCs w:val="20"/>
          <w:color w:val="auto"/>
        </w:rPr>
      </w:pP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of Non-GAAP Measures".</w:t>
      </w:r>
    </w:p>
    <w:p>
      <w:pPr>
        <w:spacing w:after="0" w:line="41" w:lineRule="exact"/>
        <w:rPr>
          <w:rFonts w:ascii="Times New Roman" w:cs="Times New Roman" w:eastAsia="Times New Roman" w:hAnsi="Times New Roman"/>
          <w:sz w:val="14"/>
          <w:szCs w:val="14"/>
          <w:color w:val="auto"/>
        </w:rPr>
      </w:pPr>
    </w:p>
    <w:p>
      <w:pPr>
        <w:ind w:left="20" w:right="340" w:firstLine="6"/>
        <w:spacing w:after="0" w:line="234" w:lineRule="auto"/>
        <w:tabs>
          <w:tab w:leader="none" w:pos="2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 of losses and loss adjustment expenses for the current accident year, excluding development on prior accident year reserves, to net earned premiums for the current year (excluding ceded earned premium associated with adverse development covers covering prior accident years and net earned premium adjustments on certain reinsurance treaties with reinstatement premiums associated with prior years).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SPECIALTY ADMITTED INSURANCE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88"/>
        </w:trPr>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3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78,005</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(70.3)%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(49.5)%</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(89.9)%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72,409</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(65.9)%</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8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(65.0)%</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40,798</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87,959</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(53.6)%</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(35.3)%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(41.0)%</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(75.2)%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(51.7)%</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profit (a), (b)</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12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Pr>
          <w:p>
            <w:pPr>
              <w:spacing w:after="0"/>
              <w:rPr>
                <w:sz w:val="19"/>
                <w:szCs w:val="19"/>
                <w:color w:val="auto"/>
              </w:rPr>
            </w:pPr>
          </w:p>
        </w:tc>
        <w:tc>
          <w:tcPr>
            <w:tcW w:w="1080" w:type="dxa"/>
            <w:vAlign w:val="bottom"/>
          </w:tcPr>
          <w:p>
            <w:pPr>
              <w:jc w:val="center"/>
              <w:ind w:left="390"/>
              <w:spacing w:after="0"/>
              <w:rPr>
                <w:sz w:val="20"/>
                <w:szCs w:val="20"/>
                <w:color w:val="auto"/>
              </w:rPr>
            </w:pPr>
            <w:r>
              <w:rPr>
                <w:rFonts w:ascii="Times New Roman" w:cs="Times New Roman" w:eastAsia="Times New Roman" w:hAnsi="Times New Roman"/>
                <w:sz w:val="18"/>
                <w:szCs w:val="18"/>
                <w:i w:val="1"/>
                <w:iCs w:val="1"/>
                <w:color w:val="auto"/>
                <w:w w:val="99"/>
              </w:rPr>
              <w:t>—</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53" w:lineRule="exact"/>
        <w:rPr>
          <w:sz w:val="20"/>
          <w:szCs w:val="20"/>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of Non-GAAP Measures".</w:t>
      </w:r>
    </w:p>
    <w:p>
      <w:pPr>
        <w:spacing w:after="0" w:line="41" w:lineRule="exact"/>
        <w:rPr>
          <w:rFonts w:ascii="Times New Roman" w:cs="Times New Roman" w:eastAsia="Times New Roman" w:hAnsi="Times New Roman"/>
          <w:sz w:val="14"/>
          <w:szCs w:val="14"/>
          <w:color w:val="auto"/>
        </w:rPr>
      </w:pPr>
    </w:p>
    <w:p>
      <w:pPr>
        <w:ind w:left="20" w:right="20" w:firstLine="6"/>
        <w:spacing w:after="0" w:line="261" w:lineRule="auto"/>
        <w:tabs>
          <w:tab w:leader="none" w:pos="2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results for the three and twelve months ended December 31, 2025 include gross fee income of $2.2 million and $13.4 million, respectively ($4.8 million and $21.0 million in the respective prior year periods).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11</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Underwriting Performance Ratios</w:t>
      </w:r>
    </w:p>
    <w:p>
      <w:pPr>
        <w:spacing w:after="0" w:line="26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3280" w:type="dxa"/>
            <w:vAlign w:val="bottom"/>
            <w:gridSpan w:val="6"/>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Three Months Ended</w:t>
            </w:r>
          </w:p>
        </w:tc>
        <w:tc>
          <w:tcPr>
            <w:tcW w:w="318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Twelve Months Ended</w:t>
            </w: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tcBorders>
              <w:bottom w:val="single" w:sz="8" w:color="auto"/>
            </w:tcBorders>
            <w:gridSpan w:val="3"/>
          </w:tcPr>
          <w:p>
            <w:pPr>
              <w:jc w:val="center"/>
              <w:ind w:left="889"/>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0" w:type="dxa"/>
            <w:vAlign w:val="bottom"/>
          </w:tcPr>
          <w:p>
            <w:pPr>
              <w:spacing w:after="0"/>
              <w:rPr>
                <w:sz w:val="1"/>
                <w:szCs w:val="1"/>
                <w:color w:val="auto"/>
              </w:rPr>
            </w:pPr>
          </w:p>
        </w:tc>
      </w:tr>
      <w:tr>
        <w:trPr>
          <w:trHeight w:val="49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159.8 %</w:t>
            </w: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122.4 %</w:t>
            </w:r>
          </w:p>
        </w:tc>
        <w:tc>
          <w:tcPr>
            <w:tcW w:w="0" w:type="dxa"/>
            <w:vAlign w:val="bottom"/>
          </w:tcPr>
          <w:p>
            <w:pPr>
              <w:spacing w:after="0"/>
              <w:rPr>
                <w:sz w:val="1"/>
                <w:szCs w:val="1"/>
                <w:color w:val="auto"/>
              </w:rPr>
            </w:pPr>
          </w:p>
        </w:tc>
      </w:tr>
      <w:tr>
        <w:trPr>
          <w:trHeight w:val="49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0" w:type="dxa"/>
            <w:vAlign w:val="bottom"/>
          </w:tcPr>
          <w:p>
            <w:pPr>
              <w:spacing w:after="0"/>
              <w:rPr>
                <w:sz w:val="1"/>
                <w:szCs w:val="1"/>
                <w:color w:val="auto"/>
              </w:rPr>
            </w:pPr>
          </w:p>
        </w:tc>
      </w:tr>
      <w:tr>
        <w:trPr>
          <w:trHeight w:val="49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117.6 %</w:t>
            </w: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12</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Underwriting Profit</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following table reconciles the underwriting profit by individual operating segment and for the entire Company to consolidated income from continuing operations before taxes.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320" w:type="dxa"/>
            <w:vAlign w:val="bottom"/>
          </w:tcPr>
          <w:p>
            <w:pPr>
              <w:spacing w:after="0"/>
              <w:rPr>
                <w:sz w:val="19"/>
                <w:szCs w:val="19"/>
                <w:color w:val="auto"/>
              </w:rPr>
            </w:pPr>
          </w:p>
        </w:tc>
        <w:tc>
          <w:tcPr>
            <w:tcW w:w="2700" w:type="dxa"/>
            <w:vAlign w:val="bottom"/>
            <w:gridSpan w:val="4"/>
          </w:tcPr>
          <w:p>
            <w:pPr>
              <w:jc w:val="right"/>
              <w:ind w:right="470"/>
              <w:spacing w:after="0"/>
              <w:rPr>
                <w:sz w:val="20"/>
                <w:szCs w:val="20"/>
                <w:color w:val="auto"/>
              </w:rPr>
            </w:pPr>
            <w:r>
              <w:rPr>
                <w:rFonts w:ascii="Times New Roman" w:cs="Times New Roman" w:eastAsia="Times New Roman" w:hAnsi="Times New Roman"/>
                <w:sz w:val="20"/>
                <w:szCs w:val="20"/>
                <w:b w:val="1"/>
                <w:bCs w:val="1"/>
                <w:color w:val="auto"/>
              </w:rPr>
              <w:t>Twelve Months Ended</w:t>
            </w:r>
          </w:p>
        </w:tc>
      </w:tr>
      <w:tr>
        <w:trPr>
          <w:trHeight w:val="257"/>
        </w:trPr>
        <w:tc>
          <w:tcPr>
            <w:tcW w:w="5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20" w:type="dxa"/>
            <w:vAlign w:val="bottom"/>
            <w:tcBorders>
              <w:bottom w:val="single" w:sz="8" w:color="auto"/>
            </w:tcBorders>
          </w:tcPr>
          <w:p>
            <w:pPr>
              <w:spacing w:after="0"/>
              <w:rPr>
                <w:sz w:val="22"/>
                <w:szCs w:val="22"/>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5"/>
        </w:trPr>
        <w:tc>
          <w:tcPr>
            <w:tcW w:w="50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(77,455)</w:t>
            </w:r>
          </w:p>
        </w:tc>
      </w:tr>
      <w:tr>
        <w:trPr>
          <w:trHeight w:val="234"/>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r>
      <w:tr>
        <w:trPr>
          <w:trHeight w:val="21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underwriting profit (loss) of operating segments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(70,582)</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w:t>
            </w:r>
          </w:p>
        </w:tc>
      </w:tr>
      <w:tr>
        <w:trPr>
          <w:trHeight w:val="21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(a)</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(105,554)</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(71,120)</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60" w:right="20" w:hanging="334"/>
        <w:spacing w:after="0" w:line="237" w:lineRule="auto"/>
        <w:tabs>
          <w:tab w:leader="none" w:pos="2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underwriting results for the three and twelve months ended December 31, 2025 is gross fee income of $2.2 million and $13.4 million, respectively ($4.8 million and $21.0 million in the respective prior year periods).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13</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Adjusted Net Operating Income</w:t>
      </w:r>
    </w:p>
    <w:p>
      <w:pPr>
        <w:spacing w:after="0" w:line="2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define adjusted net operating income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f) deemed dividends recorded with the amendment of the Series A Preferred Shares, and g) the one-time income tax benefit related to interest expense deduction in connection with the redomicile. Adjusted net operating income should not be viewed as a substitute for net income calculated in accordance with GAAP, and our definition of adjusted net operating income may not be comparable to that of other companies.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income (loss) available to common shareholders reconciles to our adjusted net operating income (loss) as follows:</w:t>
      </w:r>
    </w:p>
    <w:p>
      <w:pPr>
        <w:spacing w:after="0" w:line="1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b w:val="1"/>
          <w:bCs w:val="1"/>
          <w:color w:val="auto"/>
        </w:rPr>
        <w:t>Three Months Ended December 31,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Net</w:t>
            </w:r>
          </w:p>
        </w:tc>
        <w:tc>
          <w:tcPr>
            <w:tcW w:w="300" w:type="dxa"/>
            <w:vAlign w:val="bottom"/>
          </w:tcPr>
          <w:p>
            <w:pPr>
              <w:spacing w:after="0"/>
              <w:rPr>
                <w:sz w:val="14"/>
                <w:szCs w:val="14"/>
                <w:color w:val="auto"/>
              </w:rPr>
            </w:pPr>
          </w:p>
        </w:tc>
        <w:tc>
          <w:tcPr>
            <w:tcW w:w="130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360" w:type="dxa"/>
            <w:vAlign w:val="bottom"/>
          </w:tcPr>
          <w:p>
            <w:pPr>
              <w:spacing w:after="0"/>
              <w:rPr>
                <w:sz w:val="14"/>
                <w:szCs w:val="14"/>
                <w:color w:val="auto"/>
              </w:rPr>
            </w:pPr>
          </w:p>
        </w:tc>
        <w:tc>
          <w:tcPr>
            <w:tcW w:w="11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30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3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available to common shareholders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(94,041)</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losses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One-time tax benefit in connection with redomicile</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A deemed dividends</w:t>
            </w: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(40,803)</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b w:val="1"/>
          <w:bCs w:val="1"/>
          <w:color w:val="auto"/>
        </w:rPr>
        <w:t>Twelve Months Ended December 31,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Net</w:t>
            </w:r>
          </w:p>
        </w:tc>
        <w:tc>
          <w:tcPr>
            <w:tcW w:w="300" w:type="dxa"/>
            <w:vAlign w:val="bottom"/>
          </w:tcPr>
          <w:p>
            <w:pPr>
              <w:spacing w:after="0"/>
              <w:rPr>
                <w:sz w:val="14"/>
                <w:szCs w:val="14"/>
                <w:color w:val="auto"/>
              </w:rPr>
            </w:pPr>
          </w:p>
        </w:tc>
        <w:tc>
          <w:tcPr>
            <w:tcW w:w="130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360" w:type="dxa"/>
            <w:vAlign w:val="bottom"/>
          </w:tcPr>
          <w:p>
            <w:pPr>
              <w:spacing w:after="0"/>
              <w:rPr>
                <w:sz w:val="14"/>
                <w:szCs w:val="14"/>
                <w:color w:val="auto"/>
              </w:rPr>
            </w:pPr>
          </w:p>
        </w:tc>
        <w:tc>
          <w:tcPr>
            <w:tcW w:w="11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30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3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available to common shareholders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One-time tax benefit in connection with redomicile</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A deemed dividends</w:t>
            </w: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75,598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JRVR Announces Fourth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14</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Tangible Equity (per Share) and Tangible Common Equity (per Share)</w:t>
      </w:r>
    </w:p>
    <w:p>
      <w:pPr>
        <w:spacing w:after="0" w:line="2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define tangible equity as shareholders' equity plus mezzanine Series A Preferred Shares and the deferred retroactive reinsurance gain less goodwill and intangible assets, net of amortization. Tangible equity per share represents tangible equity divided by the sum of total shares of common stock outstanding plus the shares of common stock resulting from an assumed conversion of the outstanding Series A Preferred Shares into common stock (at the conversion price effective as of the last day of the applicable period). We define tangible common equity as tangible equity less mezzanine Series A Preferred Shares and tangible common equity per share represents tangible common equity divided by the total shares of common stock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 We use tangible equity and tangible common equity internally to evaluate the strength of our balance sheet and to compare returns relative to this measure. The following table reconciles shareholders' equity to tangible equity and tangible common equity for December 31, 2025, September 30, 2025, December 31, 2024, and September 30, 2024.</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thousands, except for share data)</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90"/>
        </w:trPr>
        <w:tc>
          <w:tcPr>
            <w:tcW w:w="4680" w:type="dxa"/>
            <w:vAlign w:val="bottom"/>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538,153</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503,638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530,347</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Plus: Series A redeemable preferred shares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Plus: Deferred reinsurance gain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213,918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214,009</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214,372</w:t>
            </w:r>
          </w:p>
        </w:tc>
        <w:tc>
          <w:tcPr>
            <w:tcW w:w="0" w:type="dxa"/>
            <w:vAlign w:val="bottom"/>
          </w:tcPr>
          <w:p>
            <w:pPr>
              <w:spacing w:after="0"/>
              <w:rPr>
                <w:sz w:val="1"/>
                <w:szCs w:val="1"/>
                <w:color w:val="auto"/>
              </w:rPr>
            </w:pPr>
          </w:p>
        </w:tc>
      </w:tr>
      <w:tr>
        <w:trPr>
          <w:trHeight w:val="21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544,070</w:t>
            </w:r>
          </w:p>
        </w:tc>
        <w:tc>
          <w:tcPr>
            <w:tcW w:w="1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511,540</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437,719</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491,874</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Series A redeemable preferred shares</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0" w:type="dxa"/>
            <w:vAlign w:val="bottom"/>
          </w:tcPr>
          <w:p>
            <w:pPr>
              <w:spacing w:after="0"/>
              <w:rPr>
                <w:sz w:val="1"/>
                <w:szCs w:val="1"/>
                <w:color w:val="auto"/>
              </w:rPr>
            </w:pPr>
          </w:p>
        </w:tc>
      </w:tr>
      <w:tr>
        <w:trPr>
          <w:trHeight w:val="196"/>
        </w:trPr>
        <w:tc>
          <w:tcPr>
            <w:tcW w:w="4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Tangible common equity</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410,955</w:t>
            </w:r>
          </w:p>
        </w:tc>
        <w:tc>
          <w:tcPr>
            <w:tcW w:w="120" w:type="dxa"/>
            <w:vAlign w:val="bottom"/>
          </w:tcPr>
          <w:p>
            <w:pPr>
              <w:spacing w:after="0"/>
              <w:rPr>
                <w:sz w:val="17"/>
                <w:szCs w:val="17"/>
                <w:color w:val="auto"/>
              </w:rPr>
            </w:pPr>
          </w:p>
        </w:tc>
        <w:tc>
          <w:tcPr>
            <w:tcW w:w="3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378,425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304,604</w:t>
            </w:r>
          </w:p>
        </w:tc>
        <w:tc>
          <w:tcPr>
            <w:tcW w:w="120" w:type="dxa"/>
            <w:vAlign w:val="bottom"/>
          </w:tcPr>
          <w:p>
            <w:pPr>
              <w:spacing w:after="0"/>
              <w:rPr>
                <w:sz w:val="17"/>
                <w:szCs w:val="17"/>
                <w:color w:val="auto"/>
              </w:rPr>
            </w:pPr>
          </w:p>
        </w:tc>
        <w:tc>
          <w:tcPr>
            <w:tcW w:w="4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346,976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45,968,584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45,936,898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37,829,475</w:t>
            </w: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shares from assumed conversion of Series A preferred</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6,848,763</w:t>
            </w:r>
          </w:p>
        </w:tc>
        <w:tc>
          <w:tcPr>
            <w:tcW w:w="0" w:type="dxa"/>
            <w:vAlign w:val="bottom"/>
          </w:tcPr>
          <w:p>
            <w:pPr>
              <w:spacing w:after="0"/>
              <w:rPr>
                <w:sz w:val="1"/>
                <w:szCs w:val="1"/>
                <w:color w:val="auto"/>
              </w:rPr>
            </w:pPr>
          </w:p>
        </w:tc>
      </w:tr>
      <w:tr>
        <w:trPr>
          <w:trHeight w:val="164"/>
        </w:trPr>
        <w:tc>
          <w:tcPr>
            <w:tcW w:w="46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Common shares outstanding after assumed conversion of Series</w:t>
            </w:r>
          </w:p>
        </w:tc>
        <w:tc>
          <w:tcPr>
            <w:tcW w:w="3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59,490,218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59,458,532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59,165,952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44,678,238</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 preferred shares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per share:</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-END-</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2026-03-02T15:17:47Z</dcterms:created>
  <dcterms:modified xsi:type="dcterms:W3CDTF">2026-03-02T15:17:47Z</dcterms:modified>
</cp:coreProperties>
</file>