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232410</wp:posOffset>
            </wp:positionH>
            <wp:positionV relativeFrom="page">
              <wp:posOffset>417195</wp:posOffset>
            </wp:positionV>
            <wp:extent cx="70929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2950" cy="8255"/>
                    </a:xfrm>
                    <a:prstGeom prst="rect">
                      <a:avLst/>
                    </a:prstGeom>
                    <a:noFill/>
                  </pic:spPr>
                </pic:pic>
              </a:graphicData>
            </a:graphic>
          </wp:anchor>
        </w:drawing>
        <w:drawing>
          <wp:anchor simplePos="0" relativeHeight="251657728" behindDoc="1" locked="0" layoutInCell="0" allowOverlap="1">
            <wp:simplePos x="0" y="0"/>
            <wp:positionH relativeFrom="page">
              <wp:posOffset>232410</wp:posOffset>
            </wp:positionH>
            <wp:positionV relativeFrom="page">
              <wp:posOffset>375285</wp:posOffset>
            </wp:positionV>
            <wp:extent cx="709295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2950" cy="1651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62" w:lineRule="exact"/>
        <w:rPr>
          <w:sz w:val="24"/>
          <w:szCs w:val="24"/>
          <w:color w:val="auto"/>
        </w:rPr>
      </w:pPr>
    </w:p>
    <w:p>
      <w:pPr>
        <w:ind w:left="740"/>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 for the quarterly period</w:t>
      </w:r>
    </w:p>
    <w:p>
      <w:pPr>
        <w:spacing w:after="0" w:line="10" w:lineRule="exact"/>
        <w:rPr>
          <w:sz w:val="24"/>
          <w:szCs w:val="24"/>
          <w:color w:val="auto"/>
        </w:rPr>
      </w:pPr>
    </w:p>
    <w:p>
      <w:pPr>
        <w:ind w:left="740" w:hanging="716"/>
        <w:spacing w:after="0"/>
        <w:tabs>
          <w:tab w:leader="none" w:pos="7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ended September 30, 2022</w:t>
      </w:r>
    </w:p>
    <w:p>
      <w:pPr>
        <w:spacing w:after="0" w:line="9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28" w:lineRule="exact"/>
        <w:rPr>
          <w:sz w:val="24"/>
          <w:szCs w:val="24"/>
          <w:color w:val="auto"/>
        </w:rPr>
      </w:pPr>
    </w:p>
    <w:p>
      <w:pPr>
        <w:ind w:left="740"/>
        <w:spacing w:after="0"/>
        <w:rPr>
          <w:sz w:val="20"/>
          <w:szCs w:val="20"/>
          <w:color w:val="auto"/>
        </w:rPr>
      </w:pPr>
      <w:r>
        <w:rPr>
          <w:rFonts w:ascii="Arial" w:cs="Arial" w:eastAsia="Arial" w:hAnsi="Arial"/>
          <w:sz w:val="19"/>
          <w:szCs w:val="19"/>
          <w:b w:val="1"/>
          <w:bCs w:val="1"/>
          <w:color w:val="auto"/>
        </w:rPr>
        <w:t>Transition report pursuant to Section 13 or 15(d) of the Securities Exchange Act of 1934 for the transition period</w:t>
      </w:r>
    </w:p>
    <w:p>
      <w:pPr>
        <w:spacing w:after="0" w:line="10" w:lineRule="exact"/>
        <w:rPr>
          <w:sz w:val="24"/>
          <w:szCs w:val="24"/>
          <w:color w:val="auto"/>
        </w:rPr>
      </w:pPr>
    </w:p>
    <w:p>
      <w:pPr>
        <w:ind w:left="740" w:hanging="716"/>
        <w:spacing w:after="0"/>
        <w:tabs>
          <w:tab w:leader="none" w:pos="7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from _______ to _______</w:t>
      </w:r>
    </w:p>
    <w:p>
      <w:pPr>
        <w:spacing w:after="0" w:line="29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001-36777</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JAMES RIVER GROUP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-288290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15" w:lineRule="exact"/>
        <w:rPr>
          <w:sz w:val="24"/>
          <w:szCs w:val="24"/>
          <w:color w:val="auto"/>
        </w:rPr>
      </w:pPr>
    </w:p>
    <w:tbl>
      <w:tblPr>
        <w:tblLayout w:type="fixed"/>
        <w:tblInd w:w="1740" w:type="dxa"/>
        <w:tblCellMar>
          <w:top w:w="0" w:type="dxa"/>
          <w:left w:w="0" w:type="dxa"/>
          <w:bottom w:w="0" w:type="dxa"/>
          <w:right w:w="0" w:type="dxa"/>
        </w:tblCellMar>
      </w:tblPr>
      <w:tr>
        <w:trPr>
          <w:trHeight w:val="229"/>
        </w:trPr>
        <w:tc>
          <w:tcPr>
            <w:tcW w:w="1900" w:type="dxa"/>
            <w:vAlign w:val="bottom"/>
          </w:tcPr>
          <w:p>
            <w:pPr>
              <w:spacing w:after="0"/>
              <w:rPr>
                <w:sz w:val="19"/>
                <w:szCs w:val="19"/>
                <w:color w:val="auto"/>
              </w:rPr>
            </w:pPr>
          </w:p>
        </w:tc>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(Exact name of registrant as specified in its charter)</w:t>
            </w:r>
          </w:p>
        </w:tc>
      </w:tr>
      <w:tr>
        <w:trPr>
          <w:trHeight w:val="243"/>
        </w:trPr>
        <w:tc>
          <w:tcPr>
            <w:tcW w:w="1900" w:type="dxa"/>
            <w:vAlign w:val="bottom"/>
          </w:tcPr>
          <w:p>
            <w:pPr>
              <w:jc w:val="center"/>
              <w:ind w:right="3"/>
              <w:spacing w:after="0"/>
              <w:rPr>
                <w:sz w:val="20"/>
                <w:szCs w:val="20"/>
                <w:color w:val="auto"/>
              </w:rPr>
            </w:pPr>
            <w:r>
              <w:rPr>
                <w:rFonts w:ascii="Arial" w:cs="Arial" w:eastAsia="Arial" w:hAnsi="Arial"/>
                <w:sz w:val="18"/>
                <w:szCs w:val="18"/>
                <w:b w:val="1"/>
                <w:bCs w:val="1"/>
                <w:color w:val="auto"/>
                <w:w w:val="89"/>
              </w:rPr>
              <w:t>Bermuda</w:t>
            </w:r>
          </w:p>
        </w:tc>
        <w:tc>
          <w:tcPr>
            <w:tcW w:w="5520" w:type="dxa"/>
            <w:vAlign w:val="bottom"/>
          </w:tcPr>
          <w:p>
            <w:pPr>
              <w:jc w:val="center"/>
              <w:ind w:left="4281"/>
              <w:spacing w:after="0"/>
              <w:rPr>
                <w:sz w:val="20"/>
                <w:szCs w:val="20"/>
                <w:color w:val="auto"/>
              </w:rPr>
            </w:pPr>
            <w:r>
              <w:rPr>
                <w:rFonts w:ascii="Arial" w:cs="Arial" w:eastAsia="Arial" w:hAnsi="Arial"/>
                <w:sz w:val="18"/>
                <w:szCs w:val="18"/>
                <w:b w:val="1"/>
                <w:bCs w:val="1"/>
                <w:color w:val="auto"/>
                <w:w w:val="87"/>
              </w:rPr>
              <w:t>98-0585280</w:t>
            </w:r>
          </w:p>
        </w:tc>
      </w:tr>
      <w:tr>
        <w:trPr>
          <w:trHeight w:val="142"/>
        </w:trPr>
        <w:tc>
          <w:tcPr>
            <w:tcW w:w="1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(State or other jurisdiction of</w:t>
            </w:r>
          </w:p>
        </w:tc>
        <w:tc>
          <w:tcPr>
            <w:tcW w:w="5520" w:type="dxa"/>
            <w:vAlign w:val="bottom"/>
          </w:tcPr>
          <w:p>
            <w:pPr>
              <w:jc w:val="center"/>
              <w:ind w:left="4301"/>
              <w:spacing w:after="0" w:line="142"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520" w:type="dxa"/>
            <w:vAlign w:val="bottom"/>
          </w:tcPr>
          <w:p>
            <w:pPr>
              <w:jc w:val="center"/>
              <w:ind w:left="4321"/>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88" w:lineRule="exact"/>
        <w:rPr>
          <w:sz w:val="24"/>
          <w:szCs w:val="24"/>
          <w:color w:val="auto"/>
        </w:rPr>
      </w:pPr>
    </w:p>
    <w:p>
      <w:pPr>
        <w:jc w:val="center"/>
        <w:ind w:left="480" w:right="2720"/>
        <w:spacing w:after="0" w:line="265" w:lineRule="auto"/>
        <w:rPr>
          <w:sz w:val="20"/>
          <w:szCs w:val="20"/>
          <w:color w:val="auto"/>
        </w:rPr>
      </w:pPr>
      <w:r>
        <w:rPr>
          <w:rFonts w:ascii="Arial" w:cs="Arial" w:eastAsia="Arial" w:hAnsi="Arial"/>
          <w:sz w:val="18"/>
          <w:szCs w:val="18"/>
          <w:b w:val="1"/>
          <w:bCs w:val="1"/>
          <w:color w:val="auto"/>
        </w:rPr>
        <w:t>Wellesley House, 2nd Floor, 90 Pitts Bay Road, Pembroke HM08, Bermuda (Address of principal executive offices) (Zip Code)</w:t>
      </w:r>
    </w:p>
    <w:p>
      <w:pPr>
        <w:spacing w:after="0" w:line="232"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(441) 278-4580</w:t>
      </w:r>
    </w:p>
    <w:p>
      <w:pPr>
        <w:spacing w:after="0" w:line="22"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5" w:lineRule="exact"/>
        <w:rPr>
          <w:sz w:val="24"/>
          <w:szCs w:val="24"/>
          <w:color w:val="auto"/>
        </w:rPr>
      </w:pPr>
    </w:p>
    <w:tbl>
      <w:tblPr>
        <w:tblLayout w:type="fixed"/>
        <w:tblInd w:w="130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34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0" w:type="dxa"/>
            <w:vAlign w:val="bottom"/>
          </w:tcPr>
          <w:p>
            <w:pPr>
              <w:spacing w:after="0"/>
              <w:rPr>
                <w:sz w:val="18"/>
                <w:szCs w:val="18"/>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Names of each exchange on which registered</w:t>
            </w:r>
          </w:p>
        </w:tc>
      </w:tr>
      <w:tr>
        <w:trPr>
          <w:trHeight w:val="284"/>
        </w:trPr>
        <w:tc>
          <w:tcPr>
            <w:tcW w:w="3600" w:type="dxa"/>
            <w:vAlign w:val="bottom"/>
            <w:gridSpan w:val="3"/>
          </w:tcPr>
          <w:p>
            <w:pPr>
              <w:jc w:val="center"/>
              <w:ind w:right="380"/>
              <w:spacing w:after="0"/>
              <w:rPr>
                <w:sz w:val="20"/>
                <w:szCs w:val="20"/>
                <w:color w:val="auto"/>
              </w:rPr>
            </w:pPr>
            <w:r>
              <w:rPr>
                <w:rFonts w:ascii="Arial" w:cs="Arial" w:eastAsia="Arial" w:hAnsi="Arial"/>
                <w:sz w:val="18"/>
                <w:szCs w:val="18"/>
                <w:color w:val="auto"/>
                <w:w w:val="86"/>
              </w:rPr>
              <w:t>Common Shares, par value $0.0002 per share</w:t>
            </w: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JRVR</w:t>
            </w:r>
          </w:p>
        </w:tc>
        <w:tc>
          <w:tcPr>
            <w:tcW w:w="320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95" w:lineRule="exact"/>
        <w:rPr>
          <w:sz w:val="24"/>
          <w:szCs w:val="24"/>
          <w:color w:val="auto"/>
        </w:rPr>
      </w:pPr>
    </w:p>
    <w:p>
      <w:pPr>
        <w:jc w:val="both"/>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7" w:lineRule="exact"/>
        <w:rPr>
          <w:sz w:val="24"/>
          <w:szCs w:val="24"/>
          <w:color w:val="auto"/>
        </w:rPr>
      </w:pPr>
    </w:p>
    <w:p>
      <w:pPr>
        <w:jc w:val="both"/>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77"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p>
      <w:pPr>
        <w:ind w:left="20"/>
        <w:spacing w:after="0" w:line="184" w:lineRule="exact"/>
        <w:tabs>
          <w:tab w:leader="none" w:pos="1960" w:val="left"/>
          <w:tab w:leader="none" w:pos="2160" w:val="left"/>
          <w:tab w:leader="none" w:pos="3660" w:val="left"/>
          <w:tab w:leader="none" w:pos="5720" w:val="left"/>
          <w:tab w:leader="none" w:pos="8340" w:val="left"/>
          <w:tab w:leader="none" w:pos="110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48" w:lineRule="exact"/>
        <w:rPr>
          <w:sz w:val="24"/>
          <w:szCs w:val="24"/>
          <w:color w:val="auto"/>
        </w:rPr>
      </w:pPr>
    </w:p>
    <w:p>
      <w:pPr>
        <w:jc w:val="both"/>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 w:lineRule="exact"/>
        <w:rPr>
          <w:sz w:val="24"/>
          <w:szCs w:val="24"/>
          <w:color w:val="auto"/>
        </w:rPr>
      </w:pPr>
    </w:p>
    <w:p>
      <w:pPr>
        <w:spacing w:after="0" w:line="207" w:lineRule="exact"/>
        <w:tabs>
          <w:tab w:leader="none" w:pos="7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the registrant's common shares outstanding at November 1, 2022: 37,460,041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444500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111760</wp:posOffset>
            </wp:positionV>
            <wp:extent cx="7134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86995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3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James River Group Holdings, Ltd.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0360" w:type="dxa"/>
            <w:vAlign w:val="bottom"/>
            <w:gridSpan w:val="23"/>
            <w:shd w:val="clear" w:color="auto" w:fill="CCEEFF"/>
          </w:tcPr>
          <w:p>
            <w:pPr>
              <w:spacing w:after="0" w:line="191" w:lineRule="exact"/>
              <w:rPr>
                <w:sz w:val="20"/>
                <w:szCs w:val="20"/>
                <w:color w:val="auto"/>
              </w:rPr>
            </w:pPr>
            <w:r>
              <w:rPr>
                <w:rFonts w:ascii="Arial" w:cs="Arial" w:eastAsia="Arial" w:hAnsi="Arial"/>
                <w:sz w:val="18"/>
                <w:szCs w:val="18"/>
                <w:color w:val="0000FF"/>
              </w:rPr>
              <w:t>PART I. FINANCIAL INFORMATION</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Arial" w:cs="Arial" w:eastAsia="Arial" w:hAnsi="Arial"/>
                <w:sz w:val="18"/>
                <w:szCs w:val="18"/>
                <w:color w:val="0000FF"/>
              </w:rPr>
              <w:t>Item 1.</w:t>
            </w:r>
          </w:p>
        </w:tc>
        <w:tc>
          <w:tcPr>
            <w:tcW w:w="944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Financial Statements</w:t>
            </w:r>
          </w:p>
        </w:tc>
        <w:tc>
          <w:tcPr>
            <w:tcW w:w="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Condensed Consolidated Balance Sheets—September 30, 2022 and December 31, 2021</w:t>
            </w:r>
          </w:p>
        </w:tc>
        <w:tc>
          <w:tcPr>
            <w:tcW w:w="540" w:type="dxa"/>
            <w:vAlign w:val="bottom"/>
            <w:tcBorders>
              <w:right w:val="single" w:sz="8" w:color="CCEEFF"/>
            </w:tcBorders>
            <w:gridSpan w:val="3"/>
            <w:shd w:val="clear" w:color="auto" w:fill="CCEEFF"/>
          </w:tcPr>
          <w:p>
            <w:pPr>
              <w:jc w:val="center"/>
              <w:ind w:left="254"/>
              <w:spacing w:after="0" w:line="186" w:lineRule="exact"/>
              <w:rPr>
                <w:sz w:val="20"/>
                <w:szCs w:val="20"/>
                <w:color w:val="auto"/>
              </w:rPr>
            </w:pPr>
            <w:r>
              <w:rPr>
                <w:rFonts w:ascii="Arial" w:cs="Arial" w:eastAsia="Arial" w:hAnsi="Arial"/>
                <w:sz w:val="18"/>
                <w:szCs w:val="18"/>
                <w:color w:val="0000FF"/>
                <w:w w:val="79"/>
              </w:rPr>
              <w:t>5</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92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4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w w:val="95"/>
              </w:rPr>
              <w:t>Condensed Consolidated Statements of Income (Loss) and Comprehensive (Loss) Income—Three and Nine Months Ended</w:t>
            </w:r>
          </w:p>
        </w:tc>
        <w:tc>
          <w:tcPr>
            <w:tcW w:w="540" w:type="dxa"/>
            <w:vAlign w:val="bottom"/>
            <w:tcBorders>
              <w:right w:val="single" w:sz="8" w:color="CCEEFF"/>
            </w:tcBorders>
            <w:gridSpan w:val="3"/>
            <w:vMerge w:val="restart"/>
            <w:shd w:val="clear" w:color="auto" w:fill="CCEEFF"/>
          </w:tcPr>
          <w:p>
            <w:pPr>
              <w:jc w:val="center"/>
              <w:ind w:left="254"/>
              <w:spacing w:after="0"/>
              <w:rPr>
                <w:sz w:val="20"/>
                <w:szCs w:val="20"/>
                <w:color w:val="auto"/>
              </w:rPr>
            </w:pPr>
            <w:r>
              <w:rPr>
                <w:rFonts w:ascii="Arial" w:cs="Arial" w:eastAsia="Arial" w:hAnsi="Arial"/>
                <w:sz w:val="18"/>
                <w:szCs w:val="18"/>
                <w:color w:val="0000FF"/>
                <w:w w:val="79"/>
              </w:rPr>
              <w:t>7</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120" w:type="dxa"/>
            <w:vAlign w:val="bottom"/>
            <w:tcBorders>
              <w:top w:val="single" w:sz="8" w:color="0000FF"/>
              <w:bottom w:val="single" w:sz="8" w:color="0000FF"/>
            </w:tcBorders>
            <w:gridSpan w:val="9"/>
            <w:shd w:val="clear" w:color="auto" w:fill="CCEEFF"/>
          </w:tcPr>
          <w:p>
            <w:pPr>
              <w:spacing w:after="0" w:line="139" w:lineRule="exact"/>
              <w:rPr>
                <w:sz w:val="20"/>
                <w:szCs w:val="20"/>
                <w:color w:val="auto"/>
              </w:rPr>
            </w:pPr>
            <w:r>
              <w:rPr>
                <w:rFonts w:ascii="Arial" w:cs="Arial" w:eastAsia="Arial" w:hAnsi="Arial"/>
                <w:sz w:val="15"/>
                <w:szCs w:val="15"/>
                <w:color w:val="0000FF"/>
              </w:rPr>
              <w:t>September 30, 2022 and 2021</w:t>
            </w: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740" w:type="dxa"/>
            <w:vAlign w:val="bottom"/>
            <w:tcBorders>
              <w:top w:val="single" w:sz="8" w:color="0000FF"/>
              <w:bottom w:val="single" w:sz="8" w:color="CCEEFF"/>
            </w:tcBorders>
            <w:shd w:val="clear" w:color="auto" w:fill="CCEEFF"/>
          </w:tcPr>
          <w:p>
            <w:pPr>
              <w:spacing w:after="0"/>
              <w:rPr>
                <w:sz w:val="16"/>
                <w:szCs w:val="16"/>
                <w:color w:val="auto"/>
              </w:rPr>
            </w:pPr>
          </w:p>
        </w:tc>
        <w:tc>
          <w:tcPr>
            <w:tcW w:w="900" w:type="dxa"/>
            <w:vAlign w:val="bottom"/>
            <w:tcBorders>
              <w:top w:val="single" w:sz="8" w:color="0000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20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1040" w:type="dxa"/>
            <w:vAlign w:val="bottom"/>
            <w:tcBorders>
              <w:top w:val="single" w:sz="8" w:color="0000FF"/>
              <w:bottom w:val="single" w:sz="8" w:color="CCEEFF"/>
            </w:tcBorders>
            <w:shd w:val="clear" w:color="auto" w:fill="CCEEFF"/>
          </w:tcPr>
          <w:p>
            <w:pPr>
              <w:spacing w:after="0"/>
              <w:rPr>
                <w:sz w:val="16"/>
                <w:szCs w:val="16"/>
                <w:color w:val="auto"/>
              </w:rPr>
            </w:pPr>
          </w:p>
        </w:tc>
        <w:tc>
          <w:tcPr>
            <w:tcW w:w="1360" w:type="dxa"/>
            <w:vAlign w:val="bottom"/>
            <w:tcBorders>
              <w:top w:val="single" w:sz="8" w:color="0000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right w:val="single" w:sz="8" w:color="CCEEFF"/>
            </w:tcBorders>
            <w:gridSpan w:val="3"/>
            <w:vMerge w:val="continue"/>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4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w w:val="89"/>
              </w:rPr>
              <w:t>Condensed Consolidated Statements of Changes in Shareholders’ Equity—Three and Nine Months Ended September 30, 2022 and</w:t>
            </w:r>
          </w:p>
        </w:tc>
        <w:tc>
          <w:tcPr>
            <w:tcW w:w="540" w:type="dxa"/>
            <w:vAlign w:val="bottom"/>
            <w:tcBorders>
              <w:right w:val="single" w:sz="8" w:color="CCEEFF"/>
            </w:tcBorders>
            <w:gridSpan w:val="3"/>
            <w:vMerge w:val="restart"/>
            <w:shd w:val="clear" w:color="auto" w:fill="CCEEFF"/>
          </w:tcPr>
          <w:p>
            <w:pPr>
              <w:jc w:val="center"/>
              <w:ind w:left="254"/>
              <w:spacing w:after="0"/>
              <w:rPr>
                <w:sz w:val="20"/>
                <w:szCs w:val="20"/>
                <w:color w:val="auto"/>
              </w:rPr>
            </w:pPr>
            <w:r>
              <w:rPr>
                <w:rFonts w:ascii="Arial" w:cs="Arial" w:eastAsia="Arial" w:hAnsi="Arial"/>
                <w:sz w:val="18"/>
                <w:szCs w:val="18"/>
                <w:color w:val="0000FF"/>
                <w:w w:val="79"/>
              </w:rPr>
              <w:t>8</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0000FF"/>
            </w:tcBorders>
            <w:shd w:val="clear" w:color="auto" w:fill="CCEEFF"/>
          </w:tcPr>
          <w:p>
            <w:pPr>
              <w:spacing w:after="0" w:line="139" w:lineRule="exact"/>
              <w:rPr>
                <w:sz w:val="20"/>
                <w:szCs w:val="20"/>
                <w:color w:val="auto"/>
              </w:rPr>
            </w:pPr>
            <w:r>
              <w:rPr>
                <w:rFonts w:ascii="Arial" w:cs="Arial" w:eastAsia="Arial" w:hAnsi="Arial"/>
                <w:sz w:val="15"/>
                <w:szCs w:val="15"/>
                <w:color w:val="0000FF"/>
              </w:rPr>
              <w:t>2021</w:t>
            </w:r>
          </w:p>
        </w:tc>
        <w:tc>
          <w:tcPr>
            <w:tcW w:w="220" w:type="dxa"/>
            <w:vAlign w:val="bottom"/>
            <w:tcBorders>
              <w:top w:val="single" w:sz="8" w:color="0000FF"/>
              <w:bottom w:val="single" w:sz="8" w:color="CCEEFF"/>
            </w:tcBorders>
            <w:shd w:val="clear" w:color="auto" w:fill="CCEEFF"/>
          </w:tcPr>
          <w:p>
            <w:pPr>
              <w:spacing w:after="0"/>
              <w:rPr>
                <w:sz w:val="16"/>
                <w:szCs w:val="16"/>
                <w:color w:val="auto"/>
              </w:rPr>
            </w:pPr>
          </w:p>
        </w:tc>
        <w:tc>
          <w:tcPr>
            <w:tcW w:w="300" w:type="dxa"/>
            <w:vAlign w:val="bottom"/>
            <w:tcBorders>
              <w:top w:val="single" w:sz="8" w:color="0000FF"/>
              <w:bottom w:val="single" w:sz="8" w:color="CCEEFF"/>
            </w:tcBorders>
            <w:shd w:val="clear" w:color="auto" w:fill="CCEEFF"/>
          </w:tcPr>
          <w:p>
            <w:pPr>
              <w:spacing w:after="0"/>
              <w:rPr>
                <w:sz w:val="16"/>
                <w:szCs w:val="16"/>
                <w:color w:val="auto"/>
              </w:rPr>
            </w:pPr>
          </w:p>
        </w:tc>
        <w:tc>
          <w:tcPr>
            <w:tcW w:w="400" w:type="dxa"/>
            <w:vAlign w:val="bottom"/>
            <w:tcBorders>
              <w:top w:val="single" w:sz="8" w:color="0000FF"/>
              <w:bottom w:val="single" w:sz="8" w:color="CCEEFF"/>
            </w:tcBorders>
            <w:shd w:val="clear" w:color="auto" w:fill="CCEEFF"/>
          </w:tcPr>
          <w:p>
            <w:pPr>
              <w:spacing w:after="0"/>
              <w:rPr>
                <w:sz w:val="16"/>
                <w:szCs w:val="16"/>
                <w:color w:val="auto"/>
              </w:rPr>
            </w:pPr>
          </w:p>
        </w:tc>
        <w:tc>
          <w:tcPr>
            <w:tcW w:w="200" w:type="dxa"/>
            <w:vAlign w:val="bottom"/>
            <w:tcBorders>
              <w:top w:val="single" w:sz="8" w:color="0000FF"/>
              <w:left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20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740" w:type="dxa"/>
            <w:vAlign w:val="bottom"/>
            <w:tcBorders>
              <w:top w:val="single" w:sz="8" w:color="0000FF"/>
              <w:bottom w:val="single" w:sz="8" w:color="CCEEFF"/>
            </w:tcBorders>
            <w:shd w:val="clear" w:color="auto" w:fill="CCEEFF"/>
          </w:tcPr>
          <w:p>
            <w:pPr>
              <w:spacing w:after="0"/>
              <w:rPr>
                <w:sz w:val="16"/>
                <w:szCs w:val="16"/>
                <w:color w:val="auto"/>
              </w:rPr>
            </w:pPr>
          </w:p>
        </w:tc>
        <w:tc>
          <w:tcPr>
            <w:tcW w:w="900" w:type="dxa"/>
            <w:vAlign w:val="bottom"/>
            <w:tcBorders>
              <w:top w:val="single" w:sz="8" w:color="0000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192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1040" w:type="dxa"/>
            <w:vAlign w:val="bottom"/>
            <w:tcBorders>
              <w:top w:val="single" w:sz="8" w:color="0000FF"/>
              <w:bottom w:val="single" w:sz="8" w:color="CCEEFF"/>
            </w:tcBorders>
            <w:shd w:val="clear" w:color="auto" w:fill="CCEEFF"/>
          </w:tcPr>
          <w:p>
            <w:pPr>
              <w:spacing w:after="0"/>
              <w:rPr>
                <w:sz w:val="16"/>
                <w:szCs w:val="16"/>
                <w:color w:val="auto"/>
              </w:rPr>
            </w:pPr>
          </w:p>
        </w:tc>
        <w:tc>
          <w:tcPr>
            <w:tcW w:w="1360" w:type="dxa"/>
            <w:vAlign w:val="bottom"/>
            <w:tcBorders>
              <w:top w:val="single" w:sz="8" w:color="0000FF"/>
              <w:bottom w:val="single" w:sz="8" w:color="CCEEFF"/>
            </w:tcBorders>
            <w:shd w:val="clear" w:color="auto" w:fill="CCEEFF"/>
          </w:tcPr>
          <w:p>
            <w:pPr>
              <w:spacing w:after="0"/>
              <w:rPr>
                <w:sz w:val="16"/>
                <w:szCs w:val="16"/>
                <w:color w:val="auto"/>
              </w:rPr>
            </w:pPr>
          </w:p>
        </w:tc>
        <w:tc>
          <w:tcPr>
            <w:tcW w:w="5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right w:val="single" w:sz="8" w:color="CCEEFF"/>
            </w:tcBorders>
            <w:gridSpan w:val="3"/>
            <w:vMerge w:val="continue"/>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Condensed Consolidated Statements of Cash Flows—Nine Months Ended September30, 2022 and 2021</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Arial" w:cs="Arial" w:eastAsia="Arial" w:hAnsi="Arial"/>
                <w:sz w:val="18"/>
                <w:szCs w:val="18"/>
                <w:color w:val="0000FF"/>
                <w:w w:val="89"/>
              </w:rPr>
              <w:t>10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9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40" w:type="dxa"/>
            <w:vAlign w:val="bottom"/>
            <w:tcBorders>
              <w:top w:val="single" w:sz="8" w:color="0000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Notes to Condensed Consolidated Financial Statements</w:t>
            </w:r>
          </w:p>
        </w:tc>
        <w:tc>
          <w:tcPr>
            <w:tcW w:w="540" w:type="dxa"/>
            <w:vAlign w:val="bottom"/>
            <w:tcBorders>
              <w:right w:val="single" w:sz="8" w:color="CCEEFF"/>
            </w:tcBorders>
            <w:gridSpan w:val="3"/>
            <w:shd w:val="clear" w:color="auto" w:fill="CCEEFF"/>
          </w:tcPr>
          <w:p>
            <w:pPr>
              <w:jc w:val="center"/>
              <w:ind w:left="254"/>
              <w:spacing w:after="0" w:line="186" w:lineRule="exact"/>
              <w:rPr>
                <w:sz w:val="20"/>
                <w:szCs w:val="20"/>
                <w:color w:val="auto"/>
              </w:rPr>
            </w:pPr>
            <w:r>
              <w:rPr>
                <w:rFonts w:ascii="Arial" w:cs="Arial" w:eastAsia="Arial" w:hAnsi="Arial"/>
                <w:sz w:val="18"/>
                <w:szCs w:val="18"/>
                <w:color w:val="0000FF"/>
                <w:w w:val="79"/>
              </w:rPr>
              <w:t>11</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Arial" w:cs="Arial" w:eastAsia="Arial" w:hAnsi="Arial"/>
                <w:sz w:val="18"/>
                <w:szCs w:val="18"/>
                <w:color w:val="0000FF"/>
              </w:rPr>
              <w:t>Item 2.</w:t>
            </w:r>
          </w:p>
        </w:tc>
        <w:tc>
          <w:tcPr>
            <w:tcW w:w="944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Arial" w:cs="Arial" w:eastAsia="Arial" w:hAnsi="Arial"/>
                <w:sz w:val="18"/>
                <w:szCs w:val="18"/>
                <w:color w:val="0000FF"/>
                <w:w w:val="89"/>
              </w:rPr>
              <w:t>33</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9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Critical Accounting Policies and Estimates</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Arial" w:cs="Arial" w:eastAsia="Arial" w:hAnsi="Arial"/>
                <w:sz w:val="18"/>
                <w:szCs w:val="18"/>
                <w:color w:val="0000FF"/>
                <w:w w:val="89"/>
              </w:rPr>
              <w:t>35</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Arial" w:cs="Arial" w:eastAsia="Arial" w:hAnsi="Arial"/>
                <w:sz w:val="18"/>
                <w:szCs w:val="18"/>
                <w:color w:val="0000FF"/>
              </w:rPr>
              <w:t>Item 3.</w:t>
            </w:r>
          </w:p>
        </w:tc>
        <w:tc>
          <w:tcPr>
            <w:tcW w:w="944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Quantitative and Qualitative Disclosures About Market Risk</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Arial" w:cs="Arial" w:eastAsia="Arial" w:hAnsi="Arial"/>
                <w:sz w:val="18"/>
                <w:szCs w:val="18"/>
                <w:color w:val="0000FF"/>
                <w:w w:val="89"/>
              </w:rPr>
              <w:t>60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Arial" w:cs="Arial" w:eastAsia="Arial" w:hAnsi="Arial"/>
                <w:sz w:val="18"/>
                <w:szCs w:val="18"/>
                <w:color w:val="0000FF"/>
              </w:rPr>
              <w:t>Item 4.</w:t>
            </w:r>
          </w:p>
        </w:tc>
        <w:tc>
          <w:tcPr>
            <w:tcW w:w="944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Controls and Procedures</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Arial" w:cs="Arial" w:eastAsia="Arial" w:hAnsi="Arial"/>
                <w:sz w:val="18"/>
                <w:szCs w:val="18"/>
                <w:color w:val="0000FF"/>
                <w:w w:val="89"/>
              </w:rPr>
              <w:t>60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0360" w:type="dxa"/>
            <w:vAlign w:val="bottom"/>
            <w:gridSpan w:val="23"/>
            <w:shd w:val="clear" w:color="auto" w:fill="CCEEFF"/>
          </w:tcPr>
          <w:p>
            <w:pPr>
              <w:spacing w:after="0" w:line="186" w:lineRule="exact"/>
              <w:rPr>
                <w:sz w:val="20"/>
                <w:szCs w:val="20"/>
                <w:color w:val="auto"/>
              </w:rPr>
            </w:pPr>
            <w:r>
              <w:rPr>
                <w:rFonts w:ascii="Arial" w:cs="Arial" w:eastAsia="Arial" w:hAnsi="Arial"/>
                <w:sz w:val="18"/>
                <w:szCs w:val="18"/>
                <w:color w:val="0000FF"/>
              </w:rPr>
              <w:t>PART II. OTHER INFORMATION</w:t>
            </w:r>
          </w:p>
        </w:tc>
        <w:tc>
          <w:tcPr>
            <w:tcW w:w="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6" w:lineRule="exact"/>
              <w:rPr>
                <w:sz w:val="20"/>
                <w:szCs w:val="20"/>
                <w:color w:val="auto"/>
              </w:rPr>
            </w:pPr>
            <w:r>
              <w:rPr>
                <w:rFonts w:ascii="Arial" w:cs="Arial" w:eastAsia="Arial" w:hAnsi="Arial"/>
                <w:sz w:val="18"/>
                <w:szCs w:val="18"/>
                <w:color w:val="0000FF"/>
              </w:rPr>
              <w:t>Item 1.</w:t>
            </w:r>
          </w:p>
        </w:tc>
        <w:tc>
          <w:tcPr>
            <w:tcW w:w="944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Legal Proceedings</w:t>
            </w: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Arial" w:cs="Arial" w:eastAsia="Arial" w:hAnsi="Arial"/>
                <w:sz w:val="18"/>
                <w:szCs w:val="18"/>
                <w:color w:val="0000FF"/>
                <w:w w:val="89"/>
              </w:rPr>
              <w:t>60</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40" w:type="dxa"/>
            <w:vAlign w:val="bottom"/>
            <w:gridSpan w:val="2"/>
          </w:tcPr>
          <w:p>
            <w:pPr>
              <w:spacing w:after="0" w:line="186" w:lineRule="exact"/>
              <w:rPr>
                <w:sz w:val="20"/>
                <w:szCs w:val="20"/>
                <w:color w:val="auto"/>
              </w:rPr>
            </w:pPr>
            <w:r>
              <w:rPr>
                <w:rFonts w:ascii="Arial" w:cs="Arial" w:eastAsia="Arial" w:hAnsi="Arial"/>
                <w:sz w:val="18"/>
                <w:szCs w:val="18"/>
                <w:color w:val="0000FF"/>
                <w:w w:val="92"/>
              </w:rPr>
              <w:t>Item 1A.</w:t>
            </w:r>
          </w:p>
        </w:tc>
        <w:tc>
          <w:tcPr>
            <w:tcW w:w="280" w:type="dxa"/>
            <w:vAlign w:val="bottom"/>
            <w:gridSpan w:val="2"/>
          </w:tcPr>
          <w:p>
            <w:pPr>
              <w:spacing w:after="0"/>
              <w:rPr>
                <w:sz w:val="16"/>
                <w:szCs w:val="16"/>
                <w:color w:val="auto"/>
              </w:rPr>
            </w:pPr>
          </w:p>
        </w:tc>
        <w:tc>
          <w:tcPr>
            <w:tcW w:w="9440" w:type="dxa"/>
            <w:vAlign w:val="bottom"/>
            <w:gridSpan w:val="19"/>
          </w:tcPr>
          <w:p>
            <w:pPr>
              <w:spacing w:after="0" w:line="186" w:lineRule="exact"/>
              <w:rPr>
                <w:sz w:val="20"/>
                <w:szCs w:val="20"/>
                <w:color w:val="auto"/>
              </w:rPr>
            </w:pPr>
            <w:r>
              <w:rPr>
                <w:rFonts w:ascii="Arial" w:cs="Arial" w:eastAsia="Arial" w:hAnsi="Arial"/>
                <w:sz w:val="18"/>
                <w:szCs w:val="18"/>
                <w:color w:val="0000FF"/>
              </w:rPr>
              <w:t>Risk Factors</w:t>
            </w:r>
          </w:p>
        </w:tc>
        <w:tc>
          <w:tcPr>
            <w:tcW w:w="540" w:type="dxa"/>
            <w:vAlign w:val="bottom"/>
            <w:gridSpan w:val="3"/>
          </w:tcPr>
          <w:p>
            <w:pPr>
              <w:jc w:val="center"/>
              <w:ind w:left="274"/>
              <w:spacing w:after="0" w:line="186" w:lineRule="exact"/>
              <w:rPr>
                <w:sz w:val="20"/>
                <w:szCs w:val="20"/>
                <w:color w:val="auto"/>
              </w:rPr>
            </w:pPr>
            <w:r>
              <w:rPr>
                <w:rFonts w:ascii="Arial" w:cs="Arial" w:eastAsia="Arial" w:hAnsi="Arial"/>
                <w:sz w:val="18"/>
                <w:szCs w:val="18"/>
                <w:color w:val="0000FF"/>
                <w:w w:val="89"/>
              </w:rPr>
              <w:t>61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0000FF"/>
              </w:rPr>
              <w:t>Item 2.</w:t>
            </w:r>
          </w:p>
        </w:tc>
        <w:tc>
          <w:tcPr>
            <w:tcW w:w="280" w:type="dxa"/>
            <w:vAlign w:val="bottom"/>
            <w:gridSpan w:val="2"/>
            <w:shd w:val="clear" w:color="auto" w:fill="CCEEFF"/>
          </w:tcPr>
          <w:p>
            <w:pPr>
              <w:spacing w:after="0"/>
              <w:rPr>
                <w:sz w:val="16"/>
                <w:szCs w:val="16"/>
                <w:color w:val="auto"/>
              </w:rPr>
            </w:pPr>
          </w:p>
        </w:tc>
        <w:tc>
          <w:tcPr>
            <w:tcW w:w="9440" w:type="dxa"/>
            <w:vAlign w:val="bottom"/>
            <w:gridSpan w:val="19"/>
            <w:shd w:val="clear" w:color="auto" w:fill="CCEEFF"/>
          </w:tcPr>
          <w:p>
            <w:pPr>
              <w:spacing w:after="0" w:line="195" w:lineRule="exact"/>
              <w:rPr>
                <w:sz w:val="20"/>
                <w:szCs w:val="20"/>
                <w:color w:val="auto"/>
              </w:rPr>
            </w:pPr>
            <w:r>
              <w:rPr>
                <w:rFonts w:ascii="Arial" w:cs="Arial" w:eastAsia="Arial" w:hAnsi="Arial"/>
                <w:sz w:val="18"/>
                <w:szCs w:val="18"/>
                <w:color w:val="0000FF"/>
              </w:rPr>
              <w:t>Unregistered Sales of Equity Securities and Use of Proceeds</w:t>
            </w:r>
          </w:p>
        </w:tc>
        <w:tc>
          <w:tcPr>
            <w:tcW w:w="540" w:type="dxa"/>
            <w:vAlign w:val="bottom"/>
            <w:tcBorders>
              <w:right w:val="single" w:sz="8" w:color="CCEEFF"/>
            </w:tcBorders>
            <w:gridSpan w:val="3"/>
            <w:shd w:val="clear" w:color="auto" w:fill="CCEEFF"/>
          </w:tcPr>
          <w:p>
            <w:pPr>
              <w:jc w:val="center"/>
              <w:ind w:left="274"/>
              <w:spacing w:after="0" w:line="195" w:lineRule="exact"/>
              <w:rPr>
                <w:sz w:val="20"/>
                <w:szCs w:val="20"/>
                <w:color w:val="auto"/>
              </w:rPr>
            </w:pPr>
            <w:r>
              <w:rPr>
                <w:rFonts w:ascii="Arial" w:cs="Arial" w:eastAsia="Arial" w:hAnsi="Arial"/>
                <w:sz w:val="18"/>
                <w:szCs w:val="18"/>
                <w:color w:val="0000FF"/>
                <w:w w:val="89"/>
              </w:rPr>
              <w:t>61</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0000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920" w:type="dxa"/>
            <w:vAlign w:val="bottom"/>
            <w:gridSpan w:val="4"/>
          </w:tcPr>
          <w:p>
            <w:pPr>
              <w:spacing w:after="0" w:line="186" w:lineRule="exact"/>
              <w:rPr>
                <w:sz w:val="20"/>
                <w:szCs w:val="20"/>
                <w:color w:val="auto"/>
              </w:rPr>
            </w:pPr>
            <w:r>
              <w:rPr>
                <w:rFonts w:ascii="Arial" w:cs="Arial" w:eastAsia="Arial" w:hAnsi="Arial"/>
                <w:sz w:val="18"/>
                <w:szCs w:val="18"/>
                <w:color w:val="0000FF"/>
              </w:rPr>
              <w:t>Item 3.</w:t>
            </w:r>
          </w:p>
        </w:tc>
        <w:tc>
          <w:tcPr>
            <w:tcW w:w="9440" w:type="dxa"/>
            <w:vAlign w:val="bottom"/>
            <w:gridSpan w:val="19"/>
          </w:tcPr>
          <w:p>
            <w:pPr>
              <w:spacing w:after="0" w:line="186" w:lineRule="exact"/>
              <w:rPr>
                <w:sz w:val="20"/>
                <w:szCs w:val="20"/>
                <w:color w:val="auto"/>
              </w:rPr>
            </w:pPr>
            <w:r>
              <w:rPr>
                <w:rFonts w:ascii="Arial" w:cs="Arial" w:eastAsia="Arial" w:hAnsi="Arial"/>
                <w:sz w:val="18"/>
                <w:szCs w:val="18"/>
                <w:color w:val="0000FF"/>
              </w:rPr>
              <w:t>Defaults Upon Senior Securities</w:t>
            </w:r>
          </w:p>
        </w:tc>
        <w:tc>
          <w:tcPr>
            <w:tcW w:w="540" w:type="dxa"/>
            <w:vAlign w:val="bottom"/>
            <w:gridSpan w:val="3"/>
          </w:tcPr>
          <w:p>
            <w:pPr>
              <w:jc w:val="center"/>
              <w:ind w:left="274"/>
              <w:spacing w:after="0" w:line="186" w:lineRule="exact"/>
              <w:rPr>
                <w:sz w:val="20"/>
                <w:szCs w:val="20"/>
                <w:color w:val="auto"/>
              </w:rPr>
            </w:pPr>
            <w:r>
              <w:rPr>
                <w:rFonts w:ascii="Arial" w:cs="Arial" w:eastAsia="Arial" w:hAnsi="Arial"/>
                <w:sz w:val="18"/>
                <w:szCs w:val="18"/>
                <w:color w:val="0000FF"/>
                <w:w w:val="89"/>
              </w:rPr>
              <w:t>61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95" w:lineRule="exact"/>
              <w:rPr>
                <w:sz w:val="20"/>
                <w:szCs w:val="20"/>
                <w:color w:val="auto"/>
              </w:rPr>
            </w:pPr>
            <w:r>
              <w:rPr>
                <w:rFonts w:ascii="Arial" w:cs="Arial" w:eastAsia="Arial" w:hAnsi="Arial"/>
                <w:sz w:val="18"/>
                <w:szCs w:val="18"/>
                <w:color w:val="0000FF"/>
              </w:rPr>
              <w:t>Item 4.</w:t>
            </w:r>
          </w:p>
        </w:tc>
        <w:tc>
          <w:tcPr>
            <w:tcW w:w="9440" w:type="dxa"/>
            <w:vAlign w:val="bottom"/>
            <w:gridSpan w:val="19"/>
            <w:shd w:val="clear" w:color="auto" w:fill="CCEEFF"/>
          </w:tcPr>
          <w:p>
            <w:pPr>
              <w:spacing w:after="0" w:line="195" w:lineRule="exact"/>
              <w:rPr>
                <w:sz w:val="20"/>
                <w:szCs w:val="20"/>
                <w:color w:val="auto"/>
              </w:rPr>
            </w:pPr>
            <w:r>
              <w:rPr>
                <w:rFonts w:ascii="Arial" w:cs="Arial" w:eastAsia="Arial" w:hAnsi="Arial"/>
                <w:sz w:val="18"/>
                <w:szCs w:val="18"/>
                <w:color w:val="0000FF"/>
              </w:rPr>
              <w:t>Mine Safety Disclosures</w:t>
            </w:r>
          </w:p>
        </w:tc>
        <w:tc>
          <w:tcPr>
            <w:tcW w:w="540" w:type="dxa"/>
            <w:vAlign w:val="bottom"/>
            <w:tcBorders>
              <w:right w:val="single" w:sz="8" w:color="CCEEFF"/>
            </w:tcBorders>
            <w:gridSpan w:val="3"/>
            <w:shd w:val="clear" w:color="auto" w:fill="CCEEFF"/>
          </w:tcPr>
          <w:p>
            <w:pPr>
              <w:jc w:val="center"/>
              <w:ind w:left="274"/>
              <w:spacing w:after="0" w:line="195" w:lineRule="exact"/>
              <w:rPr>
                <w:sz w:val="20"/>
                <w:szCs w:val="20"/>
                <w:color w:val="auto"/>
              </w:rPr>
            </w:pPr>
            <w:r>
              <w:rPr>
                <w:rFonts w:ascii="Arial" w:cs="Arial" w:eastAsia="Arial" w:hAnsi="Arial"/>
                <w:sz w:val="18"/>
                <w:szCs w:val="18"/>
                <w:color w:val="0000FF"/>
                <w:w w:val="89"/>
              </w:rPr>
              <w:t>61</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gridSpan w:val="4"/>
          </w:tcPr>
          <w:p>
            <w:pPr>
              <w:spacing w:after="0" w:line="186" w:lineRule="exact"/>
              <w:rPr>
                <w:sz w:val="20"/>
                <w:szCs w:val="20"/>
                <w:color w:val="auto"/>
              </w:rPr>
            </w:pPr>
            <w:r>
              <w:rPr>
                <w:rFonts w:ascii="Arial" w:cs="Arial" w:eastAsia="Arial" w:hAnsi="Arial"/>
                <w:sz w:val="18"/>
                <w:szCs w:val="18"/>
                <w:color w:val="0000FF"/>
              </w:rPr>
              <w:t>Item 5.</w:t>
            </w:r>
          </w:p>
        </w:tc>
        <w:tc>
          <w:tcPr>
            <w:tcW w:w="9440" w:type="dxa"/>
            <w:vAlign w:val="bottom"/>
            <w:gridSpan w:val="19"/>
          </w:tcPr>
          <w:p>
            <w:pPr>
              <w:spacing w:after="0" w:line="186" w:lineRule="exact"/>
              <w:rPr>
                <w:sz w:val="20"/>
                <w:szCs w:val="20"/>
                <w:color w:val="auto"/>
              </w:rPr>
            </w:pPr>
            <w:r>
              <w:rPr>
                <w:rFonts w:ascii="Arial" w:cs="Arial" w:eastAsia="Arial" w:hAnsi="Arial"/>
                <w:sz w:val="18"/>
                <w:szCs w:val="18"/>
                <w:color w:val="0000FF"/>
              </w:rPr>
              <w:t>Other Information</w:t>
            </w:r>
          </w:p>
        </w:tc>
        <w:tc>
          <w:tcPr>
            <w:tcW w:w="540" w:type="dxa"/>
            <w:vAlign w:val="bottom"/>
            <w:gridSpan w:val="3"/>
          </w:tcPr>
          <w:p>
            <w:pPr>
              <w:jc w:val="center"/>
              <w:ind w:left="274"/>
              <w:spacing w:after="0" w:line="186" w:lineRule="exact"/>
              <w:rPr>
                <w:sz w:val="20"/>
                <w:szCs w:val="20"/>
                <w:color w:val="auto"/>
              </w:rPr>
            </w:pPr>
            <w:r>
              <w:rPr>
                <w:rFonts w:ascii="Arial" w:cs="Arial" w:eastAsia="Arial" w:hAnsi="Arial"/>
                <w:sz w:val="18"/>
                <w:szCs w:val="18"/>
                <w:color w:val="0000FF"/>
                <w:w w:val="89"/>
              </w:rPr>
              <w:t>61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spacing w:after="0" w:line="195" w:lineRule="exact"/>
              <w:rPr>
                <w:sz w:val="20"/>
                <w:szCs w:val="20"/>
                <w:color w:val="auto"/>
              </w:rPr>
            </w:pPr>
            <w:r>
              <w:rPr>
                <w:rFonts w:ascii="Arial" w:cs="Arial" w:eastAsia="Arial" w:hAnsi="Arial"/>
                <w:sz w:val="18"/>
                <w:szCs w:val="18"/>
                <w:color w:val="0000FF"/>
              </w:rPr>
              <w:t>Item 6.</w:t>
            </w:r>
          </w:p>
        </w:tc>
        <w:tc>
          <w:tcPr>
            <w:tcW w:w="9440" w:type="dxa"/>
            <w:vAlign w:val="bottom"/>
            <w:gridSpan w:val="19"/>
            <w:shd w:val="clear" w:color="auto" w:fill="CCEEFF"/>
          </w:tcPr>
          <w:p>
            <w:pPr>
              <w:spacing w:after="0" w:line="195" w:lineRule="exact"/>
              <w:rPr>
                <w:sz w:val="20"/>
                <w:szCs w:val="20"/>
                <w:color w:val="auto"/>
              </w:rPr>
            </w:pPr>
            <w:r>
              <w:rPr>
                <w:rFonts w:ascii="Arial" w:cs="Arial" w:eastAsia="Arial" w:hAnsi="Arial"/>
                <w:sz w:val="18"/>
                <w:szCs w:val="18"/>
                <w:color w:val="0000FF"/>
              </w:rPr>
              <w:t>Exhibits</w:t>
            </w:r>
          </w:p>
        </w:tc>
        <w:tc>
          <w:tcPr>
            <w:tcW w:w="540" w:type="dxa"/>
            <w:vAlign w:val="bottom"/>
            <w:tcBorders>
              <w:right w:val="single" w:sz="8" w:color="CCEEFF"/>
            </w:tcBorders>
            <w:gridSpan w:val="3"/>
            <w:shd w:val="clear" w:color="auto" w:fill="CCEEFF"/>
          </w:tcPr>
          <w:p>
            <w:pPr>
              <w:jc w:val="center"/>
              <w:ind w:left="274"/>
              <w:spacing w:after="0" w:line="195" w:lineRule="exact"/>
              <w:rPr>
                <w:sz w:val="20"/>
                <w:szCs w:val="20"/>
                <w:color w:val="auto"/>
              </w:rPr>
            </w:pPr>
            <w:r>
              <w:rPr>
                <w:rFonts w:ascii="Arial" w:cs="Arial" w:eastAsia="Arial" w:hAnsi="Arial"/>
                <w:sz w:val="18"/>
                <w:szCs w:val="18"/>
                <w:color w:val="0000FF"/>
                <w:w w:val="89"/>
              </w:rPr>
              <w:t>61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6" w:lineRule="exact"/>
              <w:rPr>
                <w:sz w:val="20"/>
                <w:szCs w:val="20"/>
                <w:color w:val="auto"/>
              </w:rPr>
            </w:pPr>
            <w:r>
              <w:rPr>
                <w:rFonts w:ascii="Arial" w:cs="Arial" w:eastAsia="Arial" w:hAnsi="Arial"/>
                <w:sz w:val="18"/>
                <w:szCs w:val="18"/>
                <w:color w:val="0000FF"/>
              </w:rPr>
              <w:t>Signatures</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3"/>
            <w:shd w:val="clear" w:color="auto" w:fill="CCEEFF"/>
          </w:tcPr>
          <w:p>
            <w:pPr>
              <w:jc w:val="center"/>
              <w:ind w:left="274"/>
              <w:spacing w:after="0" w:line="186" w:lineRule="exact"/>
              <w:rPr>
                <w:sz w:val="20"/>
                <w:szCs w:val="20"/>
                <w:color w:val="auto"/>
              </w:rPr>
            </w:pPr>
            <w:r>
              <w:rPr>
                <w:rFonts w:ascii="Arial" w:cs="Arial" w:eastAsia="Arial" w:hAnsi="Arial"/>
                <w:sz w:val="18"/>
                <w:szCs w:val="18"/>
                <w:color w:val="0000FF"/>
                <w:w w:val="89"/>
              </w:rPr>
              <w:t>62</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234" w:lineRule="exact"/>
        <w:rPr>
          <w:sz w:val="20"/>
          <w:szCs w:val="20"/>
          <w:color w:val="auto"/>
        </w:rPr>
      </w:pPr>
    </w:p>
    <w:p>
      <w:pPr>
        <w:ind w:left="80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inherent uncertainty of estimating reserves and the possibility that incurred losses may be greater than our loss and loss adjustment expense reserves;</w:t>
      </w:r>
    </w:p>
    <w:p>
      <w:pPr>
        <w:spacing w:after="0" w:line="74"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inaccurate estimates and judgments in our risk management may expose us to greater risks than intended;</w:t>
      </w:r>
    </w:p>
    <w:p>
      <w:pPr>
        <w:spacing w:after="0" w:line="111" w:lineRule="exact"/>
        <w:rPr>
          <w:rFonts w:ascii="Arial" w:cs="Arial" w:eastAsia="Arial" w:hAnsi="Arial"/>
          <w:sz w:val="18"/>
          <w:szCs w:val="18"/>
          <w:color w:val="auto"/>
        </w:rPr>
      </w:pPr>
    </w:p>
    <w:p>
      <w:pPr>
        <w:ind w:left="800" w:right="68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downgrades in the financial strength rating of our regulated insurance subsidiaries impacting our ability to attract and retain insurance and reinsurance business that our subsidiaries write, our competitive position, and our financial condition;</w:t>
      </w:r>
    </w:p>
    <w:p>
      <w:pPr>
        <w:spacing w:after="0" w:line="74"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members of our management team or key employees, and our ability to attract and retain personnel;</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economic factors resulting in the sale of fewer policies than expected or an increase in the frequency or severity of claims, or both;</w:t>
      </w:r>
    </w:p>
    <w:p>
      <w:pPr>
        <w:spacing w:after="0" w:line="122" w:lineRule="exact"/>
        <w:rPr>
          <w:rFonts w:ascii="Arial" w:cs="Arial" w:eastAsia="Arial" w:hAnsi="Arial"/>
          <w:sz w:val="17"/>
          <w:szCs w:val="17"/>
          <w:color w:val="auto"/>
        </w:rPr>
      </w:pPr>
    </w:p>
    <w:p>
      <w:pPr>
        <w:ind w:left="800" w:right="94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persistent high inflationary environment on our reserves, the values of our investments and investment returns, and our compensation expenses;</w:t>
      </w:r>
    </w:p>
    <w:p>
      <w:pPr>
        <w:spacing w:after="0" w:line="74"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credit risk, interest rate risk and other market risk in our investment portfolio;</w:t>
      </w:r>
    </w:p>
    <w:p>
      <w:pPr>
        <w:spacing w:after="0" w:line="111" w:lineRule="exact"/>
        <w:rPr>
          <w:rFonts w:ascii="Arial" w:cs="Arial" w:eastAsia="Arial" w:hAnsi="Arial"/>
          <w:sz w:val="18"/>
          <w:szCs w:val="18"/>
          <w:color w:val="auto"/>
        </w:rPr>
      </w:pPr>
    </w:p>
    <w:p>
      <w:pPr>
        <w:ind w:left="800" w:right="32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brokers and agents for a significant portion of our business and the impact of our potential failure to maintain such relationships;</w:t>
      </w:r>
    </w:p>
    <w:p>
      <w:pPr>
        <w:spacing w:after="0" w:line="74" w:lineRule="exact"/>
        <w:rPr>
          <w:rFonts w:ascii="Arial" w:cs="Arial" w:eastAsia="Arial" w:hAnsi="Arial"/>
          <w:sz w:val="18"/>
          <w:szCs w:val="18"/>
          <w:color w:val="auto"/>
        </w:rPr>
      </w:pPr>
    </w:p>
    <w:p>
      <w:pPr>
        <w:ind w:left="800" w:right="24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customers for a significant portion of our business and the impact of our potential failure to maintain, or decision to terminate, such relationships;</w:t>
      </w:r>
    </w:p>
    <w:p>
      <w:pPr>
        <w:spacing w:after="0" w:line="74" w:lineRule="exact"/>
        <w:rPr>
          <w:rFonts w:ascii="Arial" w:cs="Arial" w:eastAsia="Arial" w:hAnsi="Arial"/>
          <w:sz w:val="18"/>
          <w:szCs w:val="18"/>
          <w:color w:val="auto"/>
        </w:rPr>
      </w:pPr>
    </w:p>
    <w:p>
      <w:pPr>
        <w:ind w:left="800" w:right="4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reinsurance coverage at prices and on terms that allow us to transfer risk and adequately protect our Company against financial loss;</w:t>
      </w:r>
    </w:p>
    <w:p>
      <w:pPr>
        <w:spacing w:after="0" w:line="74" w:lineRule="exact"/>
        <w:rPr>
          <w:rFonts w:ascii="Arial" w:cs="Arial" w:eastAsia="Arial" w:hAnsi="Arial"/>
          <w:sz w:val="18"/>
          <w:szCs w:val="18"/>
          <w:color w:val="auto"/>
        </w:rPr>
      </w:pPr>
    </w:p>
    <w:p>
      <w:pPr>
        <w:ind w:left="800" w:right="520" w:hanging="476"/>
        <w:spacing w:after="0" w:line="277" w:lineRule="auto"/>
        <w:tabs>
          <w:tab w:leader="none" w:pos="795"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w:t>
      </w:r>
    </w:p>
    <w:p>
      <w:pPr>
        <w:spacing w:after="0" w:line="65" w:lineRule="exact"/>
        <w:rPr>
          <w:rFonts w:ascii="Arial" w:cs="Arial" w:eastAsia="Arial" w:hAnsi="Arial"/>
          <w:sz w:val="17"/>
          <w:szCs w:val="17"/>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premiums we charge to compensate us for our losses incurred;</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 and regulations;</w:t>
      </w:r>
    </w:p>
    <w:p>
      <w:pPr>
        <w:spacing w:after="0" w:line="111" w:lineRule="exact"/>
        <w:rPr>
          <w:rFonts w:ascii="Arial" w:cs="Arial" w:eastAsia="Arial" w:hAnsi="Arial"/>
          <w:sz w:val="18"/>
          <w:szCs w:val="18"/>
          <w:color w:val="auto"/>
        </w:rPr>
      </w:pPr>
    </w:p>
    <w:p>
      <w:pPr>
        <w:ind w:left="800" w:right="36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effect of Public Law No. 115-97, informally titled the Tax Cuts and Jobs Act, which may have a significant effect on us including, among other things, by potentially increasing our tax rate, as well as on our shareholders;</w:t>
      </w:r>
    </w:p>
    <w:p>
      <w:pPr>
        <w:spacing w:after="0" w:line="74" w:lineRule="exact"/>
        <w:rPr>
          <w:rFonts w:ascii="Arial" w:cs="Arial" w:eastAsia="Arial" w:hAnsi="Arial"/>
          <w:sz w:val="18"/>
          <w:szCs w:val="18"/>
          <w:color w:val="auto"/>
        </w:rPr>
      </w:pPr>
    </w:p>
    <w:p>
      <w:pPr>
        <w:ind w:left="800" w:right="300" w:hanging="476"/>
        <w:spacing w:after="0" w:line="365" w:lineRule="auto"/>
        <w:tabs>
          <w:tab w:leader="none" w:pos="795"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5" w:lineRule="exact"/>
        <w:rPr>
          <w:rFonts w:ascii="Arial" w:cs="Arial" w:eastAsia="Arial" w:hAnsi="Arial"/>
          <w:sz w:val="15"/>
          <w:szCs w:val="15"/>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or any of its foreign subsidiaries becoming subject to U.S. federal income taxation;</w:t>
      </w:r>
    </w:p>
    <w:p>
      <w:pPr>
        <w:spacing w:after="0" w:line="111" w:lineRule="exact"/>
        <w:rPr>
          <w:rFonts w:ascii="Arial" w:cs="Arial" w:eastAsia="Arial" w:hAnsi="Arial"/>
          <w:sz w:val="18"/>
          <w:szCs w:val="18"/>
          <w:color w:val="auto"/>
        </w:rPr>
      </w:pPr>
    </w:p>
    <w:p>
      <w:pPr>
        <w:ind w:left="800" w:right="76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failure of any of the loss limitations or exclusions we utilize to shield us from unanticipated financial losses or legal exposures, or other liabilities;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3" w:name="page4"/>
    <w:bookmarkEnd w:id="3"/>
    <w:p>
      <w:pPr>
        <w:ind w:left="800" w:right="160" w:hanging="476"/>
        <w:spacing w:after="0" w:line="264" w:lineRule="auto"/>
        <w:tabs>
          <w:tab w:leader="none" w:pos="795"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from catastrophic events, such as natural disasters and terrorist acts, which substantially exceed our expectations and/or exceed the amount of reinsurance we have purchased to protect us from such events;</w:t>
      </w:r>
    </w:p>
    <w:p>
      <w:pPr>
        <w:spacing w:after="0" w:line="74"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the effects of the COVID-19 pandemic and associated government actions on our operations and financial performance;</w:t>
      </w:r>
    </w:p>
    <w:p>
      <w:pPr>
        <w:spacing w:after="0" w:line="111" w:lineRule="exact"/>
        <w:rPr>
          <w:rFonts w:ascii="Arial" w:cs="Arial" w:eastAsia="Arial" w:hAnsi="Arial"/>
          <w:sz w:val="18"/>
          <w:szCs w:val="18"/>
          <w:i w:val="1"/>
          <w:iCs w:val="1"/>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effects on our business of emerging claim and coverage issues;</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internal or external fraud, operational errors, systems malfunctions or cyber security incidents;</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effective internal controls in accordance with Sarbanes-Oxley Act of 2002, as amended (“Sarbanes-Oxley”);</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financial condition, regulations or other factors that may restrict our subsidiaries’ ability to pay us dividends; and</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discussed elsewhere in this Quarterly Report.</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for the year ended December 31, 2021 filed with the SEC on March 1, 2022.</w:t>
      </w:r>
    </w:p>
    <w:p>
      <w:pPr>
        <w:spacing w:after="0" w:line="8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4"/>
                <w:szCs w:val="14"/>
                <w:color w:val="auto"/>
              </w:rPr>
            </w:pPr>
          </w:p>
        </w:tc>
        <w:tc>
          <w:tcPr>
            <w:tcW w:w="11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8"/>
        </w:trPr>
        <w:tc>
          <w:tcPr>
            <w:tcW w:w="8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4"/>
          </w:tcPr>
          <w:p>
            <w:pPr>
              <w:jc w:val="right"/>
              <w:ind w:right="913"/>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5"/>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Invested assets: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92"/>
              </w:rPr>
              <w:t>Fixed maturity securities, available-for-sale, at fair value (amortized cost: 2022 – $1,839,336; 2021 – $1,643,865)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1,639,248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1,677,561</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Equity securities, at fair value (cost: 2022 – $121,446; 2021 – $95,783)</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118,114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108,410</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Bank loan participations, at fair value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156,043</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208,904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136,563</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invested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51,908</w:t>
            </w:r>
          </w:p>
        </w:tc>
        <w:tc>
          <w:tcPr>
            <w:tcW w:w="0" w:type="dxa"/>
            <w:vAlign w:val="bottom"/>
          </w:tcPr>
          <w:p>
            <w:pPr>
              <w:spacing w:after="0"/>
              <w:rPr>
                <w:sz w:val="1"/>
                <w:szCs w:val="1"/>
                <w:color w:val="auto"/>
              </w:rPr>
            </w:pPr>
          </w:p>
        </w:tc>
      </w:tr>
      <w:tr>
        <w:trPr>
          <w:trHeight w:val="218"/>
        </w:trPr>
        <w:tc>
          <w:tcPr>
            <w:tcW w:w="8320" w:type="dxa"/>
            <w:vAlign w:val="bottom"/>
          </w:tcPr>
          <w:p>
            <w:pPr>
              <w:spacing w:after="0"/>
              <w:rPr>
                <w:sz w:val="20"/>
                <w:szCs w:val="20"/>
                <w:color w:val="auto"/>
              </w:rPr>
            </w:pPr>
            <w:r>
              <w:rPr>
                <w:rFonts w:ascii="Arial" w:cs="Arial" w:eastAsia="Arial" w:hAnsi="Arial"/>
                <w:sz w:val="18"/>
                <w:szCs w:val="18"/>
                <w:color w:val="auto"/>
              </w:rPr>
              <w:t>Total invested assets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2,176,033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2,130,485</w:t>
            </w:r>
          </w:p>
        </w:tc>
        <w:tc>
          <w:tcPr>
            <w:tcW w:w="0" w:type="dxa"/>
            <w:vAlign w:val="bottom"/>
          </w:tcPr>
          <w:p>
            <w:pPr>
              <w:spacing w:after="0"/>
              <w:rPr>
                <w:sz w:val="1"/>
                <w:szCs w:val="1"/>
                <w:color w:val="auto"/>
              </w:rPr>
            </w:pPr>
          </w:p>
        </w:tc>
      </w:tr>
      <w:tr>
        <w:trPr>
          <w:trHeight w:val="252"/>
        </w:trPr>
        <w:tc>
          <w:tcPr>
            <w:tcW w:w="8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187,544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190,123</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equivalents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102,005</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Accrued investment income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11,037</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 and agents’ balances,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393,967</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Reinsurance recoverable on unpaid losses,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1,584,836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1,348,628</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 on paid losses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82,235</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Prepaid reinsurance premiums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280,739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291,498</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68,526</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36,039</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112,176</w:t>
            </w: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5,205,491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4,948,550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(Unaudited)</w:t>
            </w:r>
          </w:p>
        </w:tc>
        <w:tc>
          <w:tcPr>
            <w:tcW w:w="180" w:type="dxa"/>
            <w:vAlign w:val="bottom"/>
          </w:tcPr>
          <w:p>
            <w:pPr>
              <w:spacing w:after="0"/>
              <w:rPr>
                <w:sz w:val="14"/>
                <w:szCs w:val="14"/>
                <w:color w:val="auto"/>
              </w:rPr>
            </w:pPr>
          </w:p>
        </w:tc>
        <w:tc>
          <w:tcPr>
            <w:tcW w:w="11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6"/>
        </w:trPr>
        <w:tc>
          <w:tcPr>
            <w:tcW w:w="8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4"/>
          </w:tcPr>
          <w:p>
            <w:pPr>
              <w:jc w:val="right"/>
              <w:ind w:right="214"/>
              <w:spacing w:after="0"/>
              <w:rPr>
                <w:sz w:val="20"/>
                <w:szCs w:val="20"/>
                <w:color w:val="auto"/>
              </w:rPr>
            </w:pPr>
            <w:r>
              <w:rPr>
                <w:rFonts w:ascii="Arial" w:cs="Arial" w:eastAsia="Arial" w:hAnsi="Arial"/>
                <w:sz w:val="14"/>
                <w:szCs w:val="14"/>
                <w:b w:val="1"/>
                <w:bCs w:val="1"/>
                <w:i w:val="1"/>
                <w:iCs w:val="1"/>
                <w:color w:val="auto"/>
                <w:w w:val="91"/>
              </w:rPr>
              <w:t>(in thousands, except share amounts)</w:t>
            </w:r>
          </w:p>
        </w:tc>
        <w:tc>
          <w:tcPr>
            <w:tcW w:w="0" w:type="dxa"/>
            <w:vAlign w:val="bottom"/>
          </w:tcPr>
          <w:p>
            <w:pPr>
              <w:spacing w:after="0"/>
              <w:rPr>
                <w:sz w:val="1"/>
                <w:szCs w:val="1"/>
                <w:color w:val="auto"/>
              </w:rPr>
            </w:pPr>
          </w:p>
        </w:tc>
      </w:tr>
      <w:tr>
        <w:trPr>
          <w:trHeight w:val="23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losses and loss adjustment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2,748,473</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Unearned premiums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696,452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727,552</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Payables to reinsurers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135,617</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Funds held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335,233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97,360</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reinsurance gain</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Senior debt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262,300</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Junior subordinated debt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104,055</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57,920</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89,911</w:t>
            </w:r>
          </w:p>
        </w:tc>
        <w:tc>
          <w:tcPr>
            <w:tcW w:w="0" w:type="dxa"/>
            <w:vAlign w:val="bottom"/>
          </w:tcPr>
          <w:p>
            <w:pPr>
              <w:spacing w:after="0"/>
              <w:rPr>
                <w:sz w:val="1"/>
                <w:szCs w:val="1"/>
                <w:color w:val="auto"/>
              </w:rPr>
            </w:pPr>
          </w:p>
        </w:tc>
      </w:tr>
      <w:tr>
        <w:trPr>
          <w:trHeight w:val="218"/>
        </w:trPr>
        <w:tc>
          <w:tcPr>
            <w:tcW w:w="84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4,533,789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4,223,188</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line="173" w:lineRule="exact"/>
              <w:rPr>
                <w:sz w:val="20"/>
                <w:szCs w:val="20"/>
                <w:color w:val="auto"/>
              </w:rPr>
            </w:pPr>
            <w:r>
              <w:rPr>
                <w:rFonts w:ascii="Arial" w:cs="Arial" w:eastAsia="Arial" w:hAnsi="Arial"/>
                <w:sz w:val="18"/>
                <w:szCs w:val="18"/>
                <w:color w:val="auto"/>
                <w:w w:val="90"/>
              </w:rPr>
              <w:t>Series A redeemable preferred shares – 2022 and 2021: $0.00125 par value; 20,000,000 shares authorized; 150,000</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20"/>
              <w:spacing w:after="0"/>
              <w:rPr>
                <w:sz w:val="20"/>
                <w:szCs w:val="20"/>
                <w:color w:val="auto"/>
              </w:rPr>
            </w:pPr>
            <w:r>
              <w:rPr>
                <w:rFonts w:ascii="Arial" w:cs="Arial" w:eastAsia="Arial" w:hAnsi="Arial"/>
                <w:sz w:val="18"/>
                <w:szCs w:val="18"/>
                <w:color w:val="auto"/>
              </w:rPr>
              <w:t>and no shares issued and outstanding, respectively</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144,898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440" w:type="dxa"/>
            <w:vAlign w:val="bottom"/>
          </w:tcPr>
          <w:p>
            <w:pPr>
              <w:ind w:left="140"/>
              <w:spacing w:after="0" w:line="173" w:lineRule="exact"/>
              <w:rPr>
                <w:sz w:val="20"/>
                <w:szCs w:val="20"/>
                <w:color w:val="auto"/>
              </w:rPr>
            </w:pPr>
            <w:r>
              <w:rPr>
                <w:rFonts w:ascii="Arial" w:cs="Arial" w:eastAsia="Arial" w:hAnsi="Arial"/>
                <w:sz w:val="18"/>
                <w:szCs w:val="18"/>
                <w:color w:val="auto"/>
                <w:w w:val="90"/>
              </w:rPr>
              <w:t>Common shares – 2022 and 2021: $0.0002 par value; 200,000,000 shares authorized; 37,450,438 and 37,373,066</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14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867,309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862,040</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Retained deficit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(165,263)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(166,663)</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29,978</w:t>
            </w:r>
          </w:p>
        </w:tc>
        <w:tc>
          <w:tcPr>
            <w:tcW w:w="0" w:type="dxa"/>
            <w:vAlign w:val="bottom"/>
          </w:tcPr>
          <w:p>
            <w:pPr>
              <w:spacing w:after="0"/>
              <w:rPr>
                <w:sz w:val="1"/>
                <w:szCs w:val="1"/>
                <w:color w:val="auto"/>
              </w:rPr>
            </w:pPr>
          </w:p>
        </w:tc>
      </w:tr>
      <w:tr>
        <w:trPr>
          <w:trHeight w:val="218"/>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526,804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725,362</w:t>
            </w: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Series A redeemable preferred shares,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5,205,491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4,948,550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Income and Comprehensive Loss (Unaudited)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64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93"/>
              </w:rPr>
              <w:t>Nine Months Ended</w:t>
            </w:r>
          </w:p>
        </w:tc>
      </w:tr>
      <w:tr>
        <w:trPr>
          <w:trHeight w:val="189"/>
        </w:trPr>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4"/>
                <w:szCs w:val="14"/>
                <w:b w:val="1"/>
                <w:bCs w:val="1"/>
                <w:color w:val="auto"/>
                <w:w w:val="89"/>
              </w:rPr>
              <w:t>September 30,</w:t>
            </w:r>
          </w:p>
        </w:tc>
        <w:tc>
          <w:tcPr>
            <w:tcW w:w="94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189"/>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4"/>
          </w:tcPr>
          <w:p>
            <w:pPr>
              <w:jc w:val="center"/>
              <w:ind w:right="132"/>
              <w:spacing w:after="0"/>
              <w:rPr>
                <w:sz w:val="20"/>
                <w:szCs w:val="20"/>
                <w:color w:val="auto"/>
              </w:rPr>
            </w:pPr>
            <w:r>
              <w:rPr>
                <w:rFonts w:ascii="Arial" w:cs="Arial" w:eastAsia="Arial" w:hAnsi="Arial"/>
                <w:sz w:val="14"/>
                <w:szCs w:val="14"/>
                <w:b w:val="1"/>
                <w:bCs w:val="1"/>
                <w:i w:val="1"/>
                <w:iCs w:val="1"/>
                <w:color w:val="auto"/>
                <w:w w:val="86"/>
              </w:rPr>
              <w:t>(in thousands, except share amounts)</w:t>
            </w: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358,505</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346,599</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1,118,155</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1,100,000</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written premiums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(168,254)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(573,587)</w:t>
            </w:r>
          </w:p>
        </w:tc>
      </w:tr>
      <w:tr>
        <w:trPr>
          <w:trHeight w:val="218"/>
        </w:trPr>
        <w:tc>
          <w:tcPr>
            <w:tcW w:w="5420" w:type="dxa"/>
            <w:vAlign w:val="bottom"/>
          </w:tcPr>
          <w:p>
            <w:pPr>
              <w:ind w:left="20"/>
              <w:spacing w:after="0"/>
              <w:rPr>
                <w:sz w:val="20"/>
                <w:szCs w:val="20"/>
                <w:color w:val="auto"/>
              </w:rPr>
            </w:pPr>
            <w:r>
              <w:rPr>
                <w:rFonts w:ascii="Arial" w:cs="Arial" w:eastAsia="Arial" w:hAnsi="Arial"/>
                <w:sz w:val="18"/>
                <w:szCs w:val="18"/>
                <w:color w:val="auto"/>
              </w:rPr>
              <w:t>Net written premiums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190,251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158,210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560,801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526,413</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net unearned premiums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(22,507)</w:t>
            </w:r>
          </w:p>
        </w:tc>
      </w:tr>
      <w:tr>
        <w:trPr>
          <w:trHeight w:val="218"/>
        </w:trPr>
        <w:tc>
          <w:tcPr>
            <w:tcW w:w="542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190,189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170,608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566,275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503,906</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44,726</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Net realized and unrealized (losses) gains on investments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13,738</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r>
      <w:tr>
        <w:trPr>
          <w:trHeight w:val="218"/>
        </w:trPr>
        <w:tc>
          <w:tcPr>
            <w:tcW w:w="54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201,229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587,983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565,540</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153,008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166,078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409,985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549,578</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136,414</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2,231</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205,842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568,807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695,187</w:t>
            </w:r>
          </w:p>
        </w:tc>
      </w:tr>
      <w:tr>
        <w:trPr>
          <w:trHeight w:val="218"/>
        </w:trPr>
        <w:tc>
          <w:tcPr>
            <w:tcW w:w="5420" w:type="dxa"/>
            <w:vAlign w:val="bottom"/>
          </w:tcPr>
          <w:p>
            <w:pPr>
              <w:ind w:left="20"/>
              <w:spacing w:after="0"/>
              <w:rPr>
                <w:sz w:val="20"/>
                <w:szCs w:val="20"/>
                <w:color w:val="auto"/>
              </w:rPr>
            </w:pPr>
            <w:r>
              <w:rPr>
                <w:rFonts w:ascii="Arial" w:cs="Arial" w:eastAsia="Arial" w:hAnsi="Arial"/>
                <w:sz w:val="18"/>
                <w:szCs w:val="18"/>
                <w:color w:val="auto"/>
              </w:rPr>
              <w:t>(Loss) income before taxes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19,176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(129,647)</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(23,141)</w:t>
            </w:r>
          </w:p>
        </w:tc>
      </w:tr>
      <w:tr>
        <w:trPr>
          <w:trHeight w:val="218"/>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13,248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(106,506)</w:t>
            </w: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on Series A preferred shares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Net (loss) income available to common shareholders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(7,246)</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7,123</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(106,506)</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5"/>
        </w:trPr>
        <w:tc>
          <w:tcPr>
            <w:tcW w:w="54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4"/>
        </w:trPr>
        <w:tc>
          <w:tcPr>
            <w:tcW w:w="54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2"/>
              </w:rPr>
              <w:t>Net unrealized losses, net of taxes of $(8,910) and $(28,558) in 2022 and</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3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$(1,882) and $(5,517) in 2021</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(60,656)</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(205,227)</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(38,789)</w:t>
            </w:r>
          </w:p>
        </w:tc>
      </w:tr>
      <w:tr>
        <w:trPr>
          <w:trHeight w:val="219"/>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(65,277)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(191,979)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(145,295)</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5"/>
        </w:trPr>
        <w:tc>
          <w:tcPr>
            <w:tcW w:w="54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Net (loss) income per common share: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5"/>
        </w:trPr>
        <w:tc>
          <w:tcPr>
            <w:tcW w:w="542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declared per common share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37,450,381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37,278,469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37,435,798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34,161,022</w:t>
            </w:r>
          </w:p>
        </w:tc>
      </w:tr>
      <w:tr>
        <w:trPr>
          <w:trHeight w:val="224"/>
        </w:trPr>
        <w:tc>
          <w:tcPr>
            <w:tcW w:w="542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37,450,381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37,278,469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37,642,656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34,161,022</w:t>
            </w: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00" w:type="dxa"/>
            <w:vAlign w:val="bottom"/>
          </w:tcPr>
          <w:p>
            <w:pPr>
              <w:spacing w:after="0"/>
              <w:rPr>
                <w:sz w:val="12"/>
                <w:szCs w:val="12"/>
                <w:color w:val="auto"/>
              </w:rPr>
            </w:pPr>
          </w:p>
        </w:tc>
        <w:tc>
          <w:tcPr>
            <w:tcW w:w="130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00" w:type="dxa"/>
            <w:vAlign w:val="bottom"/>
          </w:tcPr>
          <w:p>
            <w:pPr>
              <w:spacing w:after="0"/>
              <w:rPr>
                <w:sz w:val="12"/>
                <w:szCs w:val="12"/>
                <w:color w:val="auto"/>
              </w:rPr>
            </w:pPr>
          </w:p>
        </w:tc>
        <w:tc>
          <w:tcPr>
            <w:tcW w:w="130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2"/>
                <w:szCs w:val="12"/>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00" w:type="dxa"/>
            <w:vAlign w:val="bottom"/>
          </w:tcPr>
          <w:p>
            <w:pPr>
              <w:spacing w:after="0"/>
              <w:rPr>
                <w:sz w:val="16"/>
                <w:szCs w:val="16"/>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9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Shares (Par)</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(Loss) Income</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6"/>
          </w:tcPr>
          <w:p>
            <w:pPr>
              <w:spacing w:after="0"/>
              <w:rPr>
                <w:sz w:val="20"/>
                <w:szCs w:val="20"/>
                <w:color w:val="auto"/>
              </w:rPr>
            </w:pPr>
            <w:r>
              <w:rPr>
                <w:rFonts w:ascii="Arial" w:cs="Arial" w:eastAsia="Arial" w:hAnsi="Arial"/>
                <w:sz w:val="14"/>
                <w:szCs w:val="14"/>
                <w:b w:val="1"/>
                <w:bCs w:val="1"/>
                <w:i w:val="1"/>
                <w:iCs w:val="1"/>
                <w:color w:val="auto"/>
                <w:w w:val="85"/>
              </w:rPr>
              <w:t>(in thousands, except share amounts)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37,450,264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(156,109)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594,386</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(60,656)</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2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under share incentive plans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Dividends on Series A preferred shares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on common shares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9"/>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Balances at September 30, 2022</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37,450,438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867,309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(165,263)</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(175,249)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526,804</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200" w:type="dxa"/>
            <w:vAlign w:val="bottom"/>
          </w:tcPr>
          <w:p>
            <w:pPr>
              <w:jc w:val="right"/>
              <w:spacing w:after="0"/>
              <w:rPr>
                <w:sz w:val="20"/>
                <w:szCs w:val="20"/>
                <w:color w:val="auto"/>
              </w:rPr>
            </w:pPr>
            <w:r>
              <w:rPr>
                <w:rFonts w:ascii="Arial" w:cs="Arial" w:eastAsia="Arial" w:hAnsi="Arial"/>
                <w:sz w:val="18"/>
                <w:szCs w:val="18"/>
                <w:color w:val="auto"/>
              </w:rPr>
              <w:t>37,373,066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862,040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(166,663)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29,978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725,362</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13,248</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(205,227)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(205,227)</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RSUs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Compensation expense under share incentive plans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on Series A preferred shares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Dividends on common shares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44"/>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September 30,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37,450,438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526,804</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10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3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00" w:type="dxa"/>
            <w:vAlign w:val="bottom"/>
          </w:tcPr>
          <w:p>
            <w:pPr>
              <w:spacing w:after="0"/>
              <w:rPr>
                <w:sz w:val="12"/>
                <w:szCs w:val="12"/>
                <w:color w:val="auto"/>
              </w:rPr>
            </w:pPr>
          </w:p>
        </w:tc>
        <w:tc>
          <w:tcPr>
            <w:tcW w:w="130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1000" w:type="dxa"/>
            <w:vAlign w:val="bottom"/>
            <w:gridSpan w:val="3"/>
          </w:tcPr>
          <w:p>
            <w:pPr>
              <w:jc w:val="center"/>
              <w:ind w:right="300"/>
              <w:spacing w:after="0" w:line="146" w:lineRule="exact"/>
              <w:rPr>
                <w:sz w:val="20"/>
                <w:szCs w:val="20"/>
                <w:color w:val="auto"/>
              </w:rPr>
            </w:pPr>
            <w:r>
              <w:rPr>
                <w:rFonts w:ascii="Arial" w:cs="Arial" w:eastAsia="Arial" w:hAnsi="Arial"/>
                <w:sz w:val="14"/>
                <w:szCs w:val="14"/>
                <w:b w:val="1"/>
                <w:bCs w:val="1"/>
                <w:color w:val="auto"/>
                <w:w w:val="95"/>
              </w:rPr>
              <w:t>(Deficit)</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2"/>
                <w:szCs w:val="12"/>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300" w:type="dxa"/>
            <w:vAlign w:val="bottom"/>
          </w:tcPr>
          <w:p>
            <w:pPr>
              <w:spacing w:after="0"/>
              <w:rPr>
                <w:sz w:val="16"/>
                <w:szCs w:val="16"/>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9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Shares (Par)</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0"/>
              </w:rPr>
              <w:t>Earnings</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6"/>
          </w:tcPr>
          <w:p>
            <w:pPr>
              <w:spacing w:after="0"/>
              <w:rPr>
                <w:sz w:val="20"/>
                <w:szCs w:val="20"/>
                <w:color w:val="auto"/>
              </w:rPr>
            </w:pPr>
            <w:r>
              <w:rPr>
                <w:rFonts w:ascii="Arial" w:cs="Arial" w:eastAsia="Arial" w:hAnsi="Arial"/>
                <w:sz w:val="14"/>
                <w:szCs w:val="14"/>
                <w:b w:val="1"/>
                <w:bCs w:val="1"/>
                <w:i w:val="1"/>
                <w:iCs w:val="1"/>
                <w:color w:val="auto"/>
                <w:w w:val="85"/>
              </w:rPr>
              <w:t>(in thousands, except share amounts)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37,275,562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858,499</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(23,889)</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Issuance of common shares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2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under share incentive plans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Dividends on common shares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(11,230)</w:t>
            </w:r>
          </w:p>
        </w:tc>
        <w:tc>
          <w:tcPr>
            <w:tcW w:w="0" w:type="dxa"/>
            <w:vAlign w:val="bottom"/>
          </w:tcPr>
          <w:p>
            <w:pPr>
              <w:spacing w:after="0"/>
              <w:rPr>
                <w:sz w:val="1"/>
                <w:szCs w:val="1"/>
                <w:color w:val="auto"/>
              </w:rPr>
            </w:pPr>
          </w:p>
        </w:tc>
      </w:tr>
      <w:tr>
        <w:trPr>
          <w:trHeight w:val="244"/>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September 30,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37,287,244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859,634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813,639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30,649,261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795,608</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(106,506)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(106,506)</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(38,789)</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Issuance of common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6,497,500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192,107</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200" w:type="dxa"/>
            <w:vAlign w:val="bottom"/>
          </w:tcPr>
          <w:p>
            <w:pPr>
              <w:jc w:val="right"/>
              <w:spacing w:after="0"/>
              <w:rPr>
                <w:sz w:val="20"/>
                <w:szCs w:val="20"/>
                <w:color w:val="auto"/>
              </w:rPr>
            </w:pPr>
            <w:r>
              <w:rPr>
                <w:rFonts w:ascii="Arial" w:cs="Arial" w:eastAsia="Arial" w:hAnsi="Arial"/>
                <w:sz w:val="18"/>
                <w:szCs w:val="18"/>
                <w:color w:val="auto"/>
              </w:rPr>
              <w:t>112,504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under share incentive plans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25"/>
        </w:trPr>
        <w:tc>
          <w:tcPr>
            <w:tcW w:w="4300" w:type="dxa"/>
            <w:vAlign w:val="bottom"/>
          </w:tcPr>
          <w:p>
            <w:pPr>
              <w:ind w:left="20"/>
              <w:spacing w:after="0"/>
              <w:rPr>
                <w:sz w:val="20"/>
                <w:szCs w:val="20"/>
                <w:color w:val="auto"/>
              </w:rPr>
            </w:pPr>
            <w:r>
              <w:rPr>
                <w:rFonts w:ascii="Arial" w:cs="Arial" w:eastAsia="Arial" w:hAnsi="Arial"/>
                <w:sz w:val="18"/>
                <w:szCs w:val="18"/>
                <w:color w:val="auto"/>
              </w:rPr>
              <w:t>Dividends on common shares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(31,833)</w:t>
            </w:r>
          </w:p>
        </w:tc>
        <w:tc>
          <w:tcPr>
            <w:tcW w:w="0" w:type="dxa"/>
            <w:vAlign w:val="bottom"/>
          </w:tcPr>
          <w:p>
            <w:pPr>
              <w:spacing w:after="0"/>
              <w:rPr>
                <w:sz w:val="1"/>
                <w:szCs w:val="1"/>
                <w:color w:val="auto"/>
              </w:rPr>
            </w:pPr>
          </w:p>
        </w:tc>
      </w:tr>
      <w:tr>
        <w:trPr>
          <w:trHeight w:val="244"/>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September 30,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37,287,244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859,634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813,639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4"/>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189"/>
        </w:trPr>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6"/>
                <w:szCs w:val="16"/>
                <w:color w:val="auto"/>
              </w:rPr>
            </w:pPr>
          </w:p>
        </w:tc>
      </w:tr>
      <w:tr>
        <w:trPr>
          <w:trHeight w:val="235"/>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Net cash provided by (used in) operating activities (a)</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168,129</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(1,061,314)</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Securities available-for-sale:</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fixed maturity securities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(326,483)</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Sales – fixed maturity securities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206,790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118,260</w:t>
            </w: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and calls – fixed maturity securities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226,280</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Purchases – equity securities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(14,339)</w:t>
            </w: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 equity securities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Bank loan participations: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(88,376)</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Sales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43,257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48,854</w:t>
            </w: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39,058</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Other invested assets: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(11,644)</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Return of capital</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103,347</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Securities receivable or payable, net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12,365</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r>
      <w:tr>
        <w:trPr>
          <w:trHeight w:val="218"/>
        </w:trPr>
        <w:tc>
          <w:tcPr>
            <w:tcW w:w="83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(262,181)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111,759</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Senior debt repayments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A preferred shares (Note 12)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Issuance of common shares - public offering</w:t>
            </w:r>
          </w:p>
        </w:tc>
        <w:tc>
          <w:tcPr>
            <w:tcW w:w="2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192,107</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under equity incentive plans</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Common share repurchases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(2,762)</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Dividends on Series A preferred shares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Dividends on common shares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(31,990)</w:t>
            </w:r>
          </w:p>
        </w:tc>
      </w:tr>
      <w:tr>
        <w:trPr>
          <w:trHeight w:val="21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91,953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157,926</w:t>
            </w:r>
          </w:p>
        </w:tc>
      </w:tr>
      <w:tr>
        <w:trPr>
          <w:trHeight w:val="218"/>
        </w:trPr>
        <w:tc>
          <w:tcPr>
            <w:tcW w:w="8320" w:type="dxa"/>
            <w:vAlign w:val="bottom"/>
          </w:tcPr>
          <w:p>
            <w:pPr>
              <w:spacing w:after="0"/>
              <w:rPr>
                <w:sz w:val="20"/>
                <w:szCs w:val="20"/>
                <w:color w:val="auto"/>
              </w:rPr>
            </w:pPr>
            <w:r>
              <w:rPr>
                <w:rFonts w:ascii="Arial" w:cs="Arial" w:eastAsia="Arial" w:hAnsi="Arial"/>
                <w:sz w:val="18"/>
                <w:szCs w:val="18"/>
                <w:color w:val="auto"/>
              </w:rPr>
              <w:t>Change in cash, cash equivalents, and restricted cash equivalents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(791,629)</w:t>
            </w:r>
          </w:p>
        </w:tc>
      </w:tr>
      <w:tr>
        <w:trPr>
          <w:trHeight w:val="225"/>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292,128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1,022,180</w:t>
            </w:r>
          </w:p>
        </w:tc>
      </w:tr>
      <w:tr>
        <w:trPr>
          <w:trHeight w:val="219"/>
        </w:trPr>
        <w:tc>
          <w:tcPr>
            <w:tcW w:w="8320" w:type="dxa"/>
            <w:vAlign w:val="bottom"/>
          </w:tcPr>
          <w:p>
            <w:pPr>
              <w:spacing w:after="0"/>
              <w:rPr>
                <w:sz w:val="20"/>
                <w:szCs w:val="20"/>
                <w:color w:val="auto"/>
              </w:rPr>
            </w:pPr>
            <w:r>
              <w:rPr>
                <w:rFonts w:ascii="Arial" w:cs="Arial" w:eastAsia="Arial" w:hAnsi="Arial"/>
                <w:sz w:val="18"/>
                <w:szCs w:val="18"/>
                <w:color w:val="auto"/>
              </w:rPr>
              <w:t>Cash, cash equivalents, and restricted cash equivalents at end of period</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290,029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230,551</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Interest paid</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7,473</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8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Restricted cash equivalents at beginning of period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102,005</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859,920</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equivalents at end of period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4"/>
        </w:trPr>
        <w:tc>
          <w:tcPr>
            <w:tcW w:w="8320" w:type="dxa"/>
            <w:vAlign w:val="bottom"/>
          </w:tcPr>
          <w:p>
            <w:pPr>
              <w:spacing w:after="0"/>
              <w:rPr>
                <w:sz w:val="20"/>
                <w:szCs w:val="20"/>
                <w:color w:val="auto"/>
              </w:rPr>
            </w:pPr>
            <w:r>
              <w:rPr>
                <w:rFonts w:ascii="Arial" w:cs="Arial" w:eastAsia="Arial" w:hAnsi="Arial"/>
                <w:sz w:val="18"/>
                <w:szCs w:val="18"/>
                <w:color w:val="auto"/>
              </w:rPr>
              <w:t>Change in restricted cash equivalents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(849,920)</w:t>
            </w:r>
          </w:p>
        </w:tc>
      </w:tr>
    </w:tbl>
    <w:p>
      <w:pPr>
        <w:spacing w:after="0" w:line="314" w:lineRule="exact"/>
        <w:rPr>
          <w:sz w:val="20"/>
          <w:szCs w:val="20"/>
          <w:color w:val="auto"/>
        </w:rPr>
      </w:pPr>
    </w:p>
    <w:p>
      <w:pPr>
        <w:jc w:val="both"/>
        <w:ind w:firstLine="6"/>
        <w:spacing w:after="0" w:line="258" w:lineRule="auto"/>
        <w:tabs>
          <w:tab w:leader="none" w:pos="198"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Cash used in operating activities for the nine months ended September 30, 2021 primarily reflects restricted cash equivalents returned to a former insured, per the terms of a collateral trust. See “Item 2. Management’s Discussion and Analysis of Financial Condition and Results of Operations – </w:t>
      </w:r>
      <w:r>
        <w:rPr>
          <w:rFonts w:ascii="Arial" w:cs="Arial" w:eastAsia="Arial" w:hAnsi="Arial"/>
          <w:sz w:val="14"/>
          <w:szCs w:val="14"/>
          <w:i w:val="1"/>
          <w:iCs w:val="1"/>
          <w:color w:val="auto"/>
        </w:rPr>
        <w:t>Amounts Recoverable from an Indemnifying Party and Reinsurer on Legacy Commercial Auto</w:t>
      </w:r>
      <w:r>
        <w:rPr>
          <w:rFonts w:ascii="Arial" w:cs="Arial" w:eastAsia="Arial" w:hAnsi="Arial"/>
          <w:sz w:val="14"/>
          <w:szCs w:val="14"/>
          <w:color w:val="auto"/>
        </w:rPr>
        <w:t xml:space="preserve"> </w:t>
      </w:r>
      <w:r>
        <w:rPr>
          <w:rFonts w:ascii="Arial" w:cs="Arial" w:eastAsia="Arial" w:hAnsi="Arial"/>
          <w:sz w:val="14"/>
          <w:szCs w:val="14"/>
          <w:i w:val="1"/>
          <w:iCs w:val="1"/>
          <w:color w:val="auto"/>
        </w:rPr>
        <w:t>Book</w:t>
      </w:r>
      <w:r>
        <w:rPr>
          <w:rFonts w:ascii="Arial" w:cs="Arial" w:eastAsia="Arial" w:hAnsi="Arial"/>
          <w:sz w:val="14"/>
          <w:szCs w:val="14"/>
          <w:color w:val="auto"/>
        </w:rPr>
        <w:t>”. Excluding the restricted cash activity above, cash provided by (used in) operating activities was $167.6 million and $(211.4) million for the nine months ended September 30, 2022 and 2021,</w:t>
      </w:r>
      <w:r>
        <w:rPr>
          <w:rFonts w:ascii="Arial" w:cs="Arial" w:eastAsia="Arial" w:hAnsi="Arial"/>
          <w:sz w:val="14"/>
          <w:szCs w:val="14"/>
          <w:i w:val="1"/>
          <w:iCs w:val="1"/>
          <w:color w:val="auto"/>
        </w:rPr>
        <w:t xml:space="preserve"> </w:t>
      </w:r>
      <w:r>
        <w:rPr>
          <w:rFonts w:ascii="Arial" w:cs="Arial" w:eastAsia="Arial" w:hAnsi="Arial"/>
          <w:sz w:val="14"/>
          <w:szCs w:val="14"/>
          <w:color w:val="auto"/>
        </w:rPr>
        <w:t>respectively. The cash used in operating activities excluding the reduction in collateral funds for the nine months ended September 30, 2021 primarily reflects $317.6 million paid to effect a loss portfolio transfer reinsurance transaction in the third quarter.</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9460" w:firstLine="6"/>
        <w:spacing w:after="0" w:line="394" w:lineRule="auto"/>
        <w:tabs>
          <w:tab w:leader="none" w:pos="299"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Organization</w:t>
      </w:r>
    </w:p>
    <w:p>
      <w:pPr>
        <w:ind w:firstLine="318"/>
        <w:spacing w:after="0" w:line="264" w:lineRule="auto"/>
        <w:rPr>
          <w:sz w:val="20"/>
          <w:szCs w:val="20"/>
          <w:color w:val="auto"/>
        </w:rPr>
      </w:pPr>
      <w:r>
        <w:rPr>
          <w:rFonts w:ascii="Arial" w:cs="Arial" w:eastAsia="Arial" w:hAnsi="Arial"/>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7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owns five insurance companies based in the United States (“U.S.”) focused on specialty insurance niches and two Bermuda-based reinsurance companies as described below:</w:t>
      </w:r>
    </w:p>
    <w:p>
      <w:pPr>
        <w:spacing w:after="0" w:line="75" w:lineRule="exact"/>
        <w:rPr>
          <w:sz w:val="20"/>
          <w:szCs w:val="20"/>
          <w:color w:val="auto"/>
        </w:rPr>
      </w:pPr>
    </w:p>
    <w:p>
      <w:pPr>
        <w:ind w:left="640" w:hanging="316"/>
        <w:spacing w:after="0" w:line="365" w:lineRule="auto"/>
        <w:tabs>
          <w:tab w:leader="none" w:pos="635" w:val="left"/>
        </w:tabs>
        <w:numPr>
          <w:ilvl w:val="0"/>
          <w:numId w:val="7"/>
        </w:numPr>
        <w:rPr>
          <w:rFonts w:ascii="Arial" w:cs="Arial" w:eastAsia="Arial" w:hAnsi="Arial"/>
          <w:sz w:val="15"/>
          <w:szCs w:val="15"/>
          <w:color w:val="auto"/>
        </w:rPr>
      </w:pPr>
      <w:r>
        <w:rPr>
          <w:rFonts w:ascii="Arial" w:cs="Arial" w:eastAsia="Arial" w:hAnsi="Arial"/>
          <w:sz w:val="15"/>
          <w:szCs w:val="15"/>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5"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82"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7"/>
        </w:numPr>
        <w:rPr>
          <w:rFonts w:ascii="Arial" w:cs="Arial" w:eastAsia="Arial" w:hAnsi="Arial"/>
          <w:sz w:val="15"/>
          <w:szCs w:val="15"/>
          <w:color w:val="auto"/>
        </w:rPr>
      </w:pPr>
      <w:r>
        <w:rPr>
          <w:rFonts w:ascii="Arial" w:cs="Arial" w:eastAsia="Arial" w:hAnsi="Arial"/>
          <w:sz w:val="15"/>
          <w:szCs w:val="15"/>
          <w:color w:val="auto"/>
        </w:rPr>
        <w:t>James River Insurance Company is an Ohio domiciled excess and surplus lines insurance company that, with its wholly-owned insurance subsidiary, James River Casualty Company, a Virginia domiciled company, is authorized to write business in every state and the District of Columbia.</w:t>
      </w:r>
    </w:p>
    <w:p>
      <w:pPr>
        <w:spacing w:after="0" w:line="5" w:lineRule="exact"/>
        <w:rPr>
          <w:rFonts w:ascii="Arial" w:cs="Arial" w:eastAsia="Arial" w:hAnsi="Arial"/>
          <w:sz w:val="15"/>
          <w:szCs w:val="15"/>
          <w:color w:val="auto"/>
        </w:rPr>
      </w:pPr>
    </w:p>
    <w:p>
      <w:pPr>
        <w:jc w:val="both"/>
        <w:ind w:left="640" w:hanging="316"/>
        <w:spacing w:after="0" w:line="25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and its subsidiaries primarily write specialty admitted fronting and program business and individual risk workers' compensation insurance.</w:t>
      </w:r>
    </w:p>
    <w:p>
      <w:pPr>
        <w:spacing w:after="0" w:line="8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spacing w:after="0" w:line="82" w:lineRule="exact"/>
        <w:rPr>
          <w:rFonts w:ascii="Arial" w:cs="Arial" w:eastAsia="Arial" w:hAnsi="Arial"/>
          <w:sz w:val="18"/>
          <w:szCs w:val="18"/>
          <w:color w:val="auto"/>
        </w:rPr>
      </w:pPr>
    </w:p>
    <w:p>
      <w:pPr>
        <w:jc w:val="both"/>
        <w:ind w:left="640" w:hanging="316"/>
        <w:spacing w:after="0" w:line="318" w:lineRule="auto"/>
        <w:tabs>
          <w:tab w:leader="none" w:pos="635" w:val="left"/>
        </w:tabs>
        <w:numPr>
          <w:ilvl w:val="0"/>
          <w:numId w:val="7"/>
        </w:numPr>
        <w:rPr>
          <w:rFonts w:ascii="Arial" w:cs="Arial" w:eastAsia="Arial" w:hAnsi="Arial"/>
          <w:sz w:val="15"/>
          <w:szCs w:val="15"/>
          <w:color w:val="auto"/>
        </w:rPr>
      </w:pPr>
      <w:r>
        <w:rPr>
          <w:rFonts w:ascii="Arial" w:cs="Arial" w:eastAsia="Arial" w:hAnsi="Arial"/>
          <w:sz w:val="15"/>
          <w:szCs w:val="15"/>
          <w:color w:val="auto"/>
        </w:rPr>
        <w:t>Carolina Re Ltd (“Carolina Re”) was formed in 2018 and from January 1, 2018 through December 31, 2021 provided reinsurance to the Company’s U.S.-based insurance subsidiaries. During the three months ended September 30, 2022, Carolina Re commuted the majority of the outstanding obligations ceded under the intercompany quota share reinsurance agreements back to the Company’s U.S.-based insurance subsidiaries with effect from January 1, 2022. Carolina Re was also the cedent on an aggregate stop loss reinsurance treaty with JRG Re through December 31, 2021.</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2021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2021 was derived from the Company’s audited annual consolidated financial statements.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Intercompany transactions and balances have been eliminated.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7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$28.2 million and $26.9 million at September 30, 2022 and December 31, 2021, respectively, representing the Company’s maximum exposure to loss.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1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For the nine months ended September 30, 2022, our U.S. federal income tax expense was 30.9% of the income before taxes. The effective rate exceeded the 21.0% U.S. statutory rate due to a projected annual loss in Bermuda that does not provide a tax benefit and certain discreet items including excess tax expenses associated with vested restricted share units (“RSUs”) in the nine months ended September 30, 2022. The Company had a pre-tax loss of $129.6 million for the nine months ended September 30, 2021 and recorded a U.S. federal income tax benefit of $23.1 million. For the nine months ended September 30, 2021, our U.S. federal income tax benefit was 17.8% of the loss before taxes. The pre-tax loss was largely driven by the $210.8 million of net adverse reserve development on prior accident years, including $190.7 million of net adverse development from the Excess and Surplus Lines segment that was primarily related to a former commercial auto account.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Standards</w:t>
      </w:r>
    </w:p>
    <w:p>
      <w:pPr>
        <w:spacing w:after="0" w:line="11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In August 2020, the FASB issued </w:t>
      </w:r>
      <w:r>
        <w:rPr>
          <w:rFonts w:ascii="Arial" w:cs="Arial" w:eastAsia="Arial" w:hAnsi="Arial"/>
          <w:sz w:val="15"/>
          <w:szCs w:val="15"/>
          <w:i w:val="1"/>
          <w:iCs w:val="1"/>
          <w:color w:val="auto"/>
        </w:rPr>
        <w:t>ASU 2020-06, Debt — Debt with Conversion and Other Options (Subtopic 470-20) and Derivatives and Hedging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Contracts in Entity’s Own Equity (Subtopic 815-40), Accounting for Convertible Instruments and Contracts in an Entity’s Own Equity. </w:t>
      </w:r>
      <w:r>
        <w:rPr>
          <w:rFonts w:ascii="Arial" w:cs="Arial" w:eastAsia="Arial" w:hAnsi="Arial"/>
          <w:sz w:val="15"/>
          <w:szCs w:val="15"/>
          <w:color w:val="auto"/>
        </w:rPr>
        <w:t>ASU 2020-06</w:t>
      </w:r>
      <w:r>
        <w:rPr>
          <w:rFonts w:ascii="Arial" w:cs="Arial" w:eastAsia="Arial" w:hAnsi="Arial"/>
          <w:sz w:val="15"/>
          <w:szCs w:val="15"/>
          <w:i w:val="1"/>
          <w:iCs w:val="1"/>
          <w:color w:val="auto"/>
        </w:rPr>
        <w:t xml:space="preserve"> </w:t>
      </w:r>
      <w:r>
        <w:rPr>
          <w:rFonts w:ascii="Arial" w:cs="Arial" w:eastAsia="Arial" w:hAnsi="Arial"/>
          <w:sz w:val="15"/>
          <w:szCs w:val="15"/>
          <w:color w:val="auto"/>
        </w:rPr>
        <w:t>simplifies the accounting for convertible debt instruments and convertible preferred stock and became effective for interim and annual periods beginning after December 15, 2021. The Company adopted the new standard concurrent with the issuance of our Series A preferred shares on March 1, 2022. Under ASU 2020-06, embedded conversion features are no longer separated from the host contract for convertible instruments with conversion features that are not required to be accounted for as derivatives under Topic 815, or that do not result in substantial premiums accounted for as paid-in capital. The new guidance also requires entities to use the if-converted method for all convertible instruments in the diluted earnings per share calculation and generally requires them to include the effect of potential share settlement for instruments that may be settled in cash or shares. Adoption of the new standard did not materially impact our financial position, results of operations, or earnings per share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44"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17"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Company’s available-for-sale fixed maturity securities are summarized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4"/>
                <w:szCs w:val="1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78"/>
              </w:rPr>
              <w:t>Losses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8"/>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74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2022</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320,897</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388,386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348,927</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593,957</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303,845</w:t>
            </w:r>
          </w:p>
        </w:tc>
        <w:tc>
          <w:tcPr>
            <w:tcW w:w="0" w:type="dxa"/>
            <w:vAlign w:val="bottom"/>
          </w:tcPr>
          <w:p>
            <w:pPr>
              <w:spacing w:after="0"/>
              <w:rPr>
                <w:sz w:val="1"/>
                <w:szCs w:val="1"/>
                <w:color w:val="auto"/>
              </w:rPr>
            </w:pPr>
          </w:p>
        </w:tc>
      </w:tr>
      <w:tr>
        <w:trPr>
          <w:trHeight w:val="174"/>
        </w:trPr>
        <w:tc>
          <w:tcPr>
            <w:tcW w:w="55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71,622</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1,839,336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(200,707)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1,639,248</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333,717</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246,586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246,631</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732,335</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301,247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304,488</w:t>
            </w:r>
          </w:p>
        </w:tc>
        <w:tc>
          <w:tcPr>
            <w:tcW w:w="0" w:type="dxa"/>
            <w:vAlign w:val="bottom"/>
          </w:tcPr>
          <w:p>
            <w:pPr>
              <w:spacing w:after="0"/>
              <w:rPr>
                <w:sz w:val="1"/>
                <w:szCs w:val="1"/>
                <w:color w:val="auto"/>
              </w:rPr>
            </w:pPr>
          </w:p>
        </w:tc>
      </w:tr>
      <w:tr>
        <w:trPr>
          <w:trHeight w:val="174"/>
        </w:trPr>
        <w:tc>
          <w:tcPr>
            <w:tcW w:w="55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60,390</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1,643,865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1,677,561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The amortized cost and fair value of available-for-sale investments in fixed maturity securities at September 30, 2022 are summarized, by contractual maturity,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 or</w:t>
            </w:r>
          </w:p>
        </w:tc>
        <w:tc>
          <w:tcPr>
            <w:tcW w:w="440" w:type="dxa"/>
            <w:vAlign w:val="bottom"/>
          </w:tcPr>
          <w:p>
            <w:pPr>
              <w:spacing w:after="0"/>
              <w:rPr>
                <w:sz w:val="14"/>
                <w:szCs w:val="14"/>
                <w:color w:val="auto"/>
              </w:rPr>
            </w:pPr>
          </w:p>
        </w:tc>
        <w:tc>
          <w:tcPr>
            <w:tcW w:w="90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6"/>
        </w:trPr>
        <w:tc>
          <w:tcPr>
            <w:tcW w:w="8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color w:val="auto"/>
                <w:w w:val="93"/>
              </w:rPr>
              <w:t>Amortized</w:t>
            </w:r>
          </w:p>
        </w:tc>
        <w:tc>
          <w:tcPr>
            <w:tcW w:w="4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8"/>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48,892</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439,524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409,673</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300,364</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281,648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227,547</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mortgage-backed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348,927</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303,845</w:t>
            </w: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1,839,336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1,639,248</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Actual maturities may differ for some securities because borrowers have the right to call or prepay obligations with or without penalties.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5"/>
          </w:tcPr>
          <w:p>
            <w:pPr>
              <w:ind w:left="300"/>
              <w:spacing w:after="0"/>
              <w:rPr>
                <w:sz w:val="20"/>
                <w:szCs w:val="20"/>
                <w:color w:val="auto"/>
              </w:rPr>
            </w:pPr>
            <w:r>
              <w:rPr>
                <w:rFonts w:ascii="Arial" w:cs="Arial" w:eastAsia="Arial" w:hAnsi="Arial"/>
                <w:sz w:val="14"/>
                <w:szCs w:val="14"/>
                <w:b w:val="1"/>
                <w:bCs w:val="1"/>
                <w:color w:val="auto"/>
              </w:rPr>
              <w:t>Less Than 12 Months</w:t>
            </w:r>
          </w:p>
        </w:tc>
        <w:tc>
          <w:tcPr>
            <w:tcW w:w="240" w:type="dxa"/>
            <w:vAlign w:val="bottom"/>
          </w:tcPr>
          <w:p>
            <w:pPr>
              <w:spacing w:after="0"/>
              <w:rPr>
                <w:sz w:val="15"/>
                <w:szCs w:val="15"/>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12 Months or More</w:t>
            </w:r>
          </w:p>
        </w:tc>
        <w:tc>
          <w:tcPr>
            <w:tcW w:w="22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30"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30"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2"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7"/>
              </w:rPr>
              <w:t>(in thousands)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2022</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(56,859)</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265,562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76,678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342,240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(39,700)</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(75,284)</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247,461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(24,177)</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260"/>
              <w:spacing w:after="0" w:line="174" w:lineRule="exact"/>
              <w:rPr>
                <w:sz w:val="20"/>
                <w:szCs w:val="20"/>
                <w:color w:val="auto"/>
              </w:rPr>
            </w:pPr>
            <w:r>
              <w:rPr>
                <w:rFonts w:ascii="Arial" w:cs="Arial" w:eastAsia="Arial" w:hAnsi="Arial"/>
                <w:sz w:val="18"/>
                <w:szCs w:val="18"/>
                <w:color w:val="auto"/>
                <w:w w:val="92"/>
              </w:rPr>
              <w:t>U.S. Treasury securities and obligations guaranteed</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by the U.S. government</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21,071</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71,622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1,293,250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(136,862)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320,207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1,613,457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(200,707)</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160,518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260"/>
              <w:spacing w:after="0" w:line="174" w:lineRule="exact"/>
              <w:rPr>
                <w:sz w:val="20"/>
                <w:szCs w:val="20"/>
                <w:color w:val="auto"/>
              </w:rPr>
            </w:pPr>
            <w:r>
              <w:rPr>
                <w:rFonts w:ascii="Arial" w:cs="Arial" w:eastAsia="Arial" w:hAnsi="Arial"/>
                <w:sz w:val="18"/>
                <w:szCs w:val="18"/>
                <w:color w:val="auto"/>
                <w:w w:val="92"/>
              </w:rPr>
              <w:t>U.S. Treasury securities and obligations guaranteed</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by the U.S. government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596,444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617,605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At September 30, 2022, the Company held fixed maturity securities of 573 issuers that were in an unrealized loss position with a total fair value of $1,613.5 million and gross unrealized losses of $200.7 million. None of the fixed maturity securities with unrealized losses has ever missed, or been delinquent on, a scheduled principal or interest payment. At September 30, 2022, 99.8% of the Company’s fixed maturity security portfolio was rated “BBB-” or better (“investment grade”) by Standard &amp; Poor’s or received an equivalent rating from another nationally recognized rating agency. Fixed maturity securities with ratings below investment grade by Standard &amp; Poor’s or another nationally recognized rating agency at September 30, 2022 had an aggregate fair value of $2.6 million and an aggregate net unrealized loss of $250,000.</w:t>
      </w:r>
    </w:p>
    <w:p>
      <w:pPr>
        <w:spacing w:after="0" w:line="7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The Company reviews its available-for-sale fixed maturities to determine whether unrealized losses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Arial" w:cs="Arial" w:eastAsia="Arial" w:hAnsi="Arial"/>
          <w:sz w:val="18"/>
          <w:szCs w:val="18"/>
          <w:color w:val="000000"/>
        </w:rPr>
        <w:t>et realized and unrealized gains (losses) on investments</w:t>
      </w:r>
      <w:r>
        <w:rPr>
          <w:rFonts w:ascii="Arial" w:cs="Arial" w:eastAsia="Arial" w:hAnsi="Arial"/>
          <w:sz w:val="18"/>
          <w:szCs w:val="18"/>
          <w:color w:val="231F20"/>
        </w:rPr>
        <w:t>. Unrealized losses that are not credit-related are recognized in other comprehensive income.</w:t>
      </w:r>
    </w:p>
    <w:p>
      <w:pPr>
        <w:spacing w:after="0" w:line="8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September 30, 2022, December 31, 2021, or September 30, 2021. </w:t>
      </w:r>
      <w:r>
        <w:rPr>
          <w:rFonts w:ascii="Arial" w:cs="Arial" w:eastAsia="Arial" w:hAnsi="Arial"/>
          <w:sz w:val="17"/>
          <w:szCs w:val="17"/>
          <w:color w:val="231F20"/>
        </w:rPr>
        <w:t>Management does not intend to sell the securities in an unrealized loss position, and it is not “more likely than not” that the Company will be required to sell these securities before a recovery in their value to their amortized cost basis occurs.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231F20"/>
        </w:rPr>
        <w:t xml:space="preserve">Bank loan participations are measured at fair value pursuant to the Company's election of the fair value option, and changes in unrealized gains and losses in bank loan participations are reported in our income statement as net realized and unrealized gains (losses) on investments. Applying the fair value option to the bank loan portfolio increases volatility in the Company's financial statements, but management believes it is less subjective and less burdensome to implement and maintain than the requirements of ASU 2016-13. At September 30, 2022, the Company's bank loan portfolio had an aggregate fair value of $160.3 million and unpaid principal of $178.8 million. Investment income on bank loan participations included in net investment income was $3.4 million and $8.4 million for the </w:t>
      </w:r>
      <w:r>
        <w:rPr>
          <w:rFonts w:ascii="Arial" w:cs="Arial" w:eastAsia="Arial" w:hAnsi="Arial"/>
          <w:sz w:val="17"/>
          <w:szCs w:val="17"/>
          <w:color w:val="000000"/>
        </w:rPr>
        <w:t>three and nine</w:t>
      </w:r>
      <w:r>
        <w:rPr>
          <w:rFonts w:ascii="Arial" w:cs="Arial" w:eastAsia="Arial" w:hAnsi="Arial"/>
          <w:sz w:val="17"/>
          <w:szCs w:val="17"/>
          <w:color w:val="231F20"/>
        </w:rPr>
        <w:t xml:space="preserve"> months ended September 30, 2022, respectively ($2.8 million and $8.2 million for the </w:t>
      </w:r>
      <w:r>
        <w:rPr>
          <w:rFonts w:ascii="Arial" w:cs="Arial" w:eastAsia="Arial" w:hAnsi="Arial"/>
          <w:sz w:val="17"/>
          <w:szCs w:val="17"/>
          <w:color w:val="000000"/>
        </w:rPr>
        <w:t>three and nine</w:t>
      </w:r>
      <w:r>
        <w:rPr>
          <w:rFonts w:ascii="Arial" w:cs="Arial" w:eastAsia="Arial" w:hAnsi="Arial"/>
          <w:sz w:val="17"/>
          <w:szCs w:val="17"/>
          <w:color w:val="231F20"/>
        </w:rPr>
        <w:t xml:space="preserve"> months ended </w:t>
      </w:r>
      <w:r>
        <w:rPr>
          <w:rFonts w:ascii="Arial" w:cs="Arial" w:eastAsia="Arial" w:hAnsi="Arial"/>
          <w:sz w:val="17"/>
          <w:szCs w:val="17"/>
          <w:color w:val="000000"/>
        </w:rPr>
        <w:t xml:space="preserve">September 30, 2021, respectively). </w:t>
      </w:r>
      <w:r>
        <w:rPr>
          <w:rFonts w:ascii="Arial" w:cs="Arial" w:eastAsia="Arial" w:hAnsi="Arial"/>
          <w:sz w:val="17"/>
          <w:szCs w:val="17"/>
          <w:color w:val="231F20"/>
        </w:rPr>
        <w:t>Net realized and unrealized gains (losses) on investments includes losses on bank loan participations of $2.2 million and</w:t>
      </w:r>
      <w:r>
        <w:rPr>
          <w:rFonts w:ascii="Arial" w:cs="Arial" w:eastAsia="Arial" w:hAnsi="Arial"/>
          <w:sz w:val="17"/>
          <w:szCs w:val="17"/>
          <w:color w:val="000000"/>
        </w:rPr>
        <w:t xml:space="preserve"> </w:t>
      </w:r>
      <w:r>
        <w:rPr>
          <w:rFonts w:ascii="Arial" w:cs="Arial" w:eastAsia="Arial" w:hAnsi="Arial"/>
          <w:sz w:val="17"/>
          <w:szCs w:val="17"/>
          <w:color w:val="231F20"/>
        </w:rPr>
        <w:t xml:space="preserve">$14.2 million for the </w:t>
      </w:r>
      <w:r>
        <w:rPr>
          <w:rFonts w:ascii="Arial" w:cs="Arial" w:eastAsia="Arial" w:hAnsi="Arial"/>
          <w:sz w:val="17"/>
          <w:szCs w:val="17"/>
          <w:color w:val="000000"/>
        </w:rPr>
        <w:t>three and nine</w:t>
      </w:r>
      <w:r>
        <w:rPr>
          <w:rFonts w:ascii="Arial" w:cs="Arial" w:eastAsia="Arial" w:hAnsi="Arial"/>
          <w:sz w:val="17"/>
          <w:szCs w:val="17"/>
          <w:color w:val="231F20"/>
        </w:rPr>
        <w:t xml:space="preserve"> months ended September 30, 2022, respectively (gains of $195,000 and $6.0 million for the </w:t>
      </w:r>
      <w:r>
        <w:rPr>
          <w:rFonts w:ascii="Arial" w:cs="Arial" w:eastAsia="Arial" w:hAnsi="Arial"/>
          <w:sz w:val="17"/>
          <w:szCs w:val="17"/>
          <w:color w:val="000000"/>
        </w:rPr>
        <w:t>three and nine</w:t>
      </w:r>
      <w:r>
        <w:rPr>
          <w:rFonts w:ascii="Arial" w:cs="Arial" w:eastAsia="Arial" w:hAnsi="Arial"/>
          <w:sz w:val="17"/>
          <w:szCs w:val="17"/>
          <w:color w:val="231F20"/>
        </w:rPr>
        <w:t xml:space="preserve"> months ended </w:t>
      </w:r>
      <w:r>
        <w:rPr>
          <w:rFonts w:ascii="Arial" w:cs="Arial" w:eastAsia="Arial" w:hAnsi="Arial"/>
          <w:sz w:val="17"/>
          <w:szCs w:val="17"/>
          <w:color w:val="000000"/>
        </w:rPr>
        <w:t>September 30, 2021, respectively)</w:t>
      </w:r>
      <w:r>
        <w:rPr>
          <w:rFonts w:ascii="Arial" w:cs="Arial" w:eastAsia="Arial" w:hAnsi="Arial"/>
          <w:sz w:val="17"/>
          <w:szCs w:val="17"/>
          <w:color w:val="231F20"/>
        </w:rPr>
        <w:t>. For the</w:t>
      </w:r>
      <w:r>
        <w:rPr>
          <w:rFonts w:ascii="Arial" w:cs="Arial" w:eastAsia="Arial" w:hAnsi="Arial"/>
          <w:sz w:val="17"/>
          <w:szCs w:val="17"/>
          <w:color w:val="000000"/>
        </w:rPr>
        <w:t xml:space="preserve"> three and nine </w:t>
      </w:r>
      <w:r>
        <w:rPr>
          <w:rFonts w:ascii="Arial" w:cs="Arial" w:eastAsia="Arial" w:hAnsi="Arial"/>
          <w:sz w:val="17"/>
          <w:szCs w:val="17"/>
          <w:color w:val="231F20"/>
        </w:rPr>
        <w:t>months ended September 30, 2022 and</w:t>
      </w:r>
      <w:r>
        <w:rPr>
          <w:rFonts w:ascii="Arial" w:cs="Arial" w:eastAsia="Arial" w:hAnsi="Arial"/>
          <w:sz w:val="17"/>
          <w:szCs w:val="17"/>
          <w:color w:val="000000"/>
        </w:rPr>
        <w:t xml:space="preserve"> 2021</w:t>
      </w:r>
      <w:r>
        <w:rPr>
          <w:rFonts w:ascii="Arial" w:cs="Arial" w:eastAsia="Arial" w:hAnsi="Arial"/>
          <w:sz w:val="17"/>
          <w:szCs w:val="17"/>
          <w:color w:val="231F20"/>
        </w:rPr>
        <w:t>, management concluded that none of the unrealized</w:t>
      </w:r>
      <w:r>
        <w:rPr>
          <w:rFonts w:ascii="Arial" w:cs="Arial" w:eastAsia="Arial" w:hAnsi="Arial"/>
          <w:sz w:val="17"/>
          <w:szCs w:val="17"/>
          <w:color w:val="000000"/>
        </w:rPr>
        <w:t xml:space="preserve"> </w:t>
      </w:r>
      <w:r>
        <w:rPr>
          <w:rFonts w:ascii="Arial" w:cs="Arial" w:eastAsia="Arial" w:hAnsi="Arial"/>
          <w:sz w:val="17"/>
          <w:szCs w:val="17"/>
          <w:color w:val="231F20"/>
        </w:rPr>
        <w:t>losses were due to credit-related impairments. Losses due to credit-related impairments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8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231F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4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231F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September 30, 2022 or December 31, 2021.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net realized and unrealized gains and losses on investments are summarized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340" w:type="dxa"/>
            <w:vAlign w:val="bottom"/>
            <w:gridSpan w:val="4"/>
          </w:tcPr>
          <w:p>
            <w:pPr>
              <w:jc w:val="right"/>
              <w:ind w:right="19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4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98"/>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189"/>
        </w:trPr>
        <w:tc>
          <w:tcPr>
            <w:tcW w:w="5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w w:val="99"/>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820" w:type="dxa"/>
            <w:vAlign w:val="bottom"/>
          </w:tcPr>
          <w:p>
            <w:pPr>
              <w:jc w:val="right"/>
              <w:ind w:right="641"/>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60" w:type="dxa"/>
            <w:vAlign w:val="bottom"/>
          </w:tcPr>
          <w:p>
            <w:pPr>
              <w:jc w:val="right"/>
              <w:ind w:right="678"/>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3,170</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4,361</w:t>
            </w: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8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9"/>
        </w:trPr>
        <w:tc>
          <w:tcPr>
            <w:tcW w:w="5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3,167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4,334</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loan participations:</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values of bank loan participations</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(2,018)</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w:t>
            </w:r>
          </w:p>
        </w:tc>
      </w:tr>
      <w:tr>
        <w:trPr>
          <w:trHeight w:val="219"/>
        </w:trPr>
        <w:tc>
          <w:tcPr>
            <w:tcW w:w="5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(2,201)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gains</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Gross realized losses</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values of equity securities</w:t>
            </w:r>
          </w:p>
        </w:tc>
        <w:tc>
          <w:tcPr>
            <w:tcW w:w="8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(4,967)</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w:t>
            </w:r>
          </w:p>
        </w:tc>
      </w:tr>
      <w:tr>
        <w:trPr>
          <w:trHeight w:val="218"/>
        </w:trPr>
        <w:tc>
          <w:tcPr>
            <w:tcW w:w="5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(4,568)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3,417</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 and other:</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Changes in fair values of short-term investments and other</w:t>
            </w:r>
          </w:p>
        </w:tc>
        <w:tc>
          <w:tcPr>
            <w:tcW w:w="8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9"/>
        </w:trPr>
        <w:tc>
          <w:tcPr>
            <w:tcW w:w="54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9"/>
        </w:trPr>
        <w:tc>
          <w:tcPr>
            <w:tcW w:w="5420" w:type="dxa"/>
            <w:vAlign w:val="bottom"/>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ind w:right="64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(7,754)</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3,983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13,738</w:t>
            </w:r>
          </w:p>
        </w:tc>
      </w:tr>
      <w:tr>
        <w:trPr>
          <w:trHeight w:val="20"/>
        </w:trPr>
        <w:tc>
          <w:tcPr>
            <w:tcW w:w="5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Realized investment gains or losses are determined on a specific identification basis.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ind w:left="100"/>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left="100" w:firstLine="318"/>
        <w:spacing w:after="0" w:line="264" w:lineRule="auto"/>
        <w:rPr>
          <w:sz w:val="20"/>
          <w:szCs w:val="20"/>
          <w:color w:val="auto"/>
        </w:rPr>
      </w:pPr>
      <w:r>
        <w:rPr>
          <w:rFonts w:ascii="Arial" w:cs="Arial" w:eastAsia="Arial" w:hAnsi="Arial"/>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104"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5"/>
          </w:tcPr>
          <w:p>
            <w:pPr>
              <w:ind w:left="660"/>
              <w:spacing w:after="0"/>
              <w:rPr>
                <w:sz w:val="20"/>
                <w:szCs w:val="20"/>
                <w:color w:val="auto"/>
              </w:rPr>
            </w:pPr>
            <w:r>
              <w:rPr>
                <w:rFonts w:ascii="Arial" w:cs="Arial" w:eastAsia="Arial" w:hAnsi="Arial"/>
                <w:sz w:val="14"/>
                <w:szCs w:val="14"/>
                <w:b w:val="1"/>
                <w:bCs w:val="1"/>
                <w:color w:val="auto"/>
              </w:rPr>
              <w:t>Carrying Value</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Investment Income</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1"/>
                <w:szCs w:val="11"/>
                <w:color w:val="auto"/>
              </w:rPr>
            </w:pPr>
          </w:p>
        </w:tc>
        <w:tc>
          <w:tcPr>
            <w:tcW w:w="2340" w:type="dxa"/>
            <w:vAlign w:val="bottom"/>
            <w:gridSpan w:val="5"/>
          </w:tcPr>
          <w:p>
            <w:pPr>
              <w:jc w:val="center"/>
              <w:ind w:right="380"/>
              <w:spacing w:after="0" w:line="130" w:lineRule="exact"/>
              <w:rPr>
                <w:sz w:val="20"/>
                <w:szCs w:val="20"/>
                <w:color w:val="auto"/>
              </w:rPr>
            </w:pPr>
            <w:r>
              <w:rPr>
                <w:rFonts w:ascii="Arial" w:cs="Arial" w:eastAsia="Arial" w:hAnsi="Arial"/>
                <w:sz w:val="14"/>
                <w:szCs w:val="14"/>
                <w:b w:val="1"/>
                <w:bCs w:val="1"/>
                <w:color w:val="auto"/>
                <w:w w:val="92"/>
              </w:rPr>
              <w:t>Three Months Ended</w:t>
            </w:r>
          </w:p>
        </w:tc>
        <w:tc>
          <w:tcPr>
            <w:tcW w:w="280" w:type="dxa"/>
            <w:vAlign w:val="bottom"/>
          </w:tcPr>
          <w:p>
            <w:pPr>
              <w:spacing w:after="0"/>
              <w:rPr>
                <w:sz w:val="11"/>
                <w:szCs w:val="11"/>
                <w:color w:val="auto"/>
              </w:rPr>
            </w:pPr>
          </w:p>
        </w:tc>
        <w:tc>
          <w:tcPr>
            <w:tcW w:w="2240" w:type="dxa"/>
            <w:vAlign w:val="bottom"/>
            <w:gridSpan w:val="4"/>
          </w:tcPr>
          <w:p>
            <w:pPr>
              <w:jc w:val="right"/>
              <w:ind w:right="573"/>
              <w:spacing w:after="0" w:line="130"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center"/>
              <w:ind w:left="415"/>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center"/>
              <w:ind w:left="415"/>
              <w:spacing w:after="0"/>
              <w:rPr>
                <w:sz w:val="20"/>
                <w:szCs w:val="20"/>
                <w:color w:val="auto"/>
              </w:rPr>
            </w:pPr>
            <w:r>
              <w:rPr>
                <w:rFonts w:ascii="Arial" w:cs="Arial" w:eastAsia="Arial" w:hAnsi="Arial"/>
                <w:sz w:val="14"/>
                <w:szCs w:val="14"/>
                <w:b w:val="1"/>
                <w:bCs w:val="1"/>
                <w:i w:val="1"/>
                <w:iCs w:val="1"/>
                <w:color w:val="auto"/>
                <w:w w:val="87"/>
              </w:rPr>
              <w:t>(in thousands)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Renewable energy LLCs </w:t>
            </w:r>
            <w:r>
              <w:rPr>
                <w:rFonts w:ascii="Arial" w:cs="Arial" w:eastAsia="Arial" w:hAnsi="Arial"/>
                <w:sz w:val="18"/>
                <w:szCs w:val="18"/>
                <w:i w:val="1"/>
                <w:iCs w:val="1"/>
                <w:color w:val="auto"/>
              </w:rPr>
              <w:t>(a)</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25,363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24,211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8"/>
        </w:trPr>
        <w:tc>
          <w:tcPr>
            <w:tcW w:w="3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Renewable energy notes receivable (</w:t>
            </w:r>
            <w:r>
              <w:rPr>
                <w:rFonts w:ascii="Arial" w:cs="Arial" w:eastAsia="Arial" w:hAnsi="Arial"/>
                <w:sz w:val="18"/>
                <w:szCs w:val="18"/>
                <w:i w:val="1"/>
                <w:iCs w:val="1"/>
                <w:color w:val="auto"/>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9"/>
        </w:trPr>
        <w:tc>
          <w:tcPr>
            <w:tcW w:w="3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Limited partnerships </w:t>
            </w:r>
            <w:r>
              <w:rPr>
                <w:rFonts w:ascii="Arial" w:cs="Arial" w:eastAsia="Arial" w:hAnsi="Arial"/>
                <w:sz w:val="18"/>
                <w:szCs w:val="18"/>
                <w:i w:val="1"/>
                <w:iCs w:val="1"/>
                <w:color w:val="auto"/>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8"/>
        </w:trPr>
        <w:tc>
          <w:tcPr>
            <w:tcW w:w="3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Bank holding companies </w:t>
            </w:r>
            <w:r>
              <w:rPr>
                <w:rFonts w:ascii="Arial" w:cs="Arial" w:eastAsia="Arial" w:hAnsi="Arial"/>
                <w:sz w:val="18"/>
                <w:szCs w:val="18"/>
                <w:i w:val="1"/>
                <w:iCs w:val="1"/>
                <w:color w:val="auto"/>
              </w:rPr>
              <w:t>(d)</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8"/>
        </w:trPr>
        <w:tc>
          <w:tcPr>
            <w:tcW w:w="3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invested assets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44,138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9"/>
        </w:trPr>
        <w:tc>
          <w:tcPr>
            <w:tcW w:w="3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49,471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260" w:hanging="254"/>
        <w:spacing w:after="0" w:line="306" w:lineRule="auto"/>
        <w:tabs>
          <w:tab w:leader="none" w:pos="257"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Company's Excess and Surplus Lines and Corporate and Other segments own equity interests ranging from 2.6% to 32.6% in various LLCs whose principal objective is capital appreciation and income generation from owning and operating renewable energy production facilities (wind and solar). The LLCs are managed by an entity for which two former directors served as officers, and the Company’s Non-Executive Chairman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$1.4 million and $1.8 million in the nine months ended September 30, 2022 and 2021, respectively.</w:t>
      </w:r>
    </w:p>
    <w:p>
      <w:pPr>
        <w:spacing w:after="0" w:line="50" w:lineRule="exact"/>
        <w:rPr>
          <w:rFonts w:ascii="Arial" w:cs="Arial" w:eastAsia="Arial" w:hAnsi="Arial"/>
          <w:sz w:val="15"/>
          <w:szCs w:val="15"/>
          <w:color w:val="auto"/>
        </w:rPr>
      </w:pPr>
    </w:p>
    <w:p>
      <w:pPr>
        <w:jc w:val="both"/>
        <w:ind w:left="260" w:hanging="254"/>
        <w:spacing w:after="0" w:line="255" w:lineRule="auto"/>
        <w:tabs>
          <w:tab w:leader="none" w:pos="254" w:val="left"/>
        </w:tabs>
        <w:numPr>
          <w:ilvl w:val="0"/>
          <w:numId w:val="9"/>
        </w:numPr>
        <w:rPr>
          <w:rFonts w:ascii="Arial" w:cs="Arial" w:eastAsia="Arial" w:hAnsi="Arial"/>
          <w:sz w:val="18"/>
          <w:szCs w:val="18"/>
          <w:color w:val="auto"/>
        </w:rPr>
      </w:pPr>
      <w:r>
        <w:rPr>
          <w:rFonts w:ascii="Arial" w:cs="Arial" w:eastAsia="Arial" w:hAnsi="Arial"/>
          <w:sz w:val="18"/>
          <w:szCs w:val="18"/>
          <w:color w:val="231F20"/>
        </w:rPr>
        <w:t xml:space="preserve">The Company's </w:t>
      </w:r>
      <w:r>
        <w:rPr>
          <w:rFonts w:ascii="Arial" w:cs="Arial" w:eastAsia="Arial" w:hAnsi="Arial"/>
          <w:sz w:val="18"/>
          <w:szCs w:val="18"/>
          <w:color w:val="000000"/>
        </w:rPr>
        <w:t>Excess and Surplus Lines and</w:t>
      </w:r>
      <w:r>
        <w:rPr>
          <w:rFonts w:ascii="Arial" w:cs="Arial" w:eastAsia="Arial" w:hAnsi="Arial"/>
          <w:sz w:val="18"/>
          <w:szCs w:val="18"/>
          <w:color w:val="231F20"/>
        </w:rPr>
        <w:t xml:space="preserve"> Corporate and Other segments have invested in notes receivable for renewable energy projects. At September 30, 2022, the Company held two notes issued by an </w:t>
      </w:r>
      <w:r>
        <w:rPr>
          <w:rFonts w:ascii="Arial" w:cs="Arial" w:eastAsia="Arial" w:hAnsi="Arial"/>
          <w:sz w:val="18"/>
          <w:szCs w:val="18"/>
          <w:color w:val="000000"/>
        </w:rPr>
        <w:t>entity for which two of our former directors serve as officers</w:t>
      </w:r>
      <w:r>
        <w:rPr>
          <w:rFonts w:ascii="Arial" w:cs="Arial" w:eastAsia="Arial" w:hAnsi="Arial"/>
          <w:sz w:val="18"/>
          <w:szCs w:val="18"/>
          <w:color w:val="231F20"/>
        </w:rPr>
        <w:t>. Interest on the notes, which mature in 2025, is fixed at 12%.</w:t>
      </w:r>
    </w:p>
    <w:p>
      <w:pPr>
        <w:spacing w:after="0" w:line="82" w:lineRule="exact"/>
        <w:rPr>
          <w:rFonts w:ascii="Arial" w:cs="Arial" w:eastAsia="Arial" w:hAnsi="Arial"/>
          <w:sz w:val="18"/>
          <w:szCs w:val="18"/>
          <w:color w:val="auto"/>
        </w:rPr>
      </w:pPr>
    </w:p>
    <w:p>
      <w:pPr>
        <w:jc w:val="both"/>
        <w:ind w:left="260" w:hanging="260"/>
        <w:spacing w:after="0" w:line="298" w:lineRule="auto"/>
        <w:tabs>
          <w:tab w:leader="none" w:pos="258" w:val="left"/>
        </w:tabs>
        <w:numPr>
          <w:ilvl w:val="0"/>
          <w:numId w:val="9"/>
        </w:numPr>
        <w:rPr>
          <w:rFonts w:ascii="Arial" w:cs="Arial" w:eastAsia="Arial" w:hAnsi="Arial"/>
          <w:sz w:val="12"/>
          <w:szCs w:val="12"/>
          <w:color w:val="231F20"/>
        </w:rPr>
      </w:pPr>
      <w:r>
        <w:rPr>
          <w:rFonts w:ascii="Arial" w:cs="Arial" w:eastAsia="Arial" w:hAnsi="Arial"/>
          <w:sz w:val="15"/>
          <w:szCs w:val="15"/>
          <w:color w:val="auto"/>
        </w:rPr>
        <w:t xml:space="preserve">The Company owns investments in limited partnerships that invest in concentrated portfolios including publicly-traded small cap equities, loans of middle market private equity sponsored companies, private equity general partnership interests, commercial mortgage-backed securities, and tranches of distressed home loans. </w:t>
      </w:r>
      <w:r>
        <w:rPr>
          <w:rFonts w:ascii="Arial" w:cs="Arial" w:eastAsia="Arial" w:hAnsi="Arial"/>
          <w:sz w:val="15"/>
          <w:szCs w:val="15"/>
          <w:color w:val="231F20"/>
        </w:rPr>
        <w:t>Income f</w:t>
      </w:r>
      <w:r>
        <w:rPr>
          <w:rFonts w:ascii="Arial" w:cs="Arial" w:eastAsia="Arial" w:hAnsi="Arial"/>
          <w:sz w:val="15"/>
          <w:szCs w:val="15"/>
          <w:color w:val="auto"/>
        </w:rPr>
        <w:t xml:space="preserve">rom the partnerships is recognized under the equity method of accounting. During the three and nine months ended </w:t>
      </w:r>
      <w:r>
        <w:rPr>
          <w:rFonts w:ascii="Arial" w:cs="Arial" w:eastAsia="Arial" w:hAnsi="Arial"/>
          <w:sz w:val="15"/>
          <w:szCs w:val="15"/>
          <w:color w:val="231F20"/>
        </w:rPr>
        <w:t>September 30,</w:t>
      </w:r>
      <w:r>
        <w:rPr>
          <w:rFonts w:ascii="Arial" w:cs="Arial" w:eastAsia="Arial" w:hAnsi="Arial"/>
          <w:sz w:val="15"/>
          <w:szCs w:val="15"/>
          <w:color w:val="auto"/>
        </w:rPr>
        <w:t xml:space="preserve"> </w:t>
      </w:r>
      <w:r>
        <w:rPr>
          <w:rFonts w:ascii="Arial" w:cs="Arial" w:eastAsia="Arial" w:hAnsi="Arial"/>
          <w:sz w:val="15"/>
          <w:szCs w:val="15"/>
          <w:color w:val="231F20"/>
        </w:rPr>
        <w:t xml:space="preserve">2022, the Company recognized an impairment loss of $392,000 on one limited partnership in the Corporate &amp; Other segment. </w:t>
      </w:r>
      <w:r>
        <w:rPr>
          <w:rFonts w:ascii="Arial" w:cs="Arial" w:eastAsia="Arial" w:hAnsi="Arial"/>
          <w:sz w:val="15"/>
          <w:szCs w:val="15"/>
          <w:color w:val="000000"/>
        </w:rPr>
        <w:t>At September 30, 2022, the</w:t>
      </w:r>
      <w:r>
        <w:rPr>
          <w:rFonts w:ascii="Arial" w:cs="Arial" w:eastAsia="Arial" w:hAnsi="Arial"/>
          <w:sz w:val="15"/>
          <w:szCs w:val="15"/>
          <w:color w:val="231F20"/>
        </w:rPr>
        <w:t xml:space="preserve"> </w:t>
      </w:r>
      <w:r>
        <w:rPr>
          <w:rFonts w:ascii="Arial" w:cs="Arial" w:eastAsia="Arial" w:hAnsi="Arial"/>
          <w:sz w:val="15"/>
          <w:szCs w:val="15"/>
          <w:color w:val="000000"/>
        </w:rPr>
        <w:t>Company’s Excess and Surplus Lines segment has outstanding commitments to invest another $5.3 million in the other limited partnerships.</w:t>
      </w:r>
    </w:p>
    <w:p>
      <w:pPr>
        <w:spacing w:after="0" w:line="42" w:lineRule="exact"/>
        <w:rPr>
          <w:rFonts w:ascii="Arial" w:cs="Arial" w:eastAsia="Arial" w:hAnsi="Arial"/>
          <w:sz w:val="12"/>
          <w:szCs w:val="12"/>
          <w:color w:val="231F20"/>
        </w:rPr>
      </w:pPr>
    </w:p>
    <w:p>
      <w:pPr>
        <w:ind w:left="260" w:hanging="254"/>
        <w:spacing w:after="0" w:line="264" w:lineRule="auto"/>
        <w:tabs>
          <w:tab w:leader="none" w:pos="25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Excess and Surplus Lines segment holds $4.5 million of subordinated notes issued by a bank holding company for which the Company’s Non-Executive Chairman was previously the Lead Independent Director and an investor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left="160"/>
        <w:spacing w:after="0" w:line="264" w:lineRule="auto"/>
        <w:rPr>
          <w:sz w:val="20"/>
          <w:szCs w:val="20"/>
          <w:color w:val="auto"/>
        </w:rPr>
      </w:pPr>
      <w:r>
        <w:rPr>
          <w:rFonts w:ascii="Arial" w:cs="Arial" w:eastAsia="Arial" w:hAnsi="Arial"/>
          <w:sz w:val="18"/>
          <w:szCs w:val="18"/>
          <w:color w:val="auto"/>
        </w:rPr>
        <w:t>and for which one of the Company’s directors is also an investor (the "Bank Holding Company"). Interest on the notes, which mature on August 12, 2023, is fixed at 7.6% per annum.</w:t>
      </w:r>
    </w:p>
    <w:p>
      <w:pPr>
        <w:spacing w:after="0" w:line="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Goodwill and Intangible Assets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September 30, 2022 and December 31, 2021.</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carrying amounts and accumulated amortization for each major specifically identifiable intangible asset class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5"/>
          </w:tcPr>
          <w:p>
            <w:pPr>
              <w:ind w:left="520"/>
              <w:spacing w:after="0"/>
              <w:rPr>
                <w:sz w:val="20"/>
                <w:szCs w:val="20"/>
                <w:color w:val="auto"/>
              </w:rPr>
            </w:pPr>
            <w:r>
              <w:rPr>
                <w:rFonts w:ascii="Arial" w:cs="Arial" w:eastAsia="Arial" w:hAnsi="Arial"/>
                <w:sz w:val="14"/>
                <w:szCs w:val="14"/>
                <w:b w:val="1"/>
                <w:bCs w:val="1"/>
                <w:color w:val="auto"/>
              </w:rPr>
              <w:t>September 30, 2022</w:t>
            </w:r>
          </w:p>
        </w:tc>
        <w:tc>
          <w:tcPr>
            <w:tcW w:w="240" w:type="dxa"/>
            <w:vAlign w:val="bottom"/>
          </w:tcPr>
          <w:p>
            <w:pPr>
              <w:spacing w:after="0"/>
              <w:rPr>
                <w:sz w:val="15"/>
                <w:szCs w:val="15"/>
                <w:color w:val="auto"/>
              </w:rPr>
            </w:pPr>
          </w:p>
        </w:tc>
        <w:tc>
          <w:tcPr>
            <w:tcW w:w="2500" w:type="dxa"/>
            <w:vAlign w:val="bottom"/>
            <w:gridSpan w:val="4"/>
          </w:tcPr>
          <w:p>
            <w:pPr>
              <w:jc w:val="right"/>
              <w:ind w:right="716"/>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080" w:type="dxa"/>
            <w:vAlign w:val="bottom"/>
          </w:tcPr>
          <w:p>
            <w:pPr>
              <w:spacing w:after="0"/>
              <w:rPr>
                <w:sz w:val="11"/>
                <w:szCs w:val="11"/>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1"/>
                <w:szCs w:val="11"/>
                <w:color w:val="auto"/>
              </w:rPr>
            </w:pPr>
          </w:p>
        </w:tc>
        <w:tc>
          <w:tcPr>
            <w:tcW w:w="1160" w:type="dxa"/>
            <w:vAlign w:val="bottom"/>
            <w:gridSpan w:val="2"/>
          </w:tcPr>
          <w:p>
            <w:pPr>
              <w:jc w:val="center"/>
              <w:ind w:right="340"/>
              <w:spacing w:after="0" w:line="130"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0"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1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8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6"/>
                <w:szCs w:val="16"/>
                <w:color w:val="auto"/>
              </w:rPr>
            </w:pPr>
          </w:p>
        </w:tc>
        <w:tc>
          <w:tcPr>
            <w:tcW w:w="1140" w:type="dxa"/>
            <w:vAlign w:val="bottom"/>
          </w:tcPr>
          <w:p>
            <w:pPr>
              <w:jc w:val="right"/>
              <w:ind w:right="176"/>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5"/>
          </w:tcPr>
          <w:p>
            <w:pPr>
              <w:ind w:left="72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Intangible Assets</w:t>
            </w: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Indefinite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licenses and authorities</w:t>
            </w: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Indefinite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Arial" w:cs="Arial" w:eastAsia="Arial" w:hAnsi="Arial"/>
                <w:sz w:val="18"/>
                <w:szCs w:val="18"/>
                <w:color w:val="auto"/>
              </w:rPr>
              <w:t>Identifiable intangibles not subject to amortization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 relationships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18"/>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Identifiable intangible assets subject to amortization</w:t>
            </w: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Earnings (Loss) Per Share</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represents a reconciliation of the numerator and denominator of the basic and diluted earnings (loss) per common share computations contained in the condensed consolidated financial statements: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56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2"/>
        </w:trPr>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189"/>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80" w:type="dxa"/>
            <w:vAlign w:val="bottom"/>
            <w:gridSpan w:val="7"/>
          </w:tcPr>
          <w:p>
            <w:pPr>
              <w:ind w:left="40"/>
              <w:spacing w:after="0"/>
              <w:rPr>
                <w:sz w:val="20"/>
                <w:szCs w:val="20"/>
                <w:color w:val="auto"/>
              </w:rPr>
            </w:pPr>
            <w:r>
              <w:rPr>
                <w:rFonts w:ascii="Arial" w:cs="Arial" w:eastAsia="Arial" w:hAnsi="Arial"/>
                <w:sz w:val="14"/>
                <w:szCs w:val="14"/>
                <w:b w:val="1"/>
                <w:bCs w:val="1"/>
                <w:i w:val="1"/>
                <w:iCs w:val="1"/>
                <w:color w:val="auto"/>
                <w:w w:val="86"/>
              </w:rPr>
              <w:t>(in thousands, except share and per share amounts)</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(106,506)</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Dividends on Series A preferred shares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available to common shareholders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(106,506)</w:t>
            </w:r>
          </w:p>
        </w:tc>
      </w:tr>
      <w:tr>
        <w:trPr>
          <w:trHeight w:val="265"/>
        </w:trPr>
        <w:tc>
          <w:tcPr>
            <w:tcW w:w="5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542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37,450,381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37,278,469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37,435,798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34,161,022</w:t>
            </w:r>
          </w:p>
        </w:tc>
      </w:tr>
      <w:tr>
        <w:trPr>
          <w:trHeight w:val="225"/>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potential common shares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42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37,450,381</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37,278,469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37,642,656</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34,161,022</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2"/>
        </w:trPr>
        <w:tc>
          <w:tcPr>
            <w:tcW w:w="5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Net (loss) income per common share: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5"/>
        </w:trPr>
        <w:tc>
          <w:tcPr>
            <w:tcW w:w="5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Dilutive potential common shares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 xml:space="preserve">For </w:t>
      </w:r>
      <w:r>
        <w:rPr>
          <w:rFonts w:ascii="Arial" w:cs="Arial" w:eastAsia="Arial" w:hAnsi="Arial"/>
          <w:sz w:val="15"/>
          <w:szCs w:val="15"/>
          <w:color w:val="231F20"/>
        </w:rPr>
        <w:t>the</w:t>
      </w:r>
      <w:r>
        <w:rPr>
          <w:rFonts w:ascii="Arial" w:cs="Arial" w:eastAsia="Arial" w:hAnsi="Arial"/>
          <w:sz w:val="15"/>
          <w:szCs w:val="15"/>
          <w:color w:val="auto"/>
        </w:rPr>
        <w:t xml:space="preserve"> three and nine </w:t>
      </w:r>
      <w:r>
        <w:rPr>
          <w:rFonts w:ascii="Arial" w:cs="Arial" w:eastAsia="Arial" w:hAnsi="Arial"/>
          <w:sz w:val="15"/>
          <w:szCs w:val="15"/>
          <w:color w:val="231F20"/>
        </w:rPr>
        <w:t>months ended September 30, 2022, potential common shares</w:t>
      </w:r>
      <w:r>
        <w:rPr>
          <w:rFonts w:ascii="Arial" w:cs="Arial" w:eastAsia="Arial" w:hAnsi="Arial"/>
          <w:sz w:val="15"/>
          <w:szCs w:val="15"/>
          <w:color w:val="auto"/>
        </w:rPr>
        <w:t xml:space="preserve"> of 5,830,234 and 4,421,223, respectively (133,994 and 203,077 in the respective prior year periods), were excluded from the calculation of diluted earnings (loss) per common share as their effects were anti-dilutive.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Reserve for Losses and Loss Adjustment Expenses</w:t>
      </w:r>
    </w:p>
    <w:p>
      <w:pPr>
        <w:spacing w:after="0" w:line="1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an allowance for credit losses on reinsurance balances of $621,000 at September 30, 2022, $601,000 at June 30, 2022, $604,000 at March 31, 2022, $631,000 at December 31, 2021, $515,000 at September 30, 2021, and $335,000 at June 30, 2021, March 31, 2021, and December 31,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40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8"/>
              </w:rPr>
              <w:t>Reserve for losses and loss adjustment expenses net of reinsurance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recoverables at beginning of period</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1,159,145</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1,511,106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1,399,214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1,386,061</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w w:val="95"/>
              </w:rPr>
              <w:t>Add: Incurred losses and loss adjustment expenses net of reinsurance: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338,796</w:t>
            </w:r>
          </w:p>
        </w:tc>
        <w:tc>
          <w:tcPr>
            <w:tcW w:w="0" w:type="dxa"/>
            <w:vAlign w:val="bottom"/>
          </w:tcPr>
          <w:p>
            <w:pPr>
              <w:spacing w:after="0"/>
              <w:rPr>
                <w:sz w:val="1"/>
                <w:szCs w:val="1"/>
                <w:color w:val="auto"/>
              </w:rPr>
            </w:pPr>
          </w:p>
        </w:tc>
      </w:tr>
      <w:tr>
        <w:trPr>
          <w:trHeight w:val="225"/>
        </w:trPr>
        <w:tc>
          <w:tcPr>
            <w:tcW w:w="5420" w:type="dxa"/>
            <w:vAlign w:val="bottom"/>
          </w:tcPr>
          <w:p>
            <w:pPr>
              <w:ind w:left="180"/>
              <w:spacing w:after="0"/>
              <w:rPr>
                <w:sz w:val="20"/>
                <w:szCs w:val="20"/>
                <w:color w:val="auto"/>
              </w:rPr>
            </w:pPr>
            <w:r>
              <w:rPr>
                <w:rFonts w:ascii="Arial" w:cs="Arial" w:eastAsia="Arial" w:hAnsi="Arial"/>
                <w:sz w:val="18"/>
                <w:szCs w:val="18"/>
                <w:color w:val="auto"/>
              </w:rPr>
              <w:t>Prior years - retroactive reinsurance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 - excluding retroactive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210,782</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Arial" w:cs="Arial" w:eastAsia="Arial" w:hAnsi="Arial"/>
                <w:sz w:val="18"/>
                <w:szCs w:val="18"/>
                <w:color w:val="auto"/>
              </w:rPr>
              <w:t>Total incurred losses and loss and adjustment expenses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153,008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166,078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409,985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549,578</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Deduct: Loss and loss adjustment expense payments net of reinsurance: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12,451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22,766</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81,755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125,277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275,375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373,276</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Arial" w:cs="Arial" w:eastAsia="Arial" w:hAnsi="Arial"/>
                <w:sz w:val="18"/>
                <w:szCs w:val="18"/>
                <w:color w:val="auto"/>
              </w:rPr>
              <w:t>Total loss and loss adjustment expense payments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94,206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137,587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297,432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396,042</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 Deferred reinsurance gain - retroactive reinsurance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5420" w:type="dxa"/>
            <w:vAlign w:val="bottom"/>
          </w:tcPr>
          <w:p>
            <w:pPr>
              <w:ind w:left="20"/>
              <w:spacing w:after="0" w:line="173" w:lineRule="exact"/>
              <w:rPr>
                <w:sz w:val="20"/>
                <w:szCs w:val="20"/>
                <w:color w:val="auto"/>
              </w:rPr>
            </w:pPr>
            <w:r>
              <w:rPr>
                <w:rFonts w:ascii="Arial" w:cs="Arial" w:eastAsia="Arial" w:hAnsi="Arial"/>
                <w:sz w:val="18"/>
                <w:szCs w:val="18"/>
                <w:color w:val="auto"/>
                <w:w w:val="93"/>
              </w:rPr>
              <w:t>Deduct: Loss reserves ceded in Retrocession and Commercial Auto LPT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Agreements</w:t>
            </w:r>
          </w:p>
        </w:tc>
        <w:tc>
          <w:tcPr>
            <w:tcW w:w="3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292,147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299,493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292,147</w:t>
            </w:r>
          </w:p>
        </w:tc>
        <w:tc>
          <w:tcPr>
            <w:tcW w:w="0" w:type="dxa"/>
            <w:vAlign w:val="bottom"/>
          </w:tcPr>
          <w:p>
            <w:pPr>
              <w:spacing w:after="0"/>
              <w:rPr>
                <w:sz w:val="1"/>
                <w:szCs w:val="1"/>
                <w:color w:val="auto"/>
              </w:rPr>
            </w:pPr>
          </w:p>
        </w:tc>
      </w:tr>
      <w:tr>
        <w:trPr>
          <w:trHeight w:val="174"/>
        </w:trPr>
        <w:tc>
          <w:tcPr>
            <w:tcW w:w="54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7"/>
              </w:rPr>
              <w:t>Add: Changes in reinsurance recoverable of Retrocession Agreement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unrelated to net reserve activity</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3"/>
        </w:trPr>
        <w:tc>
          <w:tcPr>
            <w:tcW w:w="5420" w:type="dxa"/>
            <w:vAlign w:val="bottom"/>
          </w:tcPr>
          <w:p>
            <w:pPr>
              <w:ind w:left="20"/>
              <w:spacing w:after="0" w:line="154" w:lineRule="exact"/>
              <w:rPr>
                <w:sz w:val="20"/>
                <w:szCs w:val="20"/>
                <w:color w:val="auto"/>
              </w:rPr>
            </w:pPr>
            <w:r>
              <w:rPr>
                <w:rFonts w:ascii="Arial" w:cs="Arial" w:eastAsia="Arial" w:hAnsi="Arial"/>
                <w:sz w:val="17"/>
                <w:szCs w:val="17"/>
                <w:color w:val="auto"/>
              </w:rPr>
              <w:t>Reserve for losses and loss adjustment expenses net of reinsurance</w:t>
            </w: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recoverables at end of period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1,201,243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1,247,450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1,201,243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1,247,450</w:t>
            </w:r>
          </w:p>
        </w:tc>
        <w:tc>
          <w:tcPr>
            <w:tcW w:w="0" w:type="dxa"/>
            <w:vAlign w:val="bottom"/>
          </w:tcPr>
          <w:p>
            <w:pPr>
              <w:spacing w:after="0"/>
              <w:rPr>
                <w:sz w:val="1"/>
                <w:szCs w:val="1"/>
                <w:color w:val="auto"/>
              </w:rPr>
            </w:pPr>
          </w:p>
        </w:tc>
      </w:tr>
      <w:tr>
        <w:trPr>
          <w:trHeight w:val="174"/>
        </w:trPr>
        <w:tc>
          <w:tcPr>
            <w:tcW w:w="54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6"/>
              </w:rPr>
              <w:t>Add: Reinsurance recoverables on unpaid losses and loss adjustment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at end of period</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1,585,457</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1,349,379</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1,585,457</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1,349,379</w:t>
            </w:r>
          </w:p>
        </w:tc>
        <w:tc>
          <w:tcPr>
            <w:tcW w:w="0" w:type="dxa"/>
            <w:vAlign w:val="bottom"/>
          </w:tcPr>
          <w:p>
            <w:pPr>
              <w:spacing w:after="0"/>
              <w:rPr>
                <w:sz w:val="1"/>
                <w:szCs w:val="1"/>
                <w:color w:val="auto"/>
              </w:rPr>
            </w:pPr>
          </w:p>
        </w:tc>
      </w:tr>
      <w:tr>
        <w:trPr>
          <w:trHeight w:val="153"/>
        </w:trPr>
        <w:tc>
          <w:tcPr>
            <w:tcW w:w="5420" w:type="dxa"/>
            <w:vAlign w:val="bottom"/>
          </w:tcPr>
          <w:p>
            <w:pPr>
              <w:ind w:left="20"/>
              <w:spacing w:after="0" w:line="154" w:lineRule="exact"/>
              <w:rPr>
                <w:sz w:val="20"/>
                <w:szCs w:val="20"/>
                <w:color w:val="auto"/>
              </w:rPr>
            </w:pPr>
            <w:r>
              <w:rPr>
                <w:rFonts w:ascii="Arial" w:cs="Arial" w:eastAsia="Arial" w:hAnsi="Arial"/>
                <w:sz w:val="17"/>
                <w:szCs w:val="17"/>
                <w:color w:val="auto"/>
              </w:rPr>
              <w:t>Reserve for losses and loss adjustment expenses gross of reinsurance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line="186" w:lineRule="exact"/>
              <w:rPr>
                <w:sz w:val="20"/>
                <w:szCs w:val="20"/>
                <w:color w:val="auto"/>
              </w:rPr>
            </w:pPr>
            <w:r>
              <w:rPr>
                <w:rFonts w:ascii="Arial" w:cs="Arial" w:eastAsia="Arial" w:hAnsi="Arial"/>
                <w:sz w:val="18"/>
                <w:szCs w:val="18"/>
                <w:color w:val="auto"/>
                <w:w w:val="95"/>
              </w:rPr>
              <w:t>recoverables on unpaid losses and loss adjustment expenses at end of</w:t>
            </w:r>
          </w:p>
        </w:tc>
        <w:tc>
          <w:tcPr>
            <w:tcW w:w="320" w:type="dxa"/>
            <w:vAlign w:val="bottom"/>
            <w:vMerge w:val="restart"/>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2,786,700</w:t>
            </w:r>
          </w:p>
        </w:tc>
        <w:tc>
          <w:tcPr>
            <w:tcW w:w="120" w:type="dxa"/>
            <w:vAlign w:val="bottom"/>
          </w:tcPr>
          <w:p>
            <w:pPr>
              <w:spacing w:after="0"/>
              <w:rPr>
                <w:sz w:val="16"/>
                <w:szCs w:val="16"/>
                <w:color w:val="auto"/>
              </w:rPr>
            </w:pPr>
          </w:p>
        </w:tc>
        <w:tc>
          <w:tcPr>
            <w:tcW w:w="460" w:type="dxa"/>
            <w:vAlign w:val="bottom"/>
            <w:vMerge w:val="restart"/>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2,596,829</w:t>
            </w:r>
          </w:p>
        </w:tc>
        <w:tc>
          <w:tcPr>
            <w:tcW w:w="100" w:type="dxa"/>
            <w:vAlign w:val="bottom"/>
          </w:tcPr>
          <w:p>
            <w:pPr>
              <w:spacing w:after="0"/>
              <w:rPr>
                <w:sz w:val="16"/>
                <w:szCs w:val="16"/>
                <w:color w:val="auto"/>
              </w:rPr>
            </w:pPr>
          </w:p>
        </w:tc>
        <w:tc>
          <w:tcPr>
            <w:tcW w:w="460" w:type="dxa"/>
            <w:vAlign w:val="bottom"/>
            <w:vMerge w:val="restart"/>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2,786,700</w:t>
            </w:r>
          </w:p>
        </w:tc>
        <w:tc>
          <w:tcPr>
            <w:tcW w:w="100" w:type="dxa"/>
            <w:vAlign w:val="bottom"/>
          </w:tcPr>
          <w:p>
            <w:pPr>
              <w:spacing w:after="0"/>
              <w:rPr>
                <w:sz w:val="16"/>
                <w:szCs w:val="16"/>
                <w:color w:val="auto"/>
              </w:rPr>
            </w:pPr>
          </w:p>
        </w:tc>
        <w:tc>
          <w:tcPr>
            <w:tcW w:w="460" w:type="dxa"/>
            <w:vAlign w:val="bottom"/>
            <w:vMerge w:val="restart"/>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2,596,829</w:t>
            </w:r>
          </w:p>
        </w:tc>
        <w:tc>
          <w:tcPr>
            <w:tcW w:w="0" w:type="dxa"/>
            <w:vAlign w:val="bottom"/>
          </w:tcPr>
          <w:p>
            <w:pPr>
              <w:spacing w:after="0"/>
              <w:rPr>
                <w:sz w:val="1"/>
                <w:szCs w:val="1"/>
                <w:color w:val="auto"/>
              </w:rPr>
            </w:pPr>
          </w:p>
        </w:tc>
      </w:tr>
      <w:tr>
        <w:trPr>
          <w:trHeight w:val="203"/>
        </w:trPr>
        <w:tc>
          <w:tcPr>
            <w:tcW w:w="5420" w:type="dxa"/>
            <w:vAlign w:val="bottom"/>
          </w:tcPr>
          <w:p>
            <w:pPr>
              <w:ind w:left="20"/>
              <w:spacing w:after="0" w:line="198" w:lineRule="exact"/>
              <w:rPr>
                <w:sz w:val="20"/>
                <w:szCs w:val="20"/>
                <w:color w:val="auto"/>
              </w:rPr>
            </w:pPr>
            <w:r>
              <w:rPr>
                <w:rFonts w:ascii="Arial" w:cs="Arial" w:eastAsia="Arial" w:hAnsi="Arial"/>
                <w:sz w:val="18"/>
                <w:szCs w:val="18"/>
                <w:color w:val="auto"/>
              </w:rPr>
              <w:t>period</w:t>
            </w: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The Company experienced $1.1 million of net favorable reserve development in the three months ended September 30, 2022 on the reserve for losses and loss adjustment expenses held at December 31, 2021 (excluding adverse prior year development on the legacy commercial auto business subject to retroactive reinsurance accounting - see </w:t>
      </w:r>
      <w:r>
        <w:rPr>
          <w:rFonts w:ascii="Arial" w:cs="Arial" w:eastAsia="Arial" w:hAnsi="Arial"/>
          <w:sz w:val="15"/>
          <w:szCs w:val="15"/>
          <w:i w:val="1"/>
          <w:iCs w:val="1"/>
          <w:color w:val="auto"/>
        </w:rPr>
        <w:t>Commercial Auto Loss Portfolio Transfer</w:t>
      </w:r>
      <w:r>
        <w:rPr>
          <w:rFonts w:ascii="Arial" w:cs="Arial" w:eastAsia="Arial" w:hAnsi="Arial"/>
          <w:sz w:val="15"/>
          <w:szCs w:val="15"/>
          <w:color w:val="auto"/>
        </w:rPr>
        <w:t xml:space="preserve"> below). This reserve development included $139,000 of net adverse development in the Excess and Surplus Lines segment, $1.3 million of net favorable development in the Specialty Admitted Insurance segment, and no development in the Casualty Reinsurance segment. The Company also experienced $5.0 million of net catastrophe losses in the current accident year for the three months ended September 30, 2022 related to Hurricane Ian. The losses were primarily in the Excess Property book in the Excess and Surplus Lines segment.</w:t>
      </w:r>
    </w:p>
    <w:p>
      <w:pPr>
        <w:spacing w:after="0" w:line="4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 xml:space="preserve">The Company experienced $44.1 million of net adverse reserve development in the three months ended September 30, 2021 on the reserve for losses and loss adjustment expenses held at December 31, 2020. This reserve development included $29.5 million of net adverse development in the Excess and Surplus Lines segment (see </w:t>
      </w:r>
      <w:r>
        <w:rPr>
          <w:rFonts w:ascii="Arial" w:cs="Arial" w:eastAsia="Arial" w:hAnsi="Arial"/>
          <w:sz w:val="17"/>
          <w:szCs w:val="17"/>
          <w:i w:val="1"/>
          <w:iCs w:val="1"/>
          <w:color w:val="auto"/>
        </w:rPr>
        <w:t>Commercial Auto Loss Portfolio Transfer</w:t>
      </w:r>
      <w:r>
        <w:rPr>
          <w:rFonts w:ascii="Arial" w:cs="Arial" w:eastAsia="Arial" w:hAnsi="Arial"/>
          <w:sz w:val="17"/>
          <w:szCs w:val="17"/>
          <w:color w:val="auto"/>
        </w:rPr>
        <w:t xml:space="preserve"> below), $500,000 of net favorable development in the Specialty Admitted Insurance segment, and $15.1 million of net adverse development in the Casualty Reinsurance segment. The Company also experienced $5.0 million of net catastrophe losses in the current accident year for the three months ended September 30, 2021 related to Hurricane Ida. The losses were primarily in the Excess Property book in the Excess and Surplus Lines segment.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The Company experienced $4.1 million of net adverse reserve development in the nine months ended September 30, 2022 on the reserve for losses and loss adjustment expenses held at December 31, 2021 (excluding adverse prior year development on the legacy commercial auto business subject to retroactive reinsurance accounting - see </w:t>
      </w:r>
      <w:r>
        <w:rPr>
          <w:rFonts w:ascii="Arial" w:cs="Arial" w:eastAsia="Arial" w:hAnsi="Arial"/>
          <w:sz w:val="15"/>
          <w:szCs w:val="15"/>
          <w:i w:val="1"/>
          <w:iCs w:val="1"/>
          <w:color w:val="auto"/>
        </w:rPr>
        <w:t>Commercial Auto Loss Portfolio Transfer</w:t>
      </w:r>
      <w:r>
        <w:rPr>
          <w:rFonts w:ascii="Arial" w:cs="Arial" w:eastAsia="Arial" w:hAnsi="Arial"/>
          <w:sz w:val="15"/>
          <w:szCs w:val="15"/>
          <w:color w:val="auto"/>
        </w:rPr>
        <w:t xml:space="preserve"> below). This reserve development included $48,000 of net adverse development in the Excess and Surplus Lines segment, $2.8 million of net favorable development in the Specialty Admitted Insurance segment, and $6.8 million of net adverse development in the Casualty Reinsurance segment that was associated with the Retrocession Agreement (as defined below). The Company also experienced $5.0 million of net catastrophe losses in the current accident year for the nine months ended September 30, 2022 related to Hurricane Ian. The losses were primarily in the Excess Property book in the Excess and Surplus Lines segment.</w:t>
      </w:r>
    </w:p>
    <w:p>
      <w:pPr>
        <w:spacing w:after="0" w:line="5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 Company experienced $210.8 million of net adverse reserve development in the nine months ended September 30, 2021 on the reserve for losses and loss adjustment expenses held at December 31, 2020. This reserve development included $190.7 million of net adverse development in the Excess and Surplus Lines segment including $200.1 million on commercial auto business almost entirely related to a previously canceled account that has been in runoff since 2019. The reported losses on this terminated commercial auto account meaningfully exceeded our expectations for the three months ended March 31, 2021. We had expected that reported losses would decline as the account moved further into runoff, but the continued heavy reported loss emergence in the first quarter of 2021 indicated more inherent severity than anticipated. The continuation of the highly elevated reported losses in the first quarter of 2021 led us to conclude that using only our own loss experience in our paid and incurred reserve projections rather than industry data inputs that we had used in prior quarters, and giving greater weight to incurred methods, would give us a better estimate of ultimate losses on this account. In response, we meaningfully adjusted our actuarial methodology, resulting in a significant strengthening of reserves for this account at March 31, 2021. Loss emergence on the terminated commercial auto account in the second quarter was in line with our expectations, and accordingly, no additional reserve development was taken. In the third quarter, an additional $29.6 million was recognized as adverse loss and loss adjustment reserve development upon entering the loss portfolio transaction as described below. The Company experienced $2.5 million of net favorable development in the Specialty Admitted Insurance segment due to favorable development in the workers' compensation business for prior accident years, and $22.6 million of net adverse development in the Casualty Reinsurance segment. The Company also experienced $5.0 million of net catastrophe losses in the current accident year for the nine months ended September 30, 2021 related to Hurricane Ida. The losses were primarily in the Excess Property book in the Excess and Surplus Lines segment.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Portfolio Transfers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Loss portfolio transfers are a form of reinsurance utilized by the Company to transfer losses and loss adjustment expenses and associated risk of adverse development on covered subject business, as defined in the respective agreements, to an assuming reinsurer in exchange for a reinsurance premium. Loss portfolio transfers can bring economic finality on the subject risks when they no longer meet the Company's appetite or are no longer aligned with our risk management guidelines.</w:t>
      </w:r>
    </w:p>
    <w:p>
      <w:pPr>
        <w:spacing w:after="0" w:line="85" w:lineRule="exact"/>
        <w:rPr>
          <w:sz w:val="20"/>
          <w:szCs w:val="20"/>
          <w:color w:val="auto"/>
        </w:rPr>
      </w:pPr>
    </w:p>
    <w:p>
      <w:pPr>
        <w:jc w:val="both"/>
        <w:ind w:firstLine="358"/>
        <w:spacing w:after="0" w:line="265" w:lineRule="auto"/>
        <w:rPr>
          <w:sz w:val="20"/>
          <w:szCs w:val="20"/>
          <w:color w:val="auto"/>
        </w:rPr>
      </w:pPr>
      <w:r>
        <w:rPr>
          <w:rFonts w:ascii="Arial" w:cs="Arial" w:eastAsia="Arial" w:hAnsi="Arial"/>
          <w:sz w:val="17"/>
          <w:szCs w:val="17"/>
          <w:color w:val="auto"/>
        </w:rPr>
        <w:t>The Company periodically reevaluates the remaining reserves subject to its loss portfolio transfers, and when recognized adverse prior year development on the subject business causes the cumulative amounts ceded under a loss portfolio transfer to exceed the consideration paid, the loss portfolio transfer moves into a gain position subject to retroactive reinsurance accounting under GAAP. Gains are deferred under retroactive reinsurance accounting and recognized in earnings in proportion to actual paid recoveries under the loss portfolio transfer using the recovery method. While the deferral of gains can introduce volatility in our results in the short-term, over the life of the contract, we would expect no economic impact to the Company as long as any additional losses are within the limit of the loss portfolio transfer and the counterparty performs under the contract. The impact of retroactive reinsurance accounting is not indicative of our current and ongoing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Portfolio Transfer Retrocession Agreement</w:t>
      </w:r>
    </w:p>
    <w:p>
      <w:pPr>
        <w:spacing w:after="0" w:line="111" w:lineRule="exact"/>
        <w:rPr>
          <w:sz w:val="20"/>
          <w:szCs w:val="20"/>
          <w:color w:val="auto"/>
        </w:rPr>
      </w:pPr>
    </w:p>
    <w:p>
      <w:pPr>
        <w:jc w:val="both"/>
        <w:ind w:firstLine="358"/>
        <w:spacing w:after="0" w:line="303" w:lineRule="auto"/>
        <w:rPr>
          <w:sz w:val="20"/>
          <w:szCs w:val="20"/>
          <w:color w:val="auto"/>
        </w:rPr>
      </w:pPr>
      <w:r>
        <w:rPr>
          <w:rFonts w:ascii="Arial" w:cs="Arial" w:eastAsia="Arial" w:hAnsi="Arial"/>
          <w:sz w:val="15"/>
          <w:szCs w:val="15"/>
          <w:color w:val="auto"/>
        </w:rPr>
        <w:t>On February 23, 2022, JRG Re entered into a loss portfolio transfer retrocession agreement (the “Retrocession Agreement”) with Fortitude Reinsurance Company Ltd. (“FRL”) under which FRL reinsures the majority of the reserves in the Company’s Casualty Reinsurance segment. Under the terms of the transaction, which closed on March 31, 2022 (the “Retrocession Closing Date”),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 and (d) pays FRL a 2% per annum crediting rate on the Funds Withheld Account balance on a quarterly basis. The total premium, initial Funds Withheld Account credit, and aggregate limit was adjusted for claims paid from October 1, 2021 to the Retrocession Closing Date. The Casualty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Reinsurance segment incurred losses of $11.5 million (including $6.8 million of net adverse reserve development and $4.7 million of current accident year losses) in the three months ended March 31, 2022 associated with the Retrocession Agreement.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Auto Loss Portfolio Transfer</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September 27, 2021, James River Insurance Company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Under the terms of the transaction, effective as of July 1, 2021, James River ceded to Aleka approximately $345.1 million of commercial auto liabilities relating to Rasier policies written in the years 2013-2019, which amount constituted the reinsurance premium. The reinsurance coverage is structured to be fully collateralized, is not subject to an aggregate limit, and is subject to certain exclusions. A pre-tax loss of $29.6 million was recognized as adverse loss and loss adjustment reserve development in the Excess and Surplus Lines segment for the third quarter of 2021 associated with the loss portfolio transfer.</w:t>
      </w:r>
    </w:p>
    <w:p>
      <w:pPr>
        <w:spacing w:after="0" w:line="7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For the three and nine months ended September 30, 2022, due to adverse paid loss trends on the legacy Rasier business, the Company recognized adverse prior year development of $46.7 million on the reserves subject to the Commercial Auto LPT, resulting in a corresponding additional amount ceded under the Commercial Auto LPT. As a result, the cumulative amounts ceded under the Commercial Auto LPT exceed the consideration paid, moving the Commercial Auto LPT into a gain position. The Company has applied retroactive reinsurance accounting to the Commercial Auto LPT. A retroactive reinsurance benefit of $25.9 million was recorded in losses and loss adjustment expenses on the Condensed Consolidated Statements of (Loss) Income and Comprehensive Loss for the three and nine months ended September 30, 2022 using the recovery method. As of September 30, 2022 and December 31, 2021, the cumulative amounts ceded under the Commercial Auto LPT were $391.8 million and $345.1 million, respectively. The unrecognized deferred retroactive reinsurance gain of $20.8 million at September 30, 2022 is separately presented on the Company's Condensed Consolidated Balance Sheets.</w:t>
      </w:r>
    </w:p>
    <w:p>
      <w:pPr>
        <w:spacing w:after="0" w:line="42" w:lineRule="exact"/>
        <w:rPr>
          <w:sz w:val="20"/>
          <w:szCs w:val="20"/>
          <w:color w:val="auto"/>
        </w:rPr>
      </w:pPr>
    </w:p>
    <w:p>
      <w:pPr>
        <w:ind w:left="320" w:hanging="314"/>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Loss</w:t>
      </w:r>
    </w:p>
    <w:p>
      <w:pPr>
        <w:spacing w:after="0" w:line="117"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components of other comprehensive loss: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40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189"/>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Unrealized losses arising during the period, before U.S. income taxes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(39,972)</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w:t>
            </w: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Unrealized losses arising during the period, net of U.S.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(61,628)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(35,318)</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Less reclassification adjustment: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investment (losses) gains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U.S. income taxes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(863)</w:t>
            </w:r>
          </w:p>
        </w:tc>
      </w:tr>
      <w:tr>
        <w:trPr>
          <w:trHeight w:val="154"/>
        </w:trPr>
        <w:tc>
          <w:tcPr>
            <w:tcW w:w="542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Reclassification adjustment for investment (losses) gains realized in net</w:t>
            </w: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23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r>
      <w:tr>
        <w:trPr>
          <w:trHeight w:val="219"/>
        </w:trPr>
        <w:tc>
          <w:tcPr>
            <w:tcW w:w="54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(205,227)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(38,789)</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Company's invested assets at September 30, 2022 include $1,639.2 million of fixed maturity securities that are classified as available-for-sale and carried at fair value with unrealized gains and losses on these securities reported, net of applicable taxes, as a separate component of accumulated comprehensive (loss) income. In the nine months ended September 30, 2022 and 2021, the fair values of our fixed maturity securities were negatively impacted by rising interest rates leading to unrealized losses recognized in other comprehensive loss.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In addition to the $972,000 of net realized investment losses and $284,000 of net realized investment gains on available-for-sale fixed maturities for the three and nine </w:t>
      </w:r>
      <w:r>
        <w:rPr>
          <w:rFonts w:ascii="Arial" w:cs="Arial" w:eastAsia="Arial" w:hAnsi="Arial"/>
          <w:sz w:val="15"/>
          <w:szCs w:val="15"/>
          <w:color w:val="231F20"/>
        </w:rPr>
        <w:t>months ended</w:t>
      </w:r>
      <w:r>
        <w:rPr>
          <w:rFonts w:ascii="Arial" w:cs="Arial" w:eastAsia="Arial" w:hAnsi="Arial"/>
          <w:sz w:val="15"/>
          <w:szCs w:val="15"/>
          <w:color w:val="auto"/>
        </w:rPr>
        <w:t xml:space="preserve"> September 30, 2022 ($3.2 million and $4.3 million of net realized investment gains for the three and nine </w:t>
      </w:r>
      <w:r>
        <w:rPr>
          <w:rFonts w:ascii="Arial" w:cs="Arial" w:eastAsia="Arial" w:hAnsi="Arial"/>
          <w:sz w:val="15"/>
          <w:szCs w:val="15"/>
          <w:color w:val="231F20"/>
        </w:rPr>
        <w:t>months ended</w:t>
      </w:r>
      <w:r>
        <w:rPr>
          <w:rFonts w:ascii="Arial" w:cs="Arial" w:eastAsia="Arial" w:hAnsi="Arial"/>
          <w:sz w:val="15"/>
          <w:szCs w:val="15"/>
          <w:color w:val="auto"/>
        </w:rPr>
        <w:t xml:space="preserve"> September 30, 2021</w:t>
      </w:r>
      <w:r>
        <w:rPr>
          <w:rFonts w:ascii="Arial" w:cs="Arial" w:eastAsia="Arial" w:hAnsi="Arial"/>
          <w:sz w:val="15"/>
          <w:szCs w:val="15"/>
          <w:color w:val="231F20"/>
        </w:rPr>
        <w:t>, respectively),</w:t>
      </w:r>
      <w:r>
        <w:rPr>
          <w:rFonts w:ascii="Arial" w:cs="Arial" w:eastAsia="Arial" w:hAnsi="Arial"/>
          <w:sz w:val="15"/>
          <w:szCs w:val="15"/>
          <w:color w:val="auto"/>
        </w:rPr>
        <w:t xml:space="preserve"> the Company also recognized net realized and unrealized investment losses in the respective periods of $2.2 million and $14.2 million on its investments in bank loan participations ($195,000 and $6.0 million of net realized and unrealized investment gains in the respective prior year periods) and net realized and unrealized investment losses of $4.6 million and $15.9 million on its investments in equity securities ($641,000 and $3.4 million of net realized and unrealized investment gains in the respective prior year periods) that was largely related to preferred stock holdings.</w:t>
      </w:r>
    </w:p>
    <w:p>
      <w:pPr>
        <w:spacing w:after="0" w:line="40" w:lineRule="exact"/>
        <w:rPr>
          <w:sz w:val="20"/>
          <w:szCs w:val="20"/>
          <w:color w:val="auto"/>
        </w:rPr>
      </w:pPr>
    </w:p>
    <w:p>
      <w:pPr>
        <w:ind w:left="440" w:hanging="434"/>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is involved in various legal proceedings, including commercial matters and litigation regarding insurance claims arising in the ordinary course of business as well as an alleged class action lawsuit. In addition, the Company is involved from time to time in legal actions which seek extra-contractual damages, punitive damages or penalties, including claims alleging bad faith in the handling of insurance claims. The Company believes that the outcome of such matters, individually and in the aggregate, is not reasonably likely to have a material adverse effect on its consolidated financial position, results of operations or cash flows.</w:t>
      </w:r>
    </w:p>
    <w:p>
      <w:pPr>
        <w:spacing w:after="0" w:line="8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“First Amended Complaint”). The Defendants filed a motion to dismiss the First Amended Complaint on January 18, 2022, Plaintiffs’ opposition thereto was filed on March 4, 2022, and the Defendants’ reply to the Plaintiffs’ opposition was filed on April 4, 2022. On August 25, 2022, Plaintiffs filed a motion for leave to file a second amended class action complaint (the "Second Amended Complaint"). On September 8, 2022, the Defendants consented to the Plaintiffs’ motion to file the Second Amended Complaint, and filed a motion to dismiss the Second Amended Complaint on October 24, 2022 (the "Second MTD"). The Plaintiffs’ opposition to the Second MTD is due December 8, 2022, and the Defendant's reply to the Plaintiffs’ opposition is due January 9, 2023. The First Amended Complaint and Second Amended Complaint assert claims under Sections 10(b) and 20(a) of the Securities Exchange Act of 1934 on behalf of a putative class of persons and entities that purchased the Company's stock between February 22, 2019 and October 25, 2021, and allege that Defendants failed to make appropriate disclosures concerning the adequacy of reserves for policies that covered Rasier LLC, a subsidiary of Uber Technologies, Inc., and seek unspecified damages, costs, attorneys’ fees and such other relief as the court may deem proper. We believe that the Plaintiffs’ claims are without merit and we intend to vigorously defend this lawsuit.</w:t>
      </w:r>
    </w:p>
    <w:p>
      <w:pPr>
        <w:spacing w:after="0" w:line="27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For a description of the potential future impacts of COVID-19 on the Company, see the “The global coronavirus outbreak could harm business and results of operations of the Company” risk factor in Part I—Item IA in our Annual Report on Form 10-K for the year ended December 31, 2021.</w:t>
      </w:r>
    </w:p>
    <w:p>
      <w:pPr>
        <w:spacing w:after="0" w:line="5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Company’s reinsurance subsidiary, JRG Re, entered into three letter of credit facilities with banks as security to third-party reinsureds on reinsurance assumed by JRG Re. JRG Re has established custodial accounts to secure these letters of credit. Under a $30.0 million facility, $4.6 million of letters of credit were issued through September 30, 2022 which were secured by deposits of $7.8 million. Under a $102.5 million facility, $40.5 million of letters of credit were issued through September 30, 2022 which were secured by deposits of $46.0 million. Under a $100.0 million facility, $22.6 million of letters of credit were issued through September 30, 2022 which were secured by deposits of $27.5 million. JRG Re has also established trust accounts to secure its obligations to selected reinsureds. The total amount deposited in the trust accounts for the benefit of third-party reinsureds was $409.3 million at September 30,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 and Reinsurer on Legacy Commercial Auto Book</w:t>
      </w:r>
    </w:p>
    <w:p>
      <w:pPr>
        <w:spacing w:after="0" w:line="111" w:lineRule="exact"/>
        <w:rPr>
          <w:sz w:val="20"/>
          <w:szCs w:val="20"/>
          <w:color w:val="auto"/>
        </w:rPr>
      </w:pPr>
    </w:p>
    <w:p>
      <w:pPr>
        <w:jc w:val="both"/>
        <w:ind w:firstLine="358"/>
        <w:spacing w:after="0" w:line="248" w:lineRule="auto"/>
        <w:rPr>
          <w:sz w:val="20"/>
          <w:szCs w:val="20"/>
          <w:color w:val="auto"/>
        </w:rPr>
      </w:pPr>
      <w:r>
        <w:rPr>
          <w:rFonts w:ascii="Arial" w:cs="Arial" w:eastAsia="Arial" w:hAnsi="Arial"/>
          <w:sz w:val="18"/>
          <w:szCs w:val="18"/>
          <w:color w:val="auto"/>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Rasier and Aleka are required to post collateral under the Indemnity Agreements and the Commercial Auto LPT, respectively:</w:t>
      </w:r>
    </w:p>
    <w:p>
      <w:pPr>
        <w:spacing w:after="0" w:line="111" w:lineRule="exact"/>
        <w:rPr>
          <w:sz w:val="20"/>
          <w:szCs w:val="20"/>
          <w:color w:val="auto"/>
        </w:rPr>
      </w:pPr>
    </w:p>
    <w:p>
      <w:pPr>
        <w:jc w:val="both"/>
        <w:ind w:firstLine="364"/>
        <w:spacing w:after="0" w:line="265" w:lineRule="auto"/>
        <w:tabs>
          <w:tab w:leader="none" w:pos="631"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September 30, 2022, the balance in the Indemnity Trust was $262.1 million, and, together with the balance of the Loss Fund Trust (as defined below) attributable to the Indemnity Agreements as described below, the total balance of collateral securing Rasier’s obligations under the Indemnity Agreements was $331.3 million.</w:t>
      </w:r>
    </w:p>
    <w:p>
      <w:pPr>
        <w:spacing w:after="0" w:line="75" w:lineRule="exact"/>
        <w:rPr>
          <w:rFonts w:ascii="Arial" w:cs="Arial" w:eastAsia="Arial" w:hAnsi="Arial"/>
          <w:sz w:val="17"/>
          <w:szCs w:val="17"/>
          <w:color w:val="auto"/>
        </w:rPr>
      </w:pPr>
    </w:p>
    <w:p>
      <w:pPr>
        <w:jc w:val="both"/>
        <w:ind w:firstLine="364"/>
        <w:spacing w:after="0" w:line="309" w:lineRule="auto"/>
        <w:tabs>
          <w:tab w:leader="none" w:pos="631" w:val="left"/>
        </w:tabs>
        <w:numPr>
          <w:ilvl w:val="0"/>
          <w:numId w:val="12"/>
        </w:numPr>
        <w:rPr>
          <w:rFonts w:ascii="Arial" w:cs="Arial" w:eastAsia="Arial" w:hAnsi="Arial"/>
          <w:sz w:val="15"/>
          <w:szCs w:val="15"/>
          <w:color w:val="auto"/>
        </w:rPr>
      </w:pPr>
      <w:r>
        <w:rPr>
          <w:rFonts w:ascii="Arial" w:cs="Arial" w:eastAsia="Arial" w:hAnsi="Arial"/>
          <w:sz w:val="15"/>
          <w:szCs w:val="15"/>
          <w:color w:val="auto"/>
        </w:rPr>
        <w:t>Pursuant to the Commercial Auto LPT, Aleka is required to post collateral equal to 102% of James River's estimate of Aleka's obligations under the Commercial Auto LPT, calculated in accordance with statutory accounting principles. The collateral is provided through a collateral trust arrangement (the “LPT Trust”) established in favor of James River by Aleka. At September 30, 2022, the balance in the LPT Trust was $118.3 million, and, together with the balance of the Loss Fund Trust (as defined below) attributable to the Commercial Auto LPT as described below, the total balance of collateral securing Aleka’s obligations under the Commercial Auto LPT was $146.5 million. At September 30, 2022, the total reinsurance recoverables under the Commercial Auto LPT was $189.1 million (including $174.3 million of unpaid recoverables and $14.8 million of paid recoverables).</w:t>
      </w:r>
    </w:p>
    <w:p>
      <w:pPr>
        <w:spacing w:after="0" w:line="46" w:lineRule="exact"/>
        <w:rPr>
          <w:sz w:val="20"/>
          <w:szCs w:val="20"/>
          <w:color w:val="auto"/>
        </w:rPr>
      </w:pPr>
    </w:p>
    <w:p>
      <w:pPr>
        <w:jc w:val="both"/>
        <w:ind w:firstLine="358"/>
        <w:spacing w:after="0" w:line="303" w:lineRule="auto"/>
        <w:rPr>
          <w:sz w:val="20"/>
          <w:szCs w:val="20"/>
          <w:color w:val="auto"/>
        </w:rPr>
      </w:pPr>
      <w:r>
        <w:rPr>
          <w:rFonts w:ascii="Arial" w:cs="Arial" w:eastAsia="Arial" w:hAnsi="Arial"/>
          <w:sz w:val="15"/>
          <w:szCs w:val="15"/>
          <w:color w:val="auto"/>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September 30, 2022, the balance in the Loss Fund Trust was $102.5 million, including $69.2 million representing collateral supporting Rasier’s obligations under the Indemnity Agreements and $28.2 million representing collateral supporting Aleka’s obligations under the Commercial Auto LPT. Funds posted to the Loss Fund Trust are classified as restricted cash equivalents on the Company's balance sheets.</w:t>
      </w:r>
    </w:p>
    <w:p>
      <w:pPr>
        <w:spacing w:after="0" w:line="266"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5"/>
          <w:szCs w:val="15"/>
          <w:color w:val="auto"/>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in accordance with the terms of the Commercial Auto LPT and Indemnity Agreements when our analysis indicates that we have uncollateralized exposure.</w:t>
      </w:r>
    </w:p>
    <w:p>
      <w:pPr>
        <w:spacing w:after="0" w:line="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Segment Information</w:t>
      </w:r>
    </w:p>
    <w:p>
      <w:pPr>
        <w:spacing w:after="0" w:line="11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 xml:space="preserve">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and gross fee income (in specific instances when the Company is not retaining insurance risk) in “other income” in the condensed consolidated statements of income (loss) and comprehensive (loss) income less loss and loss adjustment expenses on business not subject to retroactive reinsurance accounting for loss portfolio transfers (see </w:t>
      </w:r>
      <w:r>
        <w:rPr>
          <w:rFonts w:ascii="Arial" w:cs="Arial" w:eastAsia="Arial" w:hAnsi="Arial"/>
          <w:sz w:val="15"/>
          <w:szCs w:val="15"/>
          <w:i w:val="1"/>
          <w:iCs w:val="1"/>
          <w:color w:val="auto"/>
        </w:rPr>
        <w:t>Loss Portfolio Transfers</w:t>
      </w:r>
      <w:r>
        <w:rPr>
          <w:rFonts w:ascii="Arial" w:cs="Arial" w:eastAsia="Arial" w:hAnsi="Arial"/>
          <w:sz w:val="15"/>
          <w:szCs w:val="15"/>
          <w:color w:val="auto"/>
        </w:rPr>
        <w:t xml:space="preserve"> in </w:t>
      </w:r>
      <w:r>
        <w:rPr>
          <w:rFonts w:ascii="Arial" w:cs="Arial" w:eastAsia="Arial" w:hAnsi="Arial"/>
          <w:sz w:val="15"/>
          <w:szCs w:val="15"/>
          <w:i w:val="1"/>
          <w:iCs w:val="1"/>
          <w:color w:val="auto"/>
        </w:rPr>
        <w:t>Note 5 - Reserve for Losses and Loss Adjustment Expenses</w:t>
      </w:r>
      <w:r>
        <w:rPr>
          <w:rFonts w:ascii="Arial" w:cs="Arial" w:eastAsia="Arial" w:hAnsi="Arial"/>
          <w:sz w:val="15"/>
          <w:szCs w:val="15"/>
          <w:color w:val="auto"/>
        </w:rPr>
        <w:t xml:space="preserve">) and other operating expenses of the operating segments. Gross fee income of $914,000 and $2.6 million for the Specialty Admitted Insurance segment was included in other income and in underwriting profit (loss) for the three and nine </w:t>
      </w:r>
      <w:r>
        <w:rPr>
          <w:rFonts w:ascii="Arial" w:cs="Arial" w:eastAsia="Arial" w:hAnsi="Arial"/>
          <w:sz w:val="15"/>
          <w:szCs w:val="15"/>
          <w:color w:val="231F20"/>
        </w:rPr>
        <w:t>months ended</w:t>
      </w:r>
      <w:r>
        <w:rPr>
          <w:rFonts w:ascii="Arial" w:cs="Arial" w:eastAsia="Arial" w:hAnsi="Arial"/>
          <w:sz w:val="15"/>
          <w:szCs w:val="15"/>
          <w:color w:val="auto"/>
        </w:rPr>
        <w:t xml:space="preserve"> September 30, 2022, respectively ($1.0 million and $2.9 million in the respective prior year periods)</w:t>
      </w:r>
      <w:r>
        <w:rPr>
          <w:rFonts w:ascii="Arial" w:cs="Arial" w:eastAsia="Arial" w:hAnsi="Arial"/>
          <w:sz w:val="15"/>
          <w:szCs w:val="15"/>
          <w:color w:val="231F20"/>
        </w:rPr>
        <w:t>.</w:t>
      </w:r>
      <w:r>
        <w:rPr>
          <w:rFonts w:ascii="Arial" w:cs="Arial" w:eastAsia="Arial" w:hAnsi="Arial"/>
          <w:sz w:val="15"/>
          <w:szCs w:val="15"/>
          <w:color w:val="auto"/>
        </w:rPr>
        <w:t xml:space="preserve"> Segment results are reported prior to the effects of intercompany reinsurance agreements among the Company’s insurance subsidiaries.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segment results: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85"/>
              </w:rPr>
              <w:t>Excess and</w:t>
            </w:r>
          </w:p>
        </w:tc>
        <w:tc>
          <w:tcPr>
            <w:tcW w:w="300" w:type="dxa"/>
            <w:vAlign w:val="bottom"/>
          </w:tcPr>
          <w:p>
            <w:pPr>
              <w:spacing w:after="0"/>
              <w:rPr>
                <w:sz w:val="14"/>
                <w:szCs w:val="14"/>
                <w:color w:val="auto"/>
              </w:rPr>
            </w:pPr>
          </w:p>
        </w:tc>
        <w:tc>
          <w:tcPr>
            <w:tcW w:w="1100" w:type="dxa"/>
            <w:vAlign w:val="bottom"/>
          </w:tcPr>
          <w:p>
            <w:pPr>
              <w:jc w:val="center"/>
              <w:ind w:right="173"/>
              <w:spacing w:after="0"/>
              <w:rPr>
                <w:sz w:val="20"/>
                <w:szCs w:val="20"/>
                <w:color w:val="auto"/>
              </w:rPr>
            </w:pPr>
            <w:r>
              <w:rPr>
                <w:rFonts w:ascii="Arial" w:cs="Arial" w:eastAsia="Arial" w:hAnsi="Arial"/>
                <w:sz w:val="14"/>
                <w:szCs w:val="14"/>
                <w:b w:val="1"/>
                <w:bCs w:val="1"/>
                <w:color w:val="auto"/>
                <w:w w:val="91"/>
              </w:rPr>
              <w:t>Specialty</w:t>
            </w:r>
          </w:p>
        </w:tc>
        <w:tc>
          <w:tcPr>
            <w:tcW w:w="260" w:type="dxa"/>
            <w:vAlign w:val="bottom"/>
          </w:tcPr>
          <w:p>
            <w:pPr>
              <w:spacing w:after="0"/>
              <w:rPr>
                <w:sz w:val="14"/>
                <w:szCs w:val="14"/>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89"/>
              </w:rPr>
              <w:t>Casualty</w:t>
            </w:r>
          </w:p>
        </w:tc>
        <w:tc>
          <w:tcPr>
            <w:tcW w:w="280" w:type="dxa"/>
            <w:vAlign w:val="bottom"/>
          </w:tcPr>
          <w:p>
            <w:pPr>
              <w:spacing w:after="0"/>
              <w:rPr>
                <w:sz w:val="14"/>
                <w:szCs w:val="14"/>
                <w:color w:val="auto"/>
              </w:rPr>
            </w:pPr>
          </w:p>
        </w:tc>
        <w:tc>
          <w:tcPr>
            <w:tcW w:w="1140" w:type="dxa"/>
            <w:vAlign w:val="bottom"/>
          </w:tcPr>
          <w:p>
            <w:pPr>
              <w:jc w:val="center"/>
              <w:ind w:right="193"/>
              <w:spacing w:after="0"/>
              <w:rPr>
                <w:sz w:val="20"/>
                <w:szCs w:val="20"/>
                <w:color w:val="auto"/>
              </w:rPr>
            </w:pPr>
            <w:r>
              <w:rPr>
                <w:rFonts w:ascii="Arial" w:cs="Arial" w:eastAsia="Arial" w:hAnsi="Arial"/>
                <w:sz w:val="14"/>
                <w:szCs w:val="14"/>
                <w:b w:val="1"/>
                <w:bCs w:val="1"/>
                <w:color w:val="auto"/>
                <w:w w:val="92"/>
              </w:rPr>
              <w:t>Corporate</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73"/>
              <w:spacing w:after="0" w:line="142" w:lineRule="exact"/>
              <w:rPr>
                <w:sz w:val="20"/>
                <w:szCs w:val="20"/>
                <w:color w:val="auto"/>
              </w:rPr>
            </w:pPr>
            <w:r>
              <w:rPr>
                <w:rFonts w:ascii="Arial" w:cs="Arial" w:eastAsia="Arial" w:hAnsi="Arial"/>
                <w:sz w:val="14"/>
                <w:szCs w:val="14"/>
                <w:b w:val="1"/>
                <w:bCs w:val="1"/>
                <w:color w:val="auto"/>
                <w:w w:val="88"/>
              </w:rPr>
              <w:t>Surplus</w:t>
            </w:r>
          </w:p>
        </w:tc>
        <w:tc>
          <w:tcPr>
            <w:tcW w:w="300" w:type="dxa"/>
            <w:vAlign w:val="bottom"/>
          </w:tcPr>
          <w:p>
            <w:pPr>
              <w:spacing w:after="0"/>
              <w:rPr>
                <w:sz w:val="12"/>
                <w:szCs w:val="12"/>
                <w:color w:val="auto"/>
              </w:rPr>
            </w:pPr>
          </w:p>
        </w:tc>
        <w:tc>
          <w:tcPr>
            <w:tcW w:w="1100" w:type="dxa"/>
            <w:vAlign w:val="bottom"/>
          </w:tcPr>
          <w:p>
            <w:pPr>
              <w:jc w:val="center"/>
              <w:ind w:right="173"/>
              <w:spacing w:after="0" w:line="142" w:lineRule="exact"/>
              <w:rPr>
                <w:sz w:val="20"/>
                <w:szCs w:val="20"/>
                <w:color w:val="auto"/>
              </w:rPr>
            </w:pPr>
            <w:r>
              <w:rPr>
                <w:rFonts w:ascii="Arial" w:cs="Arial" w:eastAsia="Arial" w:hAnsi="Arial"/>
                <w:sz w:val="14"/>
                <w:szCs w:val="14"/>
                <w:b w:val="1"/>
                <w:bCs w:val="1"/>
                <w:color w:val="auto"/>
                <w:w w:val="92"/>
              </w:rPr>
              <w:t>Admitted</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right="193"/>
              <w:spacing w:after="0" w:line="142" w:lineRule="exact"/>
              <w:rPr>
                <w:sz w:val="20"/>
                <w:szCs w:val="20"/>
                <w:color w:val="auto"/>
              </w:rPr>
            </w:pPr>
            <w:r>
              <w:rPr>
                <w:rFonts w:ascii="Arial" w:cs="Arial" w:eastAsia="Arial" w:hAnsi="Arial"/>
                <w:sz w:val="14"/>
                <w:szCs w:val="14"/>
                <w:b w:val="1"/>
                <w:bCs w:val="1"/>
                <w:color w:val="auto"/>
                <w:w w:val="88"/>
              </w:rPr>
              <w:t>and</w:t>
            </w:r>
          </w:p>
        </w:tc>
        <w:tc>
          <w:tcPr>
            <w:tcW w:w="380" w:type="dxa"/>
            <w:vAlign w:val="bottom"/>
          </w:tcPr>
          <w:p>
            <w:pPr>
              <w:spacing w:after="0"/>
              <w:rPr>
                <w:sz w:val="12"/>
                <w:szCs w:val="12"/>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Lines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0"/>
              </w:rPr>
              <w:t>Insurance</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Reinsurance</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Other</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i w:val="1"/>
                <w:iCs w:val="1"/>
                <w:color w:val="auto"/>
                <w:w w:val="87"/>
              </w:rPr>
              <w:t>(in thousands)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2022</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204,785</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123,389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30,331</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358,505</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139,095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17,824</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33,270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190,189</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profit of operating segments</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16,402</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3,044</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19,731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6,955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9,596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17,306</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1,235</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3,715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140,946</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40,869</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201,229</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2,623,257</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1,222,280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1,290,573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69,381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5,205,491</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217,673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121,175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7,751</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346,599</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119,760</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19,704</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31,144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170,608</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(loss) profit of operating segments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(21,527)</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3,084</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(11,911)</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(30,354)</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4,678</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9,699</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2,227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127,603</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21,009</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42,167</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214</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1,835,108</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1,053,286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1,871,846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23,859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4,784,099</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2022</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675,702</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374,066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68,387</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1,118,155</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408,280</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102,712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566,275</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profit (loss) of operating segments</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60,193</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1,746</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(3,734)</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58,205</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15,795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29,750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48,278</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2,577</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8,714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405,997</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122,594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240</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587,983</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2,623,257</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1,222,280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1,290,573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69,381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5,205,491</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613,045</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377,400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109,555</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351,413</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97,837</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503,906</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(loss) profit of operating segments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(145,556)</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6,488</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(16,857)</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(155,925)</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11,857</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29,962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44,726</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6,692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6,692</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370,417</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60,667</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133,671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565,540</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1,835,108</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1,053,286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1,871,846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23,859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4,784,099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following table reconciles the underwriting profit (loss) of the operating segments by individual segment to consolidated (loss) income before income taxes: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Three Months Ended</w:t>
            </w:r>
          </w:p>
        </w:tc>
        <w:tc>
          <w:tcPr>
            <w:tcW w:w="460" w:type="dxa"/>
            <w:vAlign w:val="bottom"/>
          </w:tcPr>
          <w:p>
            <w:pPr>
              <w:spacing w:after="0"/>
              <w:rPr>
                <w:sz w:val="14"/>
                <w:szCs w:val="14"/>
                <w:color w:val="auto"/>
              </w:rPr>
            </w:pPr>
          </w:p>
        </w:tc>
        <w:tc>
          <w:tcPr>
            <w:tcW w:w="2400" w:type="dxa"/>
            <w:vAlign w:val="bottom"/>
            <w:gridSpan w:val="4"/>
          </w:tcPr>
          <w:p>
            <w:pPr>
              <w:jc w:val="center"/>
              <w:ind w:right="374"/>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profit (loss) of the operating segments: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16,402</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(21,527)</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60,193</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(145,556)</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(16,857)</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underwriting profit (loss) of operating segments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(155,925)</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(23,258)</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profit (loss)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(179,183)</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Losses and loss adjustment expenses - retroactive reinsurance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44,726</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Net realized and unrealized (losses) gains on investments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13,738</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Other income and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0" w:type="dxa"/>
            <w:vAlign w:val="bottom"/>
          </w:tcPr>
          <w:p>
            <w:pPr>
              <w:spacing w:after="0"/>
              <w:rPr>
                <w:sz w:val="1"/>
                <w:szCs w:val="1"/>
                <w:color w:val="auto"/>
              </w:rPr>
            </w:pPr>
          </w:p>
        </w:tc>
      </w:tr>
      <w:tr>
        <w:trPr>
          <w:trHeight w:val="219"/>
        </w:trPr>
        <w:tc>
          <w:tcPr>
            <w:tcW w:w="542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(129,647)</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9.  Other Operating Expenses and Other Expenses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5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420" w:type="dxa"/>
            <w:vAlign w:val="bottom"/>
          </w:tcPr>
          <w:p>
            <w:pPr>
              <w:ind w:left="320"/>
              <w:spacing w:after="0"/>
              <w:rPr>
                <w:sz w:val="20"/>
                <w:szCs w:val="20"/>
                <w:color w:val="auto"/>
              </w:rPr>
            </w:pPr>
            <w:r>
              <w:rPr>
                <w:rFonts w:ascii="Arial" w:cs="Arial" w:eastAsia="Arial" w:hAnsi="Arial"/>
                <w:sz w:val="18"/>
                <w:szCs w:val="18"/>
                <w:color w:val="auto"/>
              </w:rPr>
              <w:t>Other operating expenses consist of the following:</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Three Months Ended</w:t>
            </w:r>
          </w:p>
        </w:tc>
        <w:tc>
          <w:tcPr>
            <w:tcW w:w="460" w:type="dxa"/>
            <w:vAlign w:val="bottom"/>
          </w:tcPr>
          <w:p>
            <w:pPr>
              <w:spacing w:after="0"/>
              <w:rPr>
                <w:sz w:val="23"/>
                <w:szCs w:val="23"/>
                <w:color w:val="auto"/>
              </w:rPr>
            </w:pPr>
          </w:p>
        </w:tc>
        <w:tc>
          <w:tcPr>
            <w:tcW w:w="2400" w:type="dxa"/>
            <w:vAlign w:val="bottom"/>
            <w:gridSpan w:val="4"/>
          </w:tcPr>
          <w:p>
            <w:pPr>
              <w:jc w:val="center"/>
              <w:ind w:right="374"/>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policy acquisition costs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64,830</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Other underwriting expenses of the operating segments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15,841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48,326</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23,258</w:t>
            </w:r>
          </w:p>
        </w:tc>
        <w:tc>
          <w:tcPr>
            <w:tcW w:w="0" w:type="dxa"/>
            <w:vAlign w:val="bottom"/>
          </w:tcPr>
          <w:p>
            <w:pPr>
              <w:spacing w:after="0"/>
              <w:rPr>
                <w:sz w:val="1"/>
                <w:szCs w:val="1"/>
                <w:color w:val="auto"/>
              </w:rPr>
            </w:pPr>
          </w:p>
        </w:tc>
      </w:tr>
      <w:tr>
        <w:trPr>
          <w:trHeight w:val="219"/>
        </w:trPr>
        <w:tc>
          <w:tcPr>
            <w:tcW w:w="54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146,681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136,414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Other expenses of $210,000 and $578,000 for the three and nine </w:t>
      </w:r>
      <w:r>
        <w:rPr>
          <w:rFonts w:ascii="Arial" w:cs="Arial" w:eastAsia="Arial" w:hAnsi="Arial"/>
          <w:sz w:val="15"/>
          <w:szCs w:val="15"/>
          <w:color w:val="231F20"/>
        </w:rPr>
        <w:t>months ended September 30, 2022</w:t>
      </w:r>
      <w:r>
        <w:rPr>
          <w:rFonts w:ascii="Arial" w:cs="Arial" w:eastAsia="Arial" w:hAnsi="Arial"/>
          <w:sz w:val="15"/>
          <w:szCs w:val="15"/>
          <w:color w:val="auto"/>
        </w:rPr>
        <w:t>, respectively ($706,000 and $2.2 million in the respective prior year periods), primarily consist of certain nonoperating expenses including legal fees related to a purported class action lawsuit, legal and other professional fees related to the Company's May 2021 common share offering and various strategic initiatives, and employee severance costs.</w:t>
      </w:r>
    </w:p>
    <w:p>
      <w:pPr>
        <w:spacing w:after="0" w:line="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Fair Value Measurements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Three levels of inputs are used to measure fair value of financial instruments: (1) Level 1: quoted price (unadjusted) in active markets for identical assets,</w:t>
      </w:r>
    </w:p>
    <w:p>
      <w:pPr>
        <w:spacing w:after="0" w:line="51" w:lineRule="exact"/>
        <w:rPr>
          <w:sz w:val="20"/>
          <w:szCs w:val="20"/>
          <w:color w:val="auto"/>
        </w:rPr>
      </w:pPr>
    </w:p>
    <w:p>
      <w:pPr>
        <w:jc w:val="both"/>
        <w:ind w:firstLine="6"/>
        <w:spacing w:after="0" w:line="248" w:lineRule="auto"/>
        <w:tabs>
          <w:tab w:leader="none" w:pos="2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8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based on observable market data in active markets (</w:t>
      </w:r>
      <w:r>
        <w:rPr>
          <w:rFonts w:ascii="Arial" w:cs="Arial" w:eastAsia="Arial" w:hAnsi="Arial"/>
          <w:sz w:val="17"/>
          <w:szCs w:val="17"/>
          <w:i w:val="1"/>
          <w:iCs w:val="1"/>
          <w:color w:val="auto"/>
        </w:rPr>
        <w:t>e.g.</w:t>
      </w:r>
      <w:r>
        <w:rPr>
          <w:rFonts w:ascii="Arial" w:cs="Arial" w:eastAsia="Arial" w:hAnsi="Arial"/>
          <w:sz w:val="17"/>
          <w:szCs w:val="17"/>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2020.</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Assets measured at fair value on a recurring basis as of September 30, 2022 are summarized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Fair Value Measurements Using</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0"/>
                <w:szCs w:val="1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Significant</w:t>
            </w: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Markets for</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88"/>
              </w:rPr>
              <w:t>Unobservable</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2"/>
                <w:szCs w:val="12"/>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1</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Level 3</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4"/>
                <w:szCs w:val="14"/>
                <w:b w:val="1"/>
                <w:bCs w:val="1"/>
                <w:i w:val="1"/>
                <w:iCs w:val="1"/>
                <w:color w:val="auto"/>
                <w:w w:val="87"/>
              </w:rPr>
              <w:t>(in thousands)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6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320,897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320,897</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348,927</w:t>
            </w:r>
          </w:p>
        </w:tc>
        <w:tc>
          <w:tcPr>
            <w:tcW w:w="0" w:type="dxa"/>
            <w:vAlign w:val="bottom"/>
          </w:tcPr>
          <w:p>
            <w:pPr>
              <w:spacing w:after="0"/>
              <w:rPr>
                <w:sz w:val="1"/>
                <w:szCs w:val="1"/>
                <w:color w:val="auto"/>
              </w:rPr>
            </w:pPr>
          </w:p>
        </w:tc>
      </w:tr>
      <w:tr>
        <w:trPr>
          <w:trHeight w:val="225"/>
        </w:trPr>
        <w:tc>
          <w:tcPr>
            <w:tcW w:w="556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593,957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593,957</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303,845</w:t>
            </w:r>
          </w:p>
        </w:tc>
        <w:tc>
          <w:tcPr>
            <w:tcW w:w="0" w:type="dxa"/>
            <w:vAlign w:val="bottom"/>
          </w:tcPr>
          <w:p>
            <w:pPr>
              <w:spacing w:after="0"/>
              <w:rPr>
                <w:sz w:val="1"/>
                <w:szCs w:val="1"/>
                <w:color w:val="auto"/>
              </w:rPr>
            </w:pPr>
          </w:p>
        </w:tc>
      </w:tr>
      <w:tr>
        <w:trPr>
          <w:trHeight w:val="173"/>
        </w:trPr>
        <w:tc>
          <w:tcPr>
            <w:tcW w:w="5560" w:type="dxa"/>
            <w:vAlign w:val="bottom"/>
          </w:tcPr>
          <w:p>
            <w:pPr>
              <w:ind w:left="260"/>
              <w:spacing w:after="0" w:line="173" w:lineRule="exact"/>
              <w:rPr>
                <w:sz w:val="20"/>
                <w:szCs w:val="20"/>
                <w:color w:val="auto"/>
              </w:rPr>
            </w:pPr>
            <w:r>
              <w:rPr>
                <w:rFonts w:ascii="Arial" w:cs="Arial" w:eastAsia="Arial" w:hAnsi="Arial"/>
                <w:sz w:val="18"/>
                <w:szCs w:val="18"/>
                <w:color w:val="auto"/>
              </w:rPr>
              <w:t>U.S. Treasury securities and obligations guaranteed by the U.S.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5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government</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71,305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71,622</w:t>
            </w:r>
          </w:p>
        </w:tc>
        <w:tc>
          <w:tcPr>
            <w:tcW w:w="0" w:type="dxa"/>
            <w:vAlign w:val="bottom"/>
          </w:tcPr>
          <w:p>
            <w:pPr>
              <w:spacing w:after="0"/>
              <w:rPr>
                <w:sz w:val="1"/>
                <w:szCs w:val="1"/>
                <w:color w:val="auto"/>
              </w:rPr>
            </w:pPr>
          </w:p>
        </w:tc>
      </w:tr>
      <w:tr>
        <w:trPr>
          <w:trHeight w:val="23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1,567,943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1,639,248</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74,822</w:t>
            </w: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43,292</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8"/>
                <w:szCs w:val="18"/>
                <w:color w:val="auto"/>
              </w:rPr>
              <w:t>Total equity securities</w:t>
            </w: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40,729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line="19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77,385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ind w:left="920"/>
              <w:spacing w:after="0" w:line="19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2"/>
              <w:spacing w:after="0" w:line="19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118,114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60" w:type="dxa"/>
            <w:vAlign w:val="bottom"/>
          </w:tcPr>
          <w:p>
            <w:pPr>
              <w:ind w:left="20"/>
              <w:spacing w:after="0" w:line="198" w:lineRule="exact"/>
              <w:rPr>
                <w:sz w:val="20"/>
                <w:szCs w:val="20"/>
                <w:color w:val="auto"/>
              </w:rPr>
            </w:pPr>
            <w:r>
              <w:rPr>
                <w:rFonts w:ascii="Arial" w:cs="Arial" w:eastAsia="Arial" w:hAnsi="Arial"/>
                <w:sz w:val="18"/>
                <w:szCs w:val="18"/>
                <w:color w:val="auto"/>
              </w:rPr>
              <w:t>Bank loan participations</w:t>
            </w: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8" w:lineRule="exact"/>
              <w:rPr>
                <w:sz w:val="20"/>
                <w:szCs w:val="20"/>
                <w:color w:val="auto"/>
              </w:rPr>
            </w:pPr>
            <w:r>
              <w:rPr>
                <w:rFonts w:ascii="Arial" w:cs="Arial" w:eastAsia="Arial" w:hAnsi="Arial"/>
                <w:sz w:val="18"/>
                <w:szCs w:val="18"/>
                <w:color w:val="auto"/>
              </w:rPr>
              <w:t>160,296</w:t>
            </w:r>
          </w:p>
        </w:tc>
        <w:tc>
          <w:tcPr>
            <w:tcW w:w="10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20"/>
              <w:spacing w:after="0" w:line="198"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98" w:lineRule="exact"/>
              <w:rPr>
                <w:sz w:val="20"/>
                <w:szCs w:val="20"/>
                <w:color w:val="auto"/>
              </w:rPr>
            </w:pPr>
            <w:r>
              <w:rPr>
                <w:rFonts w:ascii="Arial" w:cs="Arial" w:eastAsia="Arial" w:hAnsi="Arial"/>
                <w:sz w:val="18"/>
                <w:szCs w:val="18"/>
                <w:color w:val="auto"/>
              </w:rPr>
              <w:t>160,296</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208,904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Assets measured at fair value on a recurring basis as of December 31, 2021 are summarized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Fair Value Measurements Using</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88"/>
              </w:rPr>
              <w:t>Quoted Prices</w:t>
            </w: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9"/>
              </w:rPr>
              <w:t>in Active</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95"/>
              </w:rPr>
              <w:t>Markets for</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Identical</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Unobservable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78"/>
              </w:rPr>
              <w:t>Assets</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2"/>
                <w:szCs w:val="12"/>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3"/>
        </w:trPr>
        <w:tc>
          <w:tcPr>
            <w:tcW w:w="5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1</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Level 3</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7"/>
              </w:rPr>
              <w:t>(in thousands)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40" w:type="dxa"/>
            <w:vAlign w:val="bottom"/>
          </w:tcPr>
          <w:p>
            <w:pPr>
              <w:ind w:left="260"/>
              <w:spacing w:after="0"/>
              <w:rPr>
                <w:sz w:val="20"/>
                <w:szCs w:val="20"/>
                <w:color w:val="auto"/>
              </w:rPr>
            </w:pPr>
            <w:r>
              <w:rPr>
                <w:rFonts w:ascii="Arial" w:cs="Arial" w:eastAsia="Arial" w:hAnsi="Arial"/>
                <w:sz w:val="18"/>
                <w:szCs w:val="18"/>
                <w:color w:val="auto"/>
              </w:rPr>
              <w:t>State and municipal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333,717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333,717</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mortgage-backed</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246,631</w:t>
            </w:r>
          </w:p>
        </w:tc>
        <w:tc>
          <w:tcPr>
            <w:tcW w:w="0" w:type="dxa"/>
            <w:vAlign w:val="bottom"/>
          </w:tcPr>
          <w:p>
            <w:pPr>
              <w:spacing w:after="0"/>
              <w:rPr>
                <w:sz w:val="1"/>
                <w:szCs w:val="1"/>
                <w:color w:val="auto"/>
              </w:rPr>
            </w:pPr>
          </w:p>
        </w:tc>
      </w:tr>
      <w:tr>
        <w:trPr>
          <w:trHeight w:val="225"/>
        </w:trPr>
        <w:tc>
          <w:tcPr>
            <w:tcW w:w="55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732,335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732,335</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mortgage and asset-backed</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304,488</w:t>
            </w:r>
          </w:p>
        </w:tc>
        <w:tc>
          <w:tcPr>
            <w:tcW w:w="0" w:type="dxa"/>
            <w:vAlign w:val="bottom"/>
          </w:tcPr>
          <w:p>
            <w:pPr>
              <w:spacing w:after="0"/>
              <w:rPr>
                <w:sz w:val="1"/>
                <w:szCs w:val="1"/>
                <w:color w:val="auto"/>
              </w:rPr>
            </w:pPr>
          </w:p>
        </w:tc>
      </w:tr>
      <w:tr>
        <w:trPr>
          <w:trHeight w:val="173"/>
        </w:trPr>
        <w:tc>
          <w:tcPr>
            <w:tcW w:w="5540" w:type="dxa"/>
            <w:vAlign w:val="bottom"/>
          </w:tcPr>
          <w:p>
            <w:pPr>
              <w:ind w:left="260"/>
              <w:spacing w:after="0" w:line="173" w:lineRule="exact"/>
              <w:rPr>
                <w:sz w:val="20"/>
                <w:szCs w:val="20"/>
                <w:color w:val="auto"/>
              </w:rPr>
            </w:pPr>
            <w:r>
              <w:rPr>
                <w:rFonts w:ascii="Arial" w:cs="Arial" w:eastAsia="Arial" w:hAnsi="Arial"/>
                <w:sz w:val="18"/>
                <w:szCs w:val="18"/>
                <w:color w:val="auto"/>
              </w:rPr>
              <w:t>U.S. Treasury securities and obligations guaranteed by the U.S.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5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government</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59,988</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60,390</w:t>
            </w:r>
          </w:p>
        </w:tc>
        <w:tc>
          <w:tcPr>
            <w:tcW w:w="0" w:type="dxa"/>
            <w:vAlign w:val="bottom"/>
          </w:tcPr>
          <w:p>
            <w:pPr>
              <w:spacing w:after="0"/>
              <w:rPr>
                <w:sz w:val="1"/>
                <w:szCs w:val="1"/>
                <w:color w:val="auto"/>
              </w:rPr>
            </w:pPr>
          </w:p>
        </w:tc>
      </w:tr>
      <w:tr>
        <w:trPr>
          <w:trHeight w:val="23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1,617,573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1,677,561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Equity securities: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63,612</w:t>
            </w:r>
          </w:p>
        </w:tc>
        <w:tc>
          <w:tcPr>
            <w:tcW w:w="0" w:type="dxa"/>
            <w:vAlign w:val="bottom"/>
          </w:tcPr>
          <w:p>
            <w:pPr>
              <w:spacing w:after="0"/>
              <w:rPr>
                <w:sz w:val="1"/>
                <w:szCs w:val="1"/>
                <w:color w:val="auto"/>
              </w:rPr>
            </w:pPr>
          </w:p>
        </w:tc>
      </w:tr>
      <w:tr>
        <w:trPr>
          <w:trHeight w:val="225"/>
        </w:trPr>
        <w:tc>
          <w:tcPr>
            <w:tcW w:w="55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44,798</w:t>
            </w: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108,410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40" w:type="dxa"/>
            <w:vAlign w:val="bottom"/>
          </w:tcPr>
          <w:p>
            <w:pPr>
              <w:ind w:left="20"/>
              <w:spacing w:after="0" w:line="198" w:lineRule="exact"/>
              <w:rPr>
                <w:sz w:val="20"/>
                <w:szCs w:val="20"/>
                <w:color w:val="auto"/>
              </w:rPr>
            </w:pPr>
            <w:r>
              <w:rPr>
                <w:rFonts w:ascii="Arial" w:cs="Arial" w:eastAsia="Arial" w:hAnsi="Arial"/>
                <w:sz w:val="18"/>
                <w:szCs w:val="18"/>
                <w:color w:val="auto"/>
              </w:rPr>
              <w:t>Bank loan participations</w:t>
            </w:r>
          </w:p>
        </w:tc>
        <w:tc>
          <w:tcPr>
            <w:tcW w:w="16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8" w:lineRule="exact"/>
              <w:rPr>
                <w:sz w:val="20"/>
                <w:szCs w:val="20"/>
                <w:color w:val="auto"/>
              </w:rPr>
            </w:pPr>
            <w:r>
              <w:rPr>
                <w:rFonts w:ascii="Arial" w:cs="Arial" w:eastAsia="Arial" w:hAnsi="Arial"/>
                <w:sz w:val="18"/>
                <w:szCs w:val="18"/>
                <w:color w:val="auto"/>
              </w:rPr>
              <w:t>156,043</w:t>
            </w:r>
          </w:p>
        </w:tc>
        <w:tc>
          <w:tcPr>
            <w:tcW w:w="10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98" w:lineRule="exact"/>
              <w:rPr>
                <w:sz w:val="20"/>
                <w:szCs w:val="20"/>
                <w:color w:val="auto"/>
              </w:rPr>
            </w:pPr>
            <w:r>
              <w:rPr>
                <w:rFonts w:ascii="Arial" w:cs="Arial" w:eastAsia="Arial" w:hAnsi="Arial"/>
                <w:sz w:val="18"/>
                <w:szCs w:val="18"/>
                <w:color w:val="auto"/>
              </w:rPr>
              <w:t>156,043</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136,563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A reconciliation of the beginning and ending balances of available-for-sale fixed maturity securities, equity securities, and bank loan participations measured at fair value on a recurring basis using significant unobservable inputs (Level 3) is shown below:</w:t>
      </w:r>
    </w:p>
    <w:p>
      <w:pPr>
        <w:spacing w:after="0" w:line="6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420" w:type="dxa"/>
            <w:vAlign w:val="bottom"/>
            <w:gridSpan w:val="4"/>
          </w:tcPr>
          <w:p>
            <w:pPr>
              <w:jc w:val="center"/>
              <w:ind w:left="341"/>
              <w:spacing w:after="0"/>
              <w:rPr>
                <w:sz w:val="20"/>
                <w:szCs w:val="20"/>
                <w:color w:val="auto"/>
              </w:rPr>
            </w:pPr>
            <w:r>
              <w:rPr>
                <w:rFonts w:ascii="Arial" w:cs="Arial" w:eastAsia="Arial" w:hAnsi="Arial"/>
                <w:sz w:val="14"/>
                <w:szCs w:val="14"/>
                <w:b w:val="1"/>
                <w:bCs w:val="1"/>
                <w:color w:val="auto"/>
                <w:w w:val="92"/>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4"/>
          </w:tcPr>
          <w:p>
            <w:pPr>
              <w:jc w:val="center"/>
              <w:ind w:right="15"/>
              <w:spacing w:after="0"/>
              <w:rPr>
                <w:sz w:val="20"/>
                <w:szCs w:val="20"/>
                <w:color w:val="auto"/>
              </w:rPr>
            </w:pPr>
            <w:r>
              <w:rPr>
                <w:rFonts w:ascii="Arial" w:cs="Arial" w:eastAsia="Arial" w:hAnsi="Arial"/>
                <w:sz w:val="14"/>
                <w:szCs w:val="14"/>
                <w:b w:val="1"/>
                <w:bCs w:val="1"/>
                <w:color w:val="auto"/>
                <w:w w:val="93"/>
              </w:rPr>
              <w:t>Nine Months Ended</w:t>
            </w:r>
          </w:p>
        </w:tc>
      </w:tr>
      <w:tr>
        <w:trPr>
          <w:trHeight w:val="189"/>
        </w:trPr>
        <w:tc>
          <w:tcPr>
            <w:tcW w:w="54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398"/>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r>
      <w:tr>
        <w:trPr>
          <w:trHeight w:val="189"/>
        </w:trPr>
        <w:tc>
          <w:tcPr>
            <w:tcW w:w="5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gridSpan w:val="3"/>
          </w:tcPr>
          <w:p>
            <w:pPr>
              <w:jc w:val="center"/>
              <w:ind w:right="418"/>
              <w:spacing w:after="0"/>
              <w:rPr>
                <w:sz w:val="20"/>
                <w:szCs w:val="20"/>
                <w:color w:val="auto"/>
              </w:rPr>
            </w:pPr>
            <w:r>
              <w:rPr>
                <w:rFonts w:ascii="Arial" w:cs="Arial" w:eastAsia="Arial" w:hAnsi="Arial"/>
                <w:sz w:val="14"/>
                <w:szCs w:val="14"/>
                <w:b w:val="1"/>
                <w:bCs w:val="1"/>
                <w:i w:val="1"/>
                <w:iCs w:val="1"/>
                <w:color w:val="auto"/>
                <w:w w:val="87"/>
              </w:rPr>
              <w:t>(in thousands)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517"/>
              <w:spacing w:after="0"/>
              <w:rPr>
                <w:sz w:val="20"/>
                <w:szCs w:val="20"/>
                <w:color w:val="auto"/>
              </w:rPr>
            </w:pPr>
            <w:r>
              <w:rPr>
                <w:rFonts w:ascii="Arial" w:cs="Arial" w:eastAsia="Arial" w:hAnsi="Arial"/>
                <w:sz w:val="14"/>
                <w:szCs w:val="14"/>
                <w:b w:val="1"/>
                <w:bCs w:val="1"/>
                <w:i w:val="1"/>
                <w:iCs w:val="1"/>
                <w:color w:val="auto"/>
                <w:w w:val="89"/>
              </w:rPr>
              <w:t>(in thousands)</w:t>
            </w:r>
          </w:p>
        </w:tc>
        <w:tc>
          <w:tcPr>
            <w:tcW w:w="700" w:type="dxa"/>
            <w:vAlign w:val="bottom"/>
          </w:tcPr>
          <w:p>
            <w:pPr>
              <w:spacing w:after="0"/>
              <w:rPr>
                <w:sz w:val="16"/>
                <w:szCs w:val="16"/>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Transfers out of Level 3</w:t>
            </w:r>
          </w:p>
        </w:tc>
        <w:tc>
          <w:tcPr>
            <w:tcW w:w="92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in to Level 3</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Purchases</w:t>
            </w:r>
          </w:p>
        </w:tc>
        <w:tc>
          <w:tcPr>
            <w:tcW w:w="92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Maturities, calls and paydowns</w:t>
            </w:r>
          </w:p>
        </w:tc>
        <w:tc>
          <w:tcPr>
            <w:tcW w:w="92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discount</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Total gains or losses (realized/unrealized):</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6"/>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Included in earnings</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5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Included in other comprehensive income</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3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Company had one equity security at December 31, 2021 for which the fair value was determined using significant unobservable inputs (Level 3). The fair value of $102,000 for the equity security was based on expected proceeds from its sale. During the nine months ended September 30, 2022, the Company sold the equity security.</w:t>
      </w:r>
    </w:p>
    <w:p>
      <w:pPr>
        <w:spacing w:after="0" w:line="82"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The Company held one bank loan participation and three equity securities at September 30, 2021 and one bank loan participation and two equity securities at December 31, 2020 for which the fair value was determined using significant unobservable inputs (Level 3). A market approach using prices in trades of comparable securities was utilized to determine a fair value for the securities of $372,000 at September 30, 2021 and $980,000 at December 31, 2020.</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were no transfers between Level 1 and Level 2 during the nine months ended September 30, 2022 or 2021. The Company recognizes transfers between levels at the beginning of the reporting period.</w:t>
      </w:r>
    </w:p>
    <w:p>
      <w:pPr>
        <w:spacing w:after="0" w:line="7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September 30, 2022 and December 31, 2021, there were no investments for which external sources were unavailable to determine fair value.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values and fair values of financial instruments are summarized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4"/>
          </w:tcPr>
          <w:p>
            <w:pPr>
              <w:ind w:left="540"/>
              <w:spacing w:after="0"/>
              <w:rPr>
                <w:sz w:val="20"/>
                <w:szCs w:val="20"/>
                <w:color w:val="auto"/>
              </w:rPr>
            </w:pPr>
            <w:r>
              <w:rPr>
                <w:rFonts w:ascii="Arial" w:cs="Arial" w:eastAsia="Arial" w:hAnsi="Arial"/>
                <w:sz w:val="14"/>
                <w:szCs w:val="14"/>
                <w:b w:val="1"/>
                <w:bCs w:val="1"/>
                <w:color w:val="auto"/>
              </w:rPr>
              <w:t>September 30, 2022</w:t>
            </w:r>
          </w:p>
        </w:tc>
        <w:tc>
          <w:tcPr>
            <w:tcW w:w="400" w:type="dxa"/>
            <w:vAlign w:val="bottom"/>
          </w:tcPr>
          <w:p>
            <w:pPr>
              <w:spacing w:after="0"/>
              <w:rPr>
                <w:sz w:val="15"/>
                <w:szCs w:val="15"/>
                <w:color w:val="auto"/>
              </w:rPr>
            </w:pPr>
          </w:p>
        </w:tc>
        <w:tc>
          <w:tcPr>
            <w:tcW w:w="2380" w:type="dxa"/>
            <w:vAlign w:val="bottom"/>
            <w:gridSpan w:val="3"/>
          </w:tcPr>
          <w:p>
            <w:pPr>
              <w:jc w:val="right"/>
              <w:ind w:right="73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right"/>
              <w:ind w:right="316"/>
              <w:spacing w:after="0" w:line="130"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1"/>
                <w:szCs w:val="11"/>
                <w:color w:val="auto"/>
              </w:rPr>
            </w:pPr>
          </w:p>
        </w:tc>
        <w:tc>
          <w:tcPr>
            <w:tcW w:w="980" w:type="dxa"/>
            <w:vAlign w:val="bottom"/>
          </w:tcPr>
          <w:p>
            <w:pPr>
              <w:jc w:val="right"/>
              <w:ind w:right="336"/>
              <w:spacing w:after="0" w:line="130" w:lineRule="exact"/>
              <w:rPr>
                <w:sz w:val="20"/>
                <w:szCs w:val="20"/>
                <w:color w:val="auto"/>
              </w:rPr>
            </w:pPr>
            <w:r>
              <w:rPr>
                <w:rFonts w:ascii="Arial" w:cs="Arial" w:eastAsia="Arial" w:hAnsi="Arial"/>
                <w:sz w:val="14"/>
                <w:szCs w:val="14"/>
                <w:b w:val="1"/>
                <w:bCs w:val="1"/>
                <w:color w:val="auto"/>
                <w:w w:val="93"/>
              </w:rPr>
              <w:t>Carrying</w:t>
            </w:r>
          </w:p>
        </w:tc>
        <w:tc>
          <w:tcPr>
            <w:tcW w:w="300" w:type="dxa"/>
            <w:vAlign w:val="bottom"/>
          </w:tcPr>
          <w:p>
            <w:pPr>
              <w:spacing w:after="0"/>
              <w:rPr>
                <w:sz w:val="11"/>
                <w:szCs w:val="11"/>
                <w:color w:val="auto"/>
              </w:rPr>
            </w:pPr>
          </w:p>
        </w:tc>
        <w:tc>
          <w:tcPr>
            <w:tcW w:w="11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1,639,248</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1,639,248</w:t>
            </w:r>
          </w:p>
        </w:tc>
        <w:tc>
          <w:tcPr>
            <w:tcW w:w="10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1,677,561</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1,677,561</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118,114</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108,410</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108,410</w:t>
            </w: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Bank loan participations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160,296</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160,296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156,043</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156,043</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187,544</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190,123</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190,123</w:t>
            </w: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102,485</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102,485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102,005</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102,005</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208,904</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136,563</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136,563</w:t>
            </w: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Other invested assets – notes receivable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9,740</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9,740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11,921</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Arial" w:cs="Arial" w:eastAsia="Arial" w:hAnsi="Arial"/>
                <w:sz w:val="18"/>
                <w:szCs w:val="18"/>
                <w:color w:val="auto"/>
              </w:rPr>
              <w:t>Senior debt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222,300</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219,771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262,300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252,213</w:t>
            </w:r>
          </w:p>
        </w:tc>
        <w:tc>
          <w:tcPr>
            <w:tcW w:w="0" w:type="dxa"/>
            <w:vAlign w:val="bottom"/>
          </w:tcPr>
          <w:p>
            <w:pPr>
              <w:spacing w:after="0"/>
              <w:rPr>
                <w:sz w:val="1"/>
                <w:szCs w:val="1"/>
                <w:color w:val="auto"/>
              </w:rPr>
            </w:pP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subordinated debt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104,055</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104,055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8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fair values of other invested assets-notes receivable, senior debt, and junior subordinated debt at September 30, 2022 and December 31, 2021 were determined by calculating the present value of expected future cash flows under the terms of the note agreements or debt agreements, as applicable, discounted at an estimated market rate of interest at September 30, 2022 and December 31, 2021, respectively.</w:t>
      </w:r>
    </w:p>
    <w:p>
      <w:pPr>
        <w:spacing w:after="0" w:line="6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fair values of senior debt and junior subordinated debt at September 30, 2022 and December 31, 2021 were determined using inputs to the valuation methodology that are unobservable (Level 3).</w:t>
      </w:r>
    </w:p>
    <w:p>
      <w:pPr>
        <w:spacing w:after="0" w:line="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Senior Debt</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repaid $40.0 million of loans that were outstanding under a credit agreement (the “2017 Facility”) in the three months ended March 31, 2022. At September 30, 2022, unsecured loans of $21.5 million and secured letters of credit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totaling $22.6 million were outstanding under the 2017 Facility. The 2017 Facility provides the Company with a revolving line of credit of up to $100.0 million, which may be used for loans and letters of credit made or issued, at the borrowers’ option, on a secured or unsecured basis. The 2017 Facility contains certain financial and other covenants which the Company was in compliance with at September 30, 2022.</w:t>
      </w:r>
    </w:p>
    <w:p>
      <w:pPr>
        <w:spacing w:after="0" w:line="7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Series A Preferred Shares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February 24, 2022, we entered into an Investment Agreement with GPC Partners Investments (Thames) LP (“GPC Partners”), an affiliate of Gallatin Point Capital LLC, relating to the issuance and sale of 150,000 7% Series A Perpetual Cumulative Convertible Preferred Shares, par value $0.00125 per share (the “Series A Preferred Shares”), for an aggregate purchase price of $150.0 million, or $1,000 per share, in a private placement. The transaction closed on March 1, 2022 (the “Series A Closing Date”).</w:t>
      </w:r>
    </w:p>
    <w:p>
      <w:pPr>
        <w:spacing w:after="0" w:line="8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Series A Preferred Shares rank senior to our common shares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shares immediately before such liquidation, dissolution or winding up.</w:t>
      </w:r>
    </w:p>
    <w:p>
      <w:pPr>
        <w:spacing w:after="0" w:line="7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Holders of the Series A Preferred Shares are entitled to a dividend at the initial rate of 7% of the Liquidation Preference per annum, paid in cash, in-kind in common shares or in Series A Preferred Shares, at our election. On the five-year anniversary of the Series A Closing Date, and each five-year anniversary thereafter, the dividend rate will reset to a rate equal to the five-year U.S. treasury rate plus 5.2%. Dividends accrue quarterly and are payable on March 31, June 30, September 30 and December 31 of each year. Cash dividends of $6.1 million have been paid in the nine months ended September 30, 2022, including $3.5 million on June 30, 2022 for the period from the Series A Closing Date through June 30, 2022, and $2.6 million on September 30, 2022.</w:t>
      </w:r>
    </w:p>
    <w:p>
      <w:pPr>
        <w:spacing w:after="0" w:line="4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Series A Preferred Shares are convertible at the option of the holders thereof at any time into common shares at an initial conversion price of $26.5950, making the Series A Preferred Shares initially convertible into 5,640,158 common shares. The conversion price is subject to customary anti-dilution adjustments, including cash dividends on the common shares above specified levels, as well as certain adjustments in case of adverse reserve developments.</w:t>
      </w:r>
    </w:p>
    <w:p>
      <w:pPr>
        <w:spacing w:after="0" w:line="3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At any time on or after the two year anniversary of the Series A Closing Date, if the volume-weighted average price (“VWAP”) per Common Share is greater than 130% of the then-applicable conversion price for at least twenty (20) consecutive trading days, the Company will be able to elect to convert (a “Mandatory Conversion”) all of the outstanding Series A Preferred Shares into Common Shares. In the case of a Mandatory Conversion, each Series A Preferred Share then outstanding will be converted into (i) the number of Common Shares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spacing w:after="0" w:line="7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Upon any Mandatory Conversion on or before the five-year anniversary of the Series A Closing Date, all dividends that would have accrued from the date of the Mandatory Conversion to the later of the five-year anniversary of the Series A Closing Date or the last day of the eighth quarter following the date of the Mandatory Conversion, the last eight quarters of which will be discounted to present value using a discount rate of 3.5% per annum, and will be immediately payable in Common Shares, valued at the average of the daily VWAP of the Company’s Common Shares during the five (5) trading days immediately preceding the Mandatory Conversion.</w:t>
      </w:r>
    </w:p>
    <w:p>
      <w:pPr>
        <w:spacing w:after="0" w:line="8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holders of the Series A Preferred Shares may require us to repurchase their shares upon the occurrence of certain change of control events. Upon the occurrence of a Fundamental Change (as defined in the Certificate of Designations designating the Series A Preferred Shares), each holder of outstanding Series A Preferred Shares will be permitted to, at its election, (i) effective as of immediately prior to the Fundamental Change, convert all or a portion of its Series A Preferred Shares into Common Shares, or (ii) require the Company to repurchase any or all of such holder’s Series A Preferred Shares at a purchase price per Series A Preferred Share equal to the Liquidation Preference of such Series A Preferred Share plus accrued and unpaid dividends. The repurchase price will be payable in cash.</w:t>
      </w:r>
    </w:p>
    <w:p>
      <w:pPr>
        <w:spacing w:after="0" w:line="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Because the Company may be required to repurchase all or a portion of the Series A Preferred Shares at the option of the holder upon the occurrence of certain change of control events, the Series A Preferred Shares have been classified as mezzanine equity in the Company's condensed consolidated balance sheets and are recognized at fair value of $150.0 million (the proceeds on the date of issuance) less issuance costs of $5.1 million, resulting in a carrying value of $144.9 million.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Under the terms of the Investment Agreement, GPC Partners has the right to designate one member of the Board (the “Series A Designee”). GPC Partners has designated Matthew Botein as the Series A Designee and, accordingly, the Board approved the appointment of Mr. Botein to serve as a Class I director with a term expiring at the 2024 annual meeting of the Company’s shareholders, effective following receipt of any necessary regulatory approvals. Until applicable regulatory approvals are obtained, Mr. Botein will have board observer status.</w:t>
      </w:r>
    </w:p>
    <w:p>
      <w:pPr>
        <w:spacing w:after="0" w:line="65" w:lineRule="exact"/>
        <w:rPr>
          <w:sz w:val="20"/>
          <w:szCs w:val="20"/>
          <w:color w:val="auto"/>
        </w:rPr>
      </w:pPr>
    </w:p>
    <w:p>
      <w:pPr>
        <w:ind w:right="8300" w:firstLine="6"/>
        <w:spacing w:after="0" w:line="364" w:lineRule="auto"/>
        <w:tabs>
          <w:tab w:leader="none" w:pos="397"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Stock and Equity Awards </w:t>
      </w:r>
      <w:r>
        <w:rPr>
          <w:rFonts w:ascii="Arial" w:cs="Arial" w:eastAsia="Arial" w:hAnsi="Arial"/>
          <w:sz w:val="18"/>
          <w:szCs w:val="18"/>
          <w:b w:val="1"/>
          <w:bCs w:val="1"/>
          <w:i w:val="1"/>
          <w:iCs w:val="1"/>
          <w:color w:val="auto"/>
        </w:rPr>
        <w:t>Common Shares</w:t>
      </w:r>
    </w:p>
    <w:p>
      <w:pPr>
        <w:spacing w:after="0" w:line="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common shares outstanding increased from 37,373,066 at December 31, 2021 to 37,450,438 at September 30, 2022, reflecting 77,372 common shares issued in the nine months ended September 30, 2022 related to vesting of RSUs.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declared the following dividends on common shares during the first nine months of 2022 and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Date of Declaration</w:t>
            </w:r>
          </w:p>
        </w:tc>
        <w:tc>
          <w:tcPr>
            <w:tcW w:w="160" w:type="dxa"/>
            <w:vAlign w:val="bottom"/>
          </w:tcPr>
          <w:p>
            <w:pPr>
              <w:spacing w:after="0"/>
              <w:rPr>
                <w:sz w:val="16"/>
                <w:szCs w:val="16"/>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Dividend per</w:t>
            </w:r>
          </w:p>
        </w:tc>
        <w:tc>
          <w:tcPr>
            <w:tcW w:w="180" w:type="dxa"/>
            <w:vAlign w:val="bottom"/>
          </w:tcPr>
          <w:p>
            <w:pPr>
              <w:spacing w:after="0"/>
              <w:rPr>
                <w:sz w:val="16"/>
                <w:szCs w:val="16"/>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Payable to Shareholders of</w:t>
            </w:r>
          </w:p>
        </w:tc>
        <w:tc>
          <w:tcPr>
            <w:tcW w:w="21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0"/>
              </w:rPr>
              <w:t>Payment Date</w:t>
            </w:r>
          </w:p>
        </w:tc>
        <w:tc>
          <w:tcPr>
            <w:tcW w:w="200" w:type="dxa"/>
            <w:vAlign w:val="bottom"/>
          </w:tcPr>
          <w:p>
            <w:pPr>
              <w:spacing w:after="0"/>
              <w:rPr>
                <w:sz w:val="16"/>
                <w:szCs w:val="16"/>
                <w:color w:val="auto"/>
              </w:rPr>
            </w:pPr>
          </w:p>
        </w:tc>
        <w:tc>
          <w:tcPr>
            <w:tcW w:w="134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w w:val="98"/>
              </w:rPr>
              <w:t>Total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Common Share</w:t>
            </w:r>
          </w:p>
        </w:tc>
        <w:tc>
          <w:tcPr>
            <w:tcW w:w="180" w:type="dxa"/>
            <w:vAlign w:val="bottom"/>
          </w:tcPr>
          <w:p>
            <w:pPr>
              <w:spacing w:after="0"/>
              <w:rPr>
                <w:sz w:val="18"/>
                <w:szCs w:val="18"/>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Record on</w:t>
            </w:r>
          </w:p>
        </w:tc>
        <w:tc>
          <w:tcPr>
            <w:tcW w:w="2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line="181" w:lineRule="exact"/>
              <w:rPr>
                <w:sz w:val="20"/>
                <w:szCs w:val="20"/>
                <w:color w:val="auto"/>
              </w:rPr>
            </w:pPr>
            <w:r>
              <w:rPr>
                <w:rFonts w:ascii="Arial" w:cs="Arial" w:eastAsia="Arial" w:hAnsi="Arial"/>
                <w:sz w:val="18"/>
                <w:szCs w:val="18"/>
                <w:b w:val="1"/>
                <w:bCs w:val="1"/>
                <w:color w:val="auto"/>
                <w:w w:val="84"/>
              </w:rPr>
              <w:t>2022</w:t>
            </w:r>
          </w:p>
        </w:tc>
        <w:tc>
          <w:tcPr>
            <w:tcW w:w="21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94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96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February 16,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9"/>
                <w:szCs w:val="19"/>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March 14, 2022</w:t>
            </w:r>
          </w:p>
        </w:tc>
        <w:tc>
          <w:tcPr>
            <w:tcW w:w="21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March 31, 2022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1,908,482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28,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June 13, 2022</w:t>
            </w: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June 30, 2022</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1,907,953</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July 26,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7"/>
              </w:rPr>
              <w:t>September 12, 2022</w:t>
            </w:r>
          </w:p>
        </w:tc>
        <w:tc>
          <w:tcPr>
            <w:tcW w:w="212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7"/>
              </w:rPr>
              <w:t>September 30, 2022</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1,908,287</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5,724,722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line="186" w:lineRule="exact"/>
              <w:rPr>
                <w:sz w:val="20"/>
                <w:szCs w:val="20"/>
                <w:color w:val="auto"/>
              </w:rPr>
            </w:pPr>
            <w:r>
              <w:rPr>
                <w:rFonts w:ascii="Arial" w:cs="Arial" w:eastAsia="Arial" w:hAnsi="Arial"/>
                <w:sz w:val="18"/>
                <w:szCs w:val="18"/>
                <w:b w:val="1"/>
                <w:bCs w:val="1"/>
                <w:color w:val="auto"/>
                <w:w w:val="84"/>
              </w:rPr>
              <w:t>2021</w:t>
            </w:r>
          </w:p>
        </w:tc>
        <w:tc>
          <w:tcPr>
            <w:tcW w:w="2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February 24, 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Pr>
          <w:p>
            <w:pPr>
              <w:spacing w:after="0"/>
              <w:rPr>
                <w:sz w:val="19"/>
                <w:szCs w:val="19"/>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March 15, 2021</w:t>
            </w:r>
          </w:p>
        </w:tc>
        <w:tc>
          <w:tcPr>
            <w:tcW w:w="21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March 31, 2021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9,345,489</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27,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June 14, 2021</w:t>
            </w: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June 30,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11,290,990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July 27,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7"/>
              </w:rPr>
              <w:t>September 13, 2021</w:t>
            </w:r>
          </w:p>
        </w:tc>
        <w:tc>
          <w:tcPr>
            <w:tcW w:w="212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7"/>
              </w:rPr>
              <w:t>September 30,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11,281,523</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31,918,002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Included in the total dividends for the nine months ended September 30, 2022 and 2021 are $107,000 and $317,000, respectively, of dividend equivalents on unvested RSUs. The balance of dividends payable on unvested RSUs was $363,000 at September 30, 2022 and $518,000 at December 31, 2021.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shareholders have approved various equity incentive plans, including the 2014 Long Term Incentive Plan (“2014 LTIP”) and the 2014 Non-Employee Director Incentive Plan (“2014 Director Plan”) (collectively, the “Plans”). All awards issued under the Plans are issued at the discretion of the Board of Directors.</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September 30, 2022, 807,839 shares are available for grant.</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July 26, 2022, the Board of Directors of the Company approved a new long-term incentive plan (the “LTI Plan”). The LTI Plan is designed to align compensation of designated senior officers of the Company with Company performance and shareholder interests over the long-term. Awards under the LTI Plan will be made in the form of performance restricted share units (a “PRSU”) and service based restricted share units (RSUs), with initial awards intended to be made in February 2023.</w:t>
      </w:r>
    </w:p>
    <w:p>
      <w:pPr>
        <w:spacing w:after="0" w:line="8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Each PRSU will represent a contingent right to receive one Company common share based upon the level of achievement of certain performance metrics during the performance period, with payout for achievement of threshold, target and maximum performance levels to be set at 50%, 100% and 200% of the target number of PRSUs, respectively. The initial PRSU awards are intended to have a performance period of January 1, 2023 through December 31, 2025.</w:t>
      </w:r>
    </w:p>
    <w:p>
      <w:pPr>
        <w:spacing w:after="0" w:line="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Non-employee directors of the Company are eligible to receive non-qualified stock options, share appreciation rights, performance shares, restricted shares, RSUs, and other awards under the 2014 Director Plan. The maximum number of shares available for issuance under the 2014 Director Plan is 150,000, and at September 30, 2022, 77,708 shares are available for grant.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activity: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60"/>
              <w:spacing w:after="0" w:line="13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3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6"/>
              </w:rPr>
              <w:t>Average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59"/>
              <w:spacing w:after="0" w:line="142"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6"/>
        </w:trPr>
        <w:tc>
          <w:tcPr>
            <w:tcW w:w="5560" w:type="dxa"/>
            <w:vAlign w:val="bottom"/>
          </w:tcPr>
          <w:p>
            <w:pPr>
              <w:spacing w:after="0"/>
              <w:rPr>
                <w:sz w:val="11"/>
                <w:szCs w:val="11"/>
                <w:color w:val="auto"/>
              </w:rPr>
            </w:pPr>
          </w:p>
        </w:tc>
        <w:tc>
          <w:tcPr>
            <w:tcW w:w="134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7"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9"/>
              <w:spacing w:after="0" w:line="137"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4"/>
        </w:trPr>
        <w:tc>
          <w:tcPr>
            <w:tcW w:w="55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4"/>
        </w:trPr>
        <w:tc>
          <w:tcPr>
            <w:tcW w:w="55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463,324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(41,392)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392,514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end of period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392,514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All of the outstanding options are fully vested (vesting period of three years from date of grant) and have a contractual life of seven years from the original date of grant. All of the outstanding options have an exercise price equal to the fair value of the underlying shares at the date of grant. The weighted-average remaining contractual life of the options outstanding and exercisable at September 30, 2022 was 0.7 years.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activity: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3"/>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ind w:left="120"/>
              <w:spacing w:after="0" w:line="133"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6"/>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200"/>
              <w:spacing w:after="0" w:line="137" w:lineRule="exact"/>
              <w:rPr>
                <w:sz w:val="20"/>
                <w:szCs w:val="20"/>
                <w:color w:val="auto"/>
              </w:rPr>
            </w:pPr>
            <w:r>
              <w:rPr>
                <w:rFonts w:ascii="Arial" w:cs="Arial" w:eastAsia="Arial" w:hAnsi="Arial"/>
                <w:sz w:val="14"/>
                <w:szCs w:val="14"/>
                <w:b w:val="1"/>
                <w:bCs w:val="1"/>
                <w:color w:val="auto"/>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40"/>
              <w:spacing w:after="0" w:line="13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134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100"/>
              <w:spacing w:after="0" w:line="146" w:lineRule="exact"/>
              <w:rPr>
                <w:sz w:val="20"/>
                <w:szCs w:val="20"/>
                <w:color w:val="auto"/>
              </w:rPr>
            </w:pPr>
            <w:r>
              <w:rPr>
                <w:rFonts w:ascii="Arial" w:cs="Arial" w:eastAsia="Arial" w:hAnsi="Arial"/>
                <w:sz w:val="14"/>
                <w:szCs w:val="14"/>
                <w:b w:val="1"/>
                <w:bCs w:val="1"/>
                <w:color w:val="auto"/>
              </w:rPr>
              <w:t>Grant Date</w:t>
            </w:r>
          </w:p>
        </w:tc>
        <w:tc>
          <w:tcPr>
            <w:tcW w:w="134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20"/>
              <w:spacing w:after="0" w:line="146"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4"/>
        </w:trPr>
        <w:tc>
          <w:tcPr>
            <w:tcW w:w="55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
        </w:trPr>
        <w:tc>
          <w:tcPr>
            <w:tcW w:w="55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Unvested, beginning of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292,135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45.89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399,856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545,450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Vested</w:t>
            </w:r>
          </w:p>
        </w:tc>
        <w:tc>
          <w:tcPr>
            <w:tcW w:w="1340" w:type="dxa"/>
            <w:vAlign w:val="bottom"/>
          </w:tcPr>
          <w:p>
            <w:pPr>
              <w:jc w:val="right"/>
              <w:spacing w:after="0"/>
              <w:rPr>
                <w:sz w:val="20"/>
                <w:szCs w:val="20"/>
                <w:color w:val="auto"/>
              </w:rPr>
            </w:pPr>
            <w:r>
              <w:rPr>
                <w:rFonts w:ascii="Arial" w:cs="Arial" w:eastAsia="Arial" w:hAnsi="Arial"/>
                <w:sz w:val="18"/>
                <w:szCs w:val="18"/>
                <w:color w:val="auto"/>
              </w:rPr>
              <w:t>(112,527)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45.49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(165,131)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Unvested, end of period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715,298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317,832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Outstanding RSUs granted to employees generally vest ratably over a three year vesting period. RSUs granted to non-employee directors have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Share based compensation expense is recognized on a straight-line basis over the vesting period. The amount of expense and related tax benefit is summarized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340" w:type="dxa"/>
            <w:vAlign w:val="bottom"/>
            <w:gridSpan w:val="3"/>
          </w:tcPr>
          <w:p>
            <w:pPr>
              <w:jc w:val="center"/>
              <w:ind w:left="423"/>
              <w:spacing w:after="0"/>
              <w:rPr>
                <w:sz w:val="20"/>
                <w:szCs w:val="20"/>
                <w:color w:val="auto"/>
              </w:rPr>
            </w:pPr>
            <w:r>
              <w:rPr>
                <w:rFonts w:ascii="Arial" w:cs="Arial" w:eastAsia="Arial" w:hAnsi="Arial"/>
                <w:sz w:val="14"/>
                <w:szCs w:val="14"/>
                <w:b w:val="1"/>
                <w:bCs w:val="1"/>
                <w:color w:val="auto"/>
                <w:w w:val="92"/>
              </w:rPr>
              <w:t>Three Months Ended</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0" w:type="dxa"/>
            <w:vAlign w:val="bottom"/>
            <w:gridSpan w:val="3"/>
          </w:tcPr>
          <w:p>
            <w:pPr>
              <w:jc w:val="center"/>
              <w:ind w:right="378"/>
              <w:spacing w:after="0"/>
              <w:rPr>
                <w:sz w:val="20"/>
                <w:szCs w:val="20"/>
                <w:color w:val="auto"/>
              </w:rPr>
            </w:pPr>
            <w:r>
              <w:rPr>
                <w:rFonts w:ascii="Arial" w:cs="Arial" w:eastAsia="Arial" w:hAnsi="Arial"/>
                <w:sz w:val="14"/>
                <w:szCs w:val="14"/>
                <w:b w:val="1"/>
                <w:bCs w:val="1"/>
                <w:color w:val="auto"/>
                <w:w w:val="93"/>
              </w:rPr>
              <w:t>Nine Months Ended</w:t>
            </w:r>
          </w:p>
        </w:tc>
      </w:tr>
      <w:tr>
        <w:trPr>
          <w:trHeight w:val="189"/>
        </w:trPr>
        <w:tc>
          <w:tcPr>
            <w:tcW w:w="54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1"/>
              <w:spacing w:after="0"/>
              <w:rPr>
                <w:sz w:val="20"/>
                <w:szCs w:val="20"/>
                <w:color w:val="auto"/>
              </w:rPr>
            </w:pPr>
            <w:r>
              <w:rPr>
                <w:rFonts w:ascii="Arial" w:cs="Arial" w:eastAsia="Arial" w:hAnsi="Arial"/>
                <w:sz w:val="14"/>
                <w:szCs w:val="14"/>
                <w:b w:val="1"/>
                <w:bCs w:val="1"/>
                <w:color w:val="auto"/>
                <w:w w:val="89"/>
              </w:rPr>
              <w:t>September 30,</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382"/>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r>
      <w:tr>
        <w:trPr>
          <w:trHeight w:val="189"/>
        </w:trPr>
        <w:tc>
          <w:tcPr>
            <w:tcW w:w="5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2"/>
          </w:tcPr>
          <w:p>
            <w:pPr>
              <w:jc w:val="right"/>
              <w:ind w:right="12"/>
              <w:spacing w:after="0"/>
              <w:rPr>
                <w:sz w:val="20"/>
                <w:szCs w:val="20"/>
                <w:color w:val="auto"/>
              </w:rPr>
            </w:pPr>
            <w:r>
              <w:rPr>
                <w:rFonts w:ascii="Arial" w:cs="Arial" w:eastAsia="Arial" w:hAnsi="Arial"/>
                <w:sz w:val="14"/>
                <w:szCs w:val="14"/>
                <w:b w:val="1"/>
                <w:bCs w:val="1"/>
                <w:i w:val="1"/>
                <w:iCs w:val="1"/>
                <w:color w:val="auto"/>
                <w:w w:val="99"/>
              </w:rPr>
              <w:t>(in thousands)</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based compensation expense</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3"/>
              </w:rPr>
              <w:t>2,228</w:t>
            </w:r>
          </w:p>
        </w:tc>
        <w:tc>
          <w:tcPr>
            <w:tcW w:w="94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3"/>
              </w:rPr>
              <w:t>1,476</w:t>
            </w:r>
          </w:p>
        </w:tc>
        <w:tc>
          <w:tcPr>
            <w:tcW w:w="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6,210</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r>
      <w:tr>
        <w:trPr>
          <w:trHeight w:val="224"/>
        </w:trPr>
        <w:tc>
          <w:tcPr>
            <w:tcW w:w="5420" w:type="dxa"/>
            <w:vAlign w:val="bottom"/>
          </w:tcPr>
          <w:p>
            <w:pPr>
              <w:ind w:left="20"/>
              <w:spacing w:after="0"/>
              <w:rPr>
                <w:sz w:val="20"/>
                <w:szCs w:val="20"/>
                <w:color w:val="auto"/>
              </w:rPr>
            </w:pPr>
            <w:r>
              <w:rPr>
                <w:rFonts w:ascii="Arial" w:cs="Arial" w:eastAsia="Arial" w:hAnsi="Arial"/>
                <w:sz w:val="18"/>
                <w:szCs w:val="18"/>
                <w:color w:val="auto"/>
              </w:rPr>
              <w:t>U.S. tax benefit on share based compensation expense</w:t>
            </w:r>
          </w:p>
        </w:tc>
        <w:tc>
          <w:tcPr>
            <w:tcW w:w="860" w:type="dxa"/>
            <w:vAlign w:val="bottom"/>
          </w:tcPr>
          <w:p>
            <w:pPr>
              <w:spacing w:after="0"/>
              <w:rPr>
                <w:sz w:val="19"/>
                <w:szCs w:val="19"/>
                <w:color w:val="auto"/>
              </w:rPr>
            </w:pPr>
          </w:p>
        </w:tc>
        <w:tc>
          <w:tcPr>
            <w:tcW w:w="540" w:type="dxa"/>
            <w:vAlign w:val="bottom"/>
          </w:tcPr>
          <w:p>
            <w:pPr>
              <w:jc w:val="right"/>
              <w:ind w:right="18"/>
              <w:spacing w:after="0"/>
              <w:rPr>
                <w:sz w:val="20"/>
                <w:szCs w:val="20"/>
                <w:color w:val="auto"/>
              </w:rPr>
            </w:pPr>
            <w:r>
              <w:rPr>
                <w:rFonts w:ascii="Arial" w:cs="Arial" w:eastAsia="Arial" w:hAnsi="Arial"/>
                <w:sz w:val="18"/>
                <w:szCs w:val="18"/>
                <w:color w:val="auto"/>
              </w:rPr>
              <w:t>415</w:t>
            </w:r>
          </w:p>
        </w:tc>
        <w:tc>
          <w:tcPr>
            <w:tcW w:w="940" w:type="dxa"/>
            <w:vAlign w:val="bottom"/>
          </w:tcPr>
          <w:p>
            <w:pPr>
              <w:spacing w:after="0"/>
              <w:rPr>
                <w:sz w:val="19"/>
                <w:szCs w:val="19"/>
                <w:color w:val="auto"/>
              </w:rPr>
            </w:pPr>
          </w:p>
        </w:tc>
        <w:tc>
          <w:tcPr>
            <w:tcW w:w="540" w:type="dxa"/>
            <w:vAlign w:val="bottom"/>
          </w:tcPr>
          <w:p>
            <w:pPr>
              <w:jc w:val="right"/>
              <w:ind w:right="18"/>
              <w:spacing w:after="0"/>
              <w:rPr>
                <w:sz w:val="20"/>
                <w:szCs w:val="20"/>
                <w:color w:val="auto"/>
              </w:rPr>
            </w:pPr>
            <w:r>
              <w:rPr>
                <w:rFonts w:ascii="Arial" w:cs="Arial" w:eastAsia="Arial" w:hAnsi="Arial"/>
                <w:sz w:val="18"/>
                <w:szCs w:val="18"/>
                <w:color w:val="auto"/>
              </w:rPr>
              <w:t>306</w:t>
            </w:r>
          </w:p>
        </w:tc>
        <w:tc>
          <w:tcPr>
            <w:tcW w:w="54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8"/>
                <w:szCs w:val="18"/>
                <w:color w:val="auto"/>
              </w:rPr>
              <w:t>1,160</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902</w:t>
            </w:r>
          </w:p>
        </w:tc>
      </w:tr>
    </w:tbl>
    <w:p>
      <w:pPr>
        <w:spacing w:after="0" w:line="18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September 30, 2022, the Company had $13.5 million of unrecognized share based compensation expense expected to be charged to earnings over a weighted-average period of 2.0 years.</w:t>
      </w:r>
    </w:p>
    <w:p>
      <w:pPr>
        <w:spacing w:after="0" w:line="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Subsequent Events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October 25, 2022, the Board of Directors declared a cash dividend of $0.05 per common share. The dividend is payable on December 30, 2022 to shareholders of record on December 12, 2022.</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October 25, 2022, the Board of Directors declared a 7% dividend on the Series A Preferred Shares. The dividend of $2.6 million will be payable in cash on January 3, 2023 to shareholders of record on December 15, 2022.</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October 25, 2022, the Board of Directors granted an employee a restricted share unit award under the 2014 LTIP with an aggregate fair value of $350,000 and a grant date of November 3, 2022. The award vests in one installment on March 1, 2024.</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the 2022 annual general meeting of shareholders (the “Annual Meeting”) of the Company held on October 25, 2022, the Company’s shareholders approved an amendment (the “Second Amendment”) to the 2014 LTIP. The Board of Directors of the Company had previously approved the Second Amendment. The Second Amendment implements several changes to the 2014 LTIP including increasing the number of shares reserved for issuance under awards by 811,500 to a total of 4,982,650 shares.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and Part I, Item 1A “Risk Factors” in our Annual Report on Form 10-K for the year ended December 31, 2021. The results of operations for the three and nine months ended September 30, 2022 are not necessarily indicative of the results that may be expected for the full year ending December 31, 2022, or for any other future period. The following discussion should be read in conjunction with the unaudited condensed consolidated financial statements and the notes thereto included in Part I, Item 1 of this Quarterly Report on Form 10-Q, and in conjunction with our Annual Report on Form 10-K for the year ended December 31, 2021.</w:t>
      </w:r>
    </w:p>
    <w:p>
      <w:pPr>
        <w:spacing w:after="0" w:line="7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earning profits from insurance and reinsurance underwriting and generating meaningful risk-adjusted investment returns while managing our capital.</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organized into four reportable segments, which are separately managed business units:</w:t>
      </w:r>
    </w:p>
    <w:p>
      <w:pPr>
        <w:spacing w:after="0" w:line="111" w:lineRule="exact"/>
        <w:rPr>
          <w:sz w:val="20"/>
          <w:szCs w:val="20"/>
          <w:color w:val="auto"/>
        </w:rPr>
      </w:pPr>
    </w:p>
    <w:p>
      <w:pPr>
        <w:jc w:val="both"/>
        <w:ind w:left="640" w:hanging="316"/>
        <w:spacing w:after="0" w:line="25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82" w:lineRule="exact"/>
        <w:rPr>
          <w:rFonts w:ascii="Arial" w:cs="Arial" w:eastAsia="Arial" w:hAnsi="Arial"/>
          <w:sz w:val="18"/>
          <w:szCs w:val="18"/>
          <w:color w:val="auto"/>
        </w:rPr>
      </w:pPr>
    </w:p>
    <w:p>
      <w:pPr>
        <w:jc w:val="both"/>
        <w:ind w:left="640" w:hanging="316"/>
        <w:spacing w:after="0" w:line="306" w:lineRule="auto"/>
        <w:tabs>
          <w:tab w:leader="none" w:pos="635"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Specialty Admitted Insurance segment approaches the insurance market in two ways: as a risk bearing underwriter, and as a “fronting” company. The Company’s risk bearing underwriting is focused on niche classes within the standard insurance markets, such as workers’ compensation coverage for residential contractors, light manufacturing operations, transportation workers and healthcare workers. In its fronting business, the Specialty Admitted segment works with distributors, such as managing general agents and other producers, by using our licensure, rating and administrative services in order to produce and service insurance policies for reinsurers and other third party risk bearing entities. We charge fees for “fronting” for these capital providers. In some instances, we retain a small percentage of the risk on fronted business, generally 10%-30%. This segment has admitted licenses and the authority to write excess and surplus lines insurance in 50 states and the District of Columbia;</w:t>
      </w:r>
    </w:p>
    <w:p>
      <w:pPr>
        <w:spacing w:after="0" w:line="50" w:lineRule="exact"/>
        <w:rPr>
          <w:rFonts w:ascii="Arial" w:cs="Arial" w:eastAsia="Arial" w:hAnsi="Arial"/>
          <w:sz w:val="15"/>
          <w:szCs w:val="15"/>
          <w:color w:val="auto"/>
        </w:rPr>
      </w:pPr>
    </w:p>
    <w:p>
      <w:pPr>
        <w:jc w:val="both"/>
        <w:ind w:left="640" w:hanging="316"/>
        <w:spacing w:after="0" w:line="265"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Casualty Reinsurance segment primarily provides proportional and working layer casualty reinsurance to third parties (primarily through reinsurance intermediaries) through JRG Reinsurance Company Ltd. (“JRG Re”). JRG Re has also in the past provided reinsurance to the Company’s U.S.-based insurance subsidiaries through a quota-share reinsurance agreement. Carolina Re Ltd (“Carolina Re”) was formed in 2018 to also provide reinsurance to the Company’s U.S.-based insurance subsidiaries through a quota-share reinsurance agreement, and was also the cedent on an aggregate stop loss reinsurance treaty with JRG Re through December 31, 2021. JRG Re and Carolina Re are both Bermuda-based reinsurance companies. Carolina Re made an irrevocable election to be taxed as a U.S. domestic corporation under Section 953(d) of the Internal Revenue Code of 1986, as amended, effective January 1, 2018.</w:t>
      </w:r>
    </w:p>
    <w:p>
      <w:pPr>
        <w:spacing w:after="0" w:line="79" w:lineRule="exact"/>
        <w:rPr>
          <w:rFonts w:ascii="Arial" w:cs="Arial" w:eastAsia="Arial" w:hAnsi="Arial"/>
          <w:sz w:val="17"/>
          <w:szCs w:val="17"/>
          <w:color w:val="auto"/>
        </w:rPr>
      </w:pPr>
    </w:p>
    <w:p>
      <w:pPr>
        <w:ind w:left="640" w:hanging="316"/>
        <w:spacing w:after="0" w:line="365" w:lineRule="auto"/>
        <w:tabs>
          <w:tab w:leader="none" w:pos="635"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spacing w:after="0" w:line="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 their premiums and losses to JRG Re, and from January 1, 2018 through December 31, 2021, ceded 70% of their premiums and losses to Carolina Re. During the three months ended September 30, 2022, Carolina Re commuted the majority of the outstanding obligations ceded under the intercompany quota-share reinsurance agreements back to the Company’s U.S.-based insurance subsidiaries with effect from January 1, 2022.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1960" w:firstLine="318"/>
        <w:spacing w:after="0" w:line="368" w:lineRule="auto"/>
        <w:rPr>
          <w:sz w:val="20"/>
          <w:szCs w:val="20"/>
          <w:color w:val="auto"/>
        </w:rPr>
      </w:pPr>
      <w:r>
        <w:rPr>
          <w:rFonts w:ascii="Arial" w:cs="Arial" w:eastAsia="Arial" w:hAnsi="Arial"/>
          <w:sz w:val="18"/>
          <w:szCs w:val="18"/>
          <w:color w:val="auto"/>
        </w:rPr>
        <w:t xml:space="preserve">All of our insurance and reinsurance subsidiaries have financial strength ratings of “A-” (Excellent) from A.M. Best Company. </w:t>
      </w:r>
      <w:r>
        <w:rPr>
          <w:rFonts w:ascii="Arial" w:cs="Arial" w:eastAsia="Arial" w:hAnsi="Arial"/>
          <w:sz w:val="18"/>
          <w:szCs w:val="18"/>
          <w:b w:val="1"/>
          <w:bCs w:val="1"/>
          <w:color w:val="auto"/>
        </w:rPr>
        <w:t>Key Metrics</w:t>
      </w:r>
    </w:p>
    <w:p>
      <w:pPr>
        <w:spacing w:after="0" w:line="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discuss certain key metrics, described below, which we believe provide useful information about our business and the operational factors underlying our financial performance.</w:t>
      </w:r>
    </w:p>
    <w:p>
      <w:pPr>
        <w:spacing w:after="0" w:line="75" w:lineRule="exact"/>
        <w:rPr>
          <w:sz w:val="20"/>
          <w:szCs w:val="20"/>
          <w:color w:val="auto"/>
        </w:rPr>
      </w:pPr>
    </w:p>
    <w:p>
      <w:pPr>
        <w:jc w:val="both"/>
        <w:spacing w:after="0" w:line="303" w:lineRule="auto"/>
        <w:rPr>
          <w:sz w:val="20"/>
          <w:szCs w:val="20"/>
          <w:color w:val="auto"/>
        </w:rPr>
      </w:pPr>
      <w:r>
        <w:rPr>
          <w:rFonts w:ascii="Arial" w:cs="Arial" w:eastAsia="Arial" w:hAnsi="Arial"/>
          <w:sz w:val="15"/>
          <w:szCs w:val="15"/>
          <w:i w:val="1"/>
          <w:iCs w:val="1"/>
          <w:color w:val="auto"/>
        </w:rPr>
        <w:t xml:space="preserve">Underwriting profit </w:t>
      </w:r>
      <w:r>
        <w:rPr>
          <w:rFonts w:ascii="Arial" w:cs="Arial" w:eastAsia="Arial" w:hAnsi="Arial"/>
          <w:sz w:val="15"/>
          <w:szCs w:val="15"/>
          <w:color w:val="auto"/>
        </w:rPr>
        <w:t>is a non-GAAP measure commonly used in the property and casualty insurance industry to evaluate underwriting performance. We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We define underwriting profit as net earned premiums and gross fee income (in specific instances when the Company is not retaining insurance risk) less losses and loss adjustment expenses on business not subject to retroactive reinsurance accounting for loss portfolio transfers (see </w:t>
      </w:r>
      <w:r>
        <w:rPr>
          <w:rFonts w:ascii="Arial" w:cs="Arial" w:eastAsia="Arial" w:hAnsi="Arial"/>
          <w:sz w:val="15"/>
          <w:szCs w:val="15"/>
          <w:i w:val="1"/>
          <w:iCs w:val="1"/>
          <w:color w:val="auto"/>
        </w:rPr>
        <w:t>Loss Portfolio Transfers</w:t>
      </w:r>
      <w:r>
        <w:rPr>
          <w:rFonts w:ascii="Arial" w:cs="Arial" w:eastAsia="Arial" w:hAnsi="Arial"/>
          <w:sz w:val="15"/>
          <w:szCs w:val="15"/>
          <w:color w:val="auto"/>
        </w:rPr>
        <w:t xml:space="preserve"> in </w:t>
      </w:r>
      <w:r>
        <w:rPr>
          <w:rFonts w:ascii="Arial" w:cs="Arial" w:eastAsia="Arial" w:hAnsi="Arial"/>
          <w:sz w:val="15"/>
          <w:szCs w:val="15"/>
          <w:i w:val="1"/>
          <w:iCs w:val="1"/>
          <w:color w:val="auto"/>
        </w:rPr>
        <w:t>Strategic Actions</w:t>
      </w:r>
      <w:r>
        <w:rPr>
          <w:rFonts w:ascii="Arial" w:cs="Arial" w:eastAsia="Arial" w:hAnsi="Arial"/>
          <w:sz w:val="15"/>
          <w:szCs w:val="15"/>
          <w:color w:val="auto"/>
        </w:rPr>
        <w:t xml:space="preserve"> below)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 See “Reconciliation of Non-GAAP Measures” for a reconciliation of underwriting profit to income before taxes and for additional information.</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Loss ratio</w:t>
      </w:r>
      <w:r>
        <w:rPr>
          <w:rFonts w:ascii="Arial" w:cs="Arial" w:eastAsia="Arial" w:hAnsi="Arial"/>
          <w:sz w:val="18"/>
          <w:szCs w:val="18"/>
          <w:color w:val="auto"/>
        </w:rPr>
        <w:t>, expressed as a percentage, is the ratio of losses and loss adjustment expenses on business not subject to retroactive reinsurance accounting for loss</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transfers to net earned premiums. Our definition of loss ratio may not be comparable to that of other companies. See “Underwriting Performance Ratios” for a reconciliation of underwriting ratios.</w:t>
      </w:r>
    </w:p>
    <w:p>
      <w:pPr>
        <w:spacing w:after="0" w:line="8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Accident year loss ratio</w:t>
      </w:r>
      <w:r>
        <w:rPr>
          <w:rFonts w:ascii="Arial" w:cs="Arial" w:eastAsia="Arial" w:hAnsi="Arial"/>
          <w:sz w:val="18"/>
          <w:szCs w:val="18"/>
          <w:color w:val="auto"/>
        </w:rPr>
        <w:t>, expressed as a percentage, is the ratio of losses and loss adjustment expenses for the current accident year (excluding development on</w:t>
      </w:r>
      <w:r>
        <w:rPr>
          <w:rFonts w:ascii="Arial" w:cs="Arial" w:eastAsia="Arial" w:hAnsi="Arial"/>
          <w:sz w:val="18"/>
          <w:szCs w:val="18"/>
          <w:i w:val="1"/>
          <w:iCs w:val="1"/>
          <w:color w:val="auto"/>
        </w:rPr>
        <w:t xml:space="preserve"> </w:t>
      </w:r>
      <w:r>
        <w:rPr>
          <w:rFonts w:ascii="Arial" w:cs="Arial" w:eastAsia="Arial" w:hAnsi="Arial"/>
          <w:sz w:val="18"/>
          <w:szCs w:val="18"/>
          <w:color w:val="auto"/>
        </w:rPr>
        <w:t>prior accident year reserves) to net earned premiums.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Expense ratio</w:t>
      </w:r>
      <w:r>
        <w:rPr>
          <w:rFonts w:ascii="Arial" w:cs="Arial" w:eastAsia="Arial" w:hAnsi="Arial"/>
          <w:sz w:val="15"/>
          <w:szCs w:val="15"/>
          <w:color w:val="auto"/>
        </w:rPr>
        <w:t>, expressed as a percentage, is the ratio of other operating expenses net of gross fee income included in other income to net earned premiums.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color w:val="auto"/>
        </w:rPr>
        <w:t xml:space="preserve">Combined ratio </w:t>
      </w:r>
      <w:r>
        <w:rPr>
          <w:rFonts w:ascii="Arial" w:cs="Arial" w:eastAsia="Arial" w:hAnsi="Arial"/>
          <w:sz w:val="17"/>
          <w:szCs w:val="17"/>
          <w:color w:val="auto"/>
        </w:rPr>
        <w:t>is a measure of underwriting performance calculated as the sum of the loss ratio and the expense ratio. A combined ratio of less than 100%</w:t>
      </w:r>
      <w:r>
        <w:rPr>
          <w:rFonts w:ascii="Arial" w:cs="Arial" w:eastAsia="Arial" w:hAnsi="Arial"/>
          <w:sz w:val="17"/>
          <w:szCs w:val="17"/>
          <w:i w:val="1"/>
          <w:iCs w:val="1"/>
          <w:color w:val="auto"/>
        </w:rPr>
        <w:t xml:space="preserve"> </w:t>
      </w:r>
      <w:r>
        <w:rPr>
          <w:rFonts w:ascii="Arial" w:cs="Arial" w:eastAsia="Arial" w:hAnsi="Arial"/>
          <w:sz w:val="17"/>
          <w:szCs w:val="17"/>
          <w:color w:val="auto"/>
        </w:rPr>
        <w:t>indicates an underwriting profit, while a combined ratio greater than 100% reflects an underwriting loss. Our definition of combined ratio may not be comparable to that of other companies. See “Underwriting Performance Ratios” for a reconciliation of underwriting ratios.</w:t>
      </w:r>
    </w:p>
    <w:p>
      <w:pPr>
        <w:spacing w:after="0" w:line="65" w:lineRule="exact"/>
        <w:rPr>
          <w:sz w:val="20"/>
          <w:szCs w:val="20"/>
          <w:color w:val="auto"/>
        </w:rPr>
      </w:pPr>
    </w:p>
    <w:p>
      <w:pPr>
        <w:jc w:val="both"/>
        <w:spacing w:after="0" w:line="305" w:lineRule="auto"/>
        <w:rPr>
          <w:sz w:val="20"/>
          <w:szCs w:val="20"/>
          <w:color w:val="auto"/>
        </w:rPr>
      </w:pPr>
      <w:r>
        <w:rPr>
          <w:rFonts w:ascii="Arial" w:cs="Arial" w:eastAsia="Arial" w:hAnsi="Arial"/>
          <w:sz w:val="15"/>
          <w:szCs w:val="15"/>
          <w:i w:val="1"/>
          <w:iCs w:val="1"/>
          <w:color w:val="auto"/>
        </w:rPr>
        <w:t xml:space="preserve">Adjusted net operating income </w:t>
      </w:r>
      <w:r>
        <w:rPr>
          <w:rFonts w:ascii="Arial" w:cs="Arial" w:eastAsia="Arial" w:hAnsi="Arial"/>
          <w:sz w:val="15"/>
          <w:szCs w:val="15"/>
          <w:color w:val="auto"/>
        </w:rPr>
        <w:t>is an internal performance measure used in the management of our operations. We believe it gives our management and other</w:t>
      </w:r>
      <w:r>
        <w:rPr>
          <w:rFonts w:ascii="Arial" w:cs="Arial" w:eastAsia="Arial" w:hAnsi="Arial"/>
          <w:sz w:val="15"/>
          <w:szCs w:val="15"/>
          <w:i w:val="1"/>
          <w:iCs w:val="1"/>
          <w:color w:val="auto"/>
        </w:rPr>
        <w:t xml:space="preserve"> </w:t>
      </w:r>
      <w:r>
        <w:rPr>
          <w:rFonts w:ascii="Arial" w:cs="Arial" w:eastAsia="Arial" w:hAnsi="Arial"/>
          <w:sz w:val="15"/>
          <w:szCs w:val="15"/>
          <w:color w:val="auto"/>
        </w:rPr>
        <w:t>users of our financial information useful insight into our results of operations and our underlying business performance. Adjusted net operating income is defined as income available to common shareholders excluding a) the impact of retroactive reinsurance accounting for loss portfolio transfers, b) net realized and unrealized gains (losses) on investments, c) certain non-operating expenses such as professional service fees related to a purported class action lawsuit, various strategic initiatives, and the filing of registration statements for the offering of securities, and d) severance costs associated with terminated employees. Adjusted net operating income is a non-GAAP measure and should not be viewed as a substitute for net income calculated in accordance with GAAP. Our definition of adjusted net operating income may not be comparable to that of other companies. See “Reconciliation of Non-GAAP Measures” for a reconciliation of income available to common shareholders to adjusted net operating income.</w:t>
      </w:r>
    </w:p>
    <w:p>
      <w:pPr>
        <w:spacing w:after="0" w:line="4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i w:val="1"/>
          <w:iCs w:val="1"/>
          <w:color w:val="auto"/>
        </w:rPr>
        <w:t xml:space="preserve">Tangible equity </w:t>
      </w:r>
      <w:r>
        <w:rPr>
          <w:rFonts w:ascii="Arial" w:cs="Arial" w:eastAsia="Arial" w:hAnsi="Arial"/>
          <w:sz w:val="15"/>
          <w:szCs w:val="15"/>
          <w:color w:val="auto"/>
        </w:rPr>
        <w:t>is defined as shareholders' equity plus mezzanine Series A Preferred Shares (as defined below) and the unrecognized deferred retroactive</w:t>
      </w:r>
      <w:r>
        <w:rPr>
          <w:rFonts w:ascii="Arial" w:cs="Arial" w:eastAsia="Arial" w:hAnsi="Arial"/>
          <w:sz w:val="15"/>
          <w:szCs w:val="15"/>
          <w:i w:val="1"/>
          <w:iCs w:val="1"/>
          <w:color w:val="auto"/>
        </w:rPr>
        <w:t xml:space="preserve"> </w:t>
      </w:r>
      <w:r>
        <w:rPr>
          <w:rFonts w:ascii="Arial" w:cs="Arial" w:eastAsia="Arial" w:hAnsi="Arial"/>
          <w:sz w:val="15"/>
          <w:szCs w:val="15"/>
          <w:color w:val="auto"/>
        </w:rPr>
        <w:t>reinsurance gain on loss portfolio transfers less goodwill and intangible assets, net of amortization. We believe tangible equity is a good measure to evaluate the strength of our balance sheet and to compare returns relative to this measure. Key financial measures that we use to assess our longer term financial performance include the percentage growth in our tangible equity per share and our return on tangible equity. Tangible equity is a non-GAAP measure and should not be viewed as a substitute for shareholders’ equity calculated in accordance with GAAP. Our definition of tangible equity may not be comparable to that of other companies. See “Reconciliation of Non-GAAP Measures” for a reconciliation of shareholders' equity to tangible equity.</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Adjusted net operating return on tangible equity </w:t>
      </w:r>
      <w:r>
        <w:rPr>
          <w:rFonts w:ascii="Arial" w:cs="Arial" w:eastAsia="Arial" w:hAnsi="Arial"/>
          <w:sz w:val="18"/>
          <w:szCs w:val="18"/>
          <w:color w:val="auto"/>
        </w:rPr>
        <w:t>is defined as annualized adjusted net operating income expressed as a percentage of the average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tangible equity balances in the respective period.</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Tangible equity per share </w:t>
      </w:r>
      <w:r>
        <w:rPr>
          <w:rFonts w:ascii="Arial" w:cs="Arial" w:eastAsia="Arial" w:hAnsi="Arial"/>
          <w:sz w:val="18"/>
          <w:szCs w:val="18"/>
          <w:color w:val="auto"/>
        </w:rPr>
        <w:t>represents tangible equity divided by the sum of total common shares outstanding plus the common shares resulting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conversion of the outstanding Series A Preferred Shares into common shares (at the current conversion price).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retention </w:t>
      </w:r>
      <w:r>
        <w:rPr>
          <w:rFonts w:ascii="Arial" w:cs="Arial" w:eastAsia="Arial" w:hAnsi="Arial"/>
          <w:sz w:val="18"/>
          <w:szCs w:val="18"/>
          <w:color w:val="auto"/>
        </w:rPr>
        <w:t>is defined as the ratio of net written premiums to gross written premiums.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Gross investment return </w:t>
      </w:r>
      <w:r>
        <w:rPr>
          <w:rFonts w:ascii="Arial" w:cs="Arial" w:eastAsia="Arial" w:hAnsi="Arial"/>
          <w:sz w:val="18"/>
          <w:szCs w:val="18"/>
          <w:color w:val="auto"/>
        </w:rPr>
        <w:t>is annualized investment income before any deductions for fees and expenses, expressed as a percentage of the average beginning and</w:t>
      </w:r>
      <w:r>
        <w:rPr>
          <w:rFonts w:ascii="Arial" w:cs="Arial" w:eastAsia="Arial" w:hAnsi="Arial"/>
          <w:sz w:val="18"/>
          <w:szCs w:val="18"/>
          <w:i w:val="1"/>
          <w:iCs w:val="1"/>
          <w:color w:val="auto"/>
        </w:rPr>
        <w:t xml:space="preserve"> </w:t>
      </w:r>
      <w:r>
        <w:rPr>
          <w:rFonts w:ascii="Arial" w:cs="Arial" w:eastAsia="Arial" w:hAnsi="Arial"/>
          <w:sz w:val="18"/>
          <w:szCs w:val="18"/>
          <w:color w:val="auto"/>
        </w:rPr>
        <w:t>ending carrying values of those investments during the period.</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Unless specified otherwise, all references to our defined metrics above in this </w:t>
      </w:r>
      <w:r>
        <w:rPr>
          <w:rFonts w:ascii="Arial" w:cs="Arial" w:eastAsia="Arial" w:hAnsi="Arial"/>
          <w:sz w:val="15"/>
          <w:szCs w:val="15"/>
          <w:i w:val="1"/>
          <w:iCs w:val="1"/>
          <w:color w:val="auto"/>
        </w:rPr>
        <w:t>Management’s Discussion and Analysis of Financial Condition and Results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of Operations </w:t>
      </w:r>
      <w:r>
        <w:rPr>
          <w:rFonts w:ascii="Arial" w:cs="Arial" w:eastAsia="Arial" w:hAnsi="Arial"/>
          <w:sz w:val="15"/>
          <w:szCs w:val="15"/>
          <w:color w:val="auto"/>
        </w:rPr>
        <w:t>are for our business that is not subject to retroactive reinsurance accounting for loss portfolio transfers. Management believes that the lack of</w:t>
      </w:r>
      <w:r>
        <w:rPr>
          <w:rFonts w:ascii="Arial" w:cs="Arial" w:eastAsia="Arial" w:hAnsi="Arial"/>
          <w:sz w:val="15"/>
          <w:szCs w:val="15"/>
          <w:i w:val="1"/>
          <w:iCs w:val="1"/>
          <w:color w:val="auto"/>
        </w:rPr>
        <w:t xml:space="preserve"> </w:t>
      </w:r>
      <w:r>
        <w:rPr>
          <w:rFonts w:ascii="Arial" w:cs="Arial" w:eastAsia="Arial" w:hAnsi="Arial"/>
          <w:sz w:val="15"/>
          <w:szCs w:val="15"/>
          <w:color w:val="auto"/>
        </w:rPr>
        <w:t>economic impact of retroactive reinsurance accounting makes the presentation of our key metrics on business not subject to retroactive reinsurance accounting helpful to the users of our financial information. See “Underwriting Performance Ratios” and “Reconciliation of Non-GAAP Measures.”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3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most critical accounting policies involve significant estimates and include those used in determining the reserve for losses and loss adjustment expenses and investment valuation and impairment. For a detailed discussion of each of these policies, refer to our Annual Report on Form 10-K for the year ended December 31, 2021. There have been no significant changes to any of these policies during the current year.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a discussion of the impact of the coronavirus (COVID-19) pandemic and related economic conditions on the Company’s results for the year ended December 31, 2021, please see “Part II—Item 7—Management’s Discussion and Analysis of Financial Condition and Results of Operation” in our Annual Report. The Company continues to monitor the impact that the ongoing coronavirus (COVID-19) pandemic may be having on the Company’s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Macroeconomic Events Including Higher Levels of Inflation and Rising Interest Rates</w:t>
      </w:r>
    </w:p>
    <w:p>
      <w:pPr>
        <w:spacing w:after="0" w:line="117"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Current macroeconomic events including the war in Ukraine and sustained supply chain constraints stemming from the COVID-19 pandemic have led to higher levels of inflation. The Federal Reserve, attempting to gain control of inflation, has implemented a series of federal funds rate increases in 2022 with more expected in the near future. Interest rates, in response, have risen significantly in 2022 and fears of an impending economic slowdown have increased the likelihood of an economic recession, all of which have negatively impacted financial markets. The more immediate impacts to the Company are on our investment portfolio and investing results. Our investment portfolio is primarily comprised of fixed maturity investments (75.3% of total invested assets at September 30, 2022). The fair values of fixed maturities generally move inversely with interest rates, and unrealized losses associated with the declines in fair values are recognized as a component of other comprehensive income, contributing to declines in shareholders' equity and tangible equity. For the nine months ended September 30, 2022, other comprehensive loss, representing the after-tax impact of the unrealized losses on fixed maturity investments, was $205.2 million. We are monitoring our portfolio for signs of credit-related impairments, and to date, we have concluded that the declines are primarily market-driven with no allowance for credit losses considered necessary. As turnover has occurred in our portfolio and we invest cash generated from operations, we are benefiting from the higher yields now available on fixed maturities which is reflected in our investment income. Our investment portfolio also contains investments in equity securities and bank loan participations (comprising 5.4% and 7.4% of total invested assets at September 30, 2022, respectively) that are carried on our Balance Sheets at fair value. The fair values of these investments, the changes in which are recognized as unrealized gains and losses in our Statements of (Loss) Income and Comprehensive Loss, have been negatively impacted by the ongoing macroeconomic events and associated declines in financial markets. Net realized and unrealized (losses) gains on investments for the nine months ended September 30, 2022 include unrealized losses of $16.0 million and $13.8 million, respectively, for the changes in fair values of equity securities and bank loan participations. The rising interest rates have also increased interest expense on our outstanding variable rate senior and trust preferred debt. The applicable rates on our debt reset quarterly or semi-annually and are structured as LIBOR plus a margin or spread.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A Preferred Shares</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closed on the issuance and sale of 150,000 7% Series A Perpetual Cumulative Convertible Preferred Shares, par value $0.00125 per share (the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initial rate of 7% of the $1,000 liquidation preference per share (the “Liquidation Preference”) per annum, which may be paid in cash, in-kind in common shares or in Series A Preferred Shares, at the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Company’s election. Dividends declared and paid on the Series A Preferred Shares in the nine months ended September 30, 2022 (which represent the dividends from March 1, 2022, the date of issuance of the Series A Preferred Shares, through September 30, 2022) were $6.1 million. Please see “Part I—Item 1—Note 12. Series A Preferred Shares” in the Notes to our Condensed Consolidated Financial Statements in this Form 10-Q.</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Portfolio Transfers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Loss portfolio transfers are a form of reinsurance utilized by the Company to transfer losses and loss adjustment expenses and associated risk of adverse development on covered subject business, as defined in the respective agreements, to an assuming reinsurer in exchange for a reinsurance premium. Loss portfolio transfers can bring economic finality on the subject risks when they no longer meet the Company's appetite or are no longer aligned with our risk management guidelines.</w:t>
      </w:r>
    </w:p>
    <w:p>
      <w:pPr>
        <w:spacing w:after="0" w:line="85" w:lineRule="exact"/>
        <w:rPr>
          <w:sz w:val="20"/>
          <w:szCs w:val="20"/>
          <w:color w:val="auto"/>
        </w:rPr>
      </w:pPr>
    </w:p>
    <w:p>
      <w:pPr>
        <w:jc w:val="both"/>
        <w:ind w:firstLine="358"/>
        <w:spacing w:after="0" w:line="265" w:lineRule="auto"/>
        <w:rPr>
          <w:sz w:val="20"/>
          <w:szCs w:val="20"/>
          <w:color w:val="auto"/>
        </w:rPr>
      </w:pPr>
      <w:r>
        <w:rPr>
          <w:rFonts w:ascii="Arial" w:cs="Arial" w:eastAsia="Arial" w:hAnsi="Arial"/>
          <w:sz w:val="17"/>
          <w:szCs w:val="17"/>
          <w:color w:val="auto"/>
        </w:rPr>
        <w:t>The Company periodically reevaluates the remaining reserves subject to its loss portfolio transfers, and when recognized adverse prior year development on the subject business causes the cumulative amounts ceded under a loss portfolio transfer to exceed the consideration paid, the loss portfolio transfer moves into a gain position subject to retroactive reinsurance accounting under GAAP. Gains are deferred under retroactive reinsurance accounting and recognized in earnings in proportion to actual paid recoveries under the loss portfolio transfer using the recovery method. While the deferral of gains can introduce volatility in our results in the short-term, over the life of the contract, we would expect no economic impact to the Company as long as any additional losses are within the limit of the loss portfolio transfer and the counterparty performs under the contract. The impact of retroactive reinsurance accounting is not indicative of our current and ongoing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Portfolio Transfer Retrocession Agreement</w:t>
      </w:r>
    </w:p>
    <w:p>
      <w:pPr>
        <w:spacing w:after="0" w:line="111" w:lineRule="exact"/>
        <w:rPr>
          <w:sz w:val="20"/>
          <w:szCs w:val="20"/>
          <w:color w:val="auto"/>
        </w:rPr>
      </w:pPr>
    </w:p>
    <w:p>
      <w:pPr>
        <w:jc w:val="both"/>
        <w:ind w:firstLine="358"/>
        <w:spacing w:after="0" w:line="301" w:lineRule="auto"/>
        <w:rPr>
          <w:sz w:val="20"/>
          <w:szCs w:val="20"/>
          <w:color w:val="auto"/>
        </w:rPr>
      </w:pPr>
      <w:r>
        <w:rPr>
          <w:rFonts w:ascii="Arial" w:cs="Arial" w:eastAsia="Arial" w:hAnsi="Arial"/>
          <w:sz w:val="15"/>
          <w:szCs w:val="15"/>
          <w:color w:val="auto"/>
        </w:rPr>
        <w:t>On February 23, 2022, JRG Re entered into a loss portfolio transfer retrocession agreement (the “Retrocession Agreement”) with Fortitude Reinsurance Company Ltd. (“FRL”) under which FRL reinsures the majority of the reserves in the Company’s Casualty Reinsurance segment. Under the terms of the transaction, which closed on March 31, 2022 (the “Retrocession Closing Date”),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 and (d) pays FRL a 2% per annum crediting rate on the Funds Withheld Account balance on a quarterly basis. For the nine months ended September 30, 2022, Funds Withheld Account crediting fees of $2.6 million are included in interest expense in our Statements of (Loss) Income and Comprehensive Loss. The total premium, initial Funds Withheld Account credit, and aggregate limit was adjusted for claims paid from October 1, 2021 to the Retrocession Closing Date. The Casualty Reinsurance segment incurred losses of $11.5 million (including $6.8 million of net adverse reserve development and $4.7 million of current accident year losses) in the three months ended March 31, 2022 associated with the Retrocession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Auto Loss Portfolio Transfer</w:t>
      </w:r>
    </w:p>
    <w:p>
      <w:pPr>
        <w:spacing w:after="0" w:line="111"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On September 27, 2021, James River Insurance Company and James River Casualty Company (together, “James River”) entered into a loss portfolio transfer transaction (the “Commercial Auto LPT”) with Aleka Insurance, Inc. (“Aleka”), a captive insurance company affiliate of Rasier LLC, to reinsure</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substantially all of the Excess and Surplus Lines segment’s legacy portfolio of commercial auto policies previously issued to Rasier LLC and its affiliates (collectively, “Rasier”) for which James River is not otherwise indemnified by Rasier. Under the terms of the transaction, effective as of July 1, 2021, James River ceded to Aleka approximately $345.1 million of commercial auto liabilities relating to Rasier policies written in the years 2013-2019, which amount constituted the reinsurance premium. The reinsurance coverage is structured to be fully collateralized, is not subject to an aggregate limit, and is subject to certain exclusions. A pre-tax loss of $29.6 million was recognized as adverse loss and loss adjustment reserve development in the Excess and Surplus Lines segment for the third quarter of 2021 associated with the loss portfolio transfer.</w:t>
      </w:r>
    </w:p>
    <w:p>
      <w:pPr>
        <w:spacing w:after="0" w:line="73"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For the three and nine months ended September 30, 2022, due to adverse paid loss trends on the legacy Rasier business, the Company recognized adverse prior year development of $46.7 million on the net reserves subject to the Commercial Auto LPT, resulting in a corresponding additional amount ceded under the Commercial Auto LPT. As a result, the cumulative amounts ceded under the Commercial Auto LPT exceed the consideration paid, moving the Commercial Auto LPT into a gain position. The Company has applied retroactive reinsurance accounting to the Commercial Auto LPT. A retroactive reinsurance benefit of $25.9 million was recorded in losses and loss adjustment expenses on the Condensed Consolidated Statements of (Loss) Income and Comprehensive Loss for the three and nine months ended September 30, 2022 using the recovery method. As of September 30, 2022 and December 31, 2021, the cumulative amounts ceded under the Commercial Auto LPT were $391.8 million and $345.1 million, respectively. The unrecognized deferred retroactive reinsurance gain of $20.8 million at September 30, 2022 is separately presented on the Company's Condensed Consolidated Balance Sheets.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results: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258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4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jc w:val="right"/>
              <w:ind w:right="34"/>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358,505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346,599</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3.4 %</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1,118,155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2"/>
              </w:rPr>
              <w:t>1,100,000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1.7 %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Arial" w:cs="Arial" w:eastAsia="Arial" w:hAnsi="Arial"/>
                <w:sz w:val="18"/>
                <w:szCs w:val="18"/>
                <w:color w:val="auto"/>
              </w:rPr>
              <w:t>Net retention</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53.1 %</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45.6 %</w:t>
            </w:r>
          </w:p>
        </w:tc>
        <w:tc>
          <w:tcPr>
            <w:tcW w:w="1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50.2 %</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47.9 %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written premiums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190,251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158,210</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20.3 %</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560,801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526,413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6.5 %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earned premiums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34"/>
              <w:spacing w:after="0"/>
              <w:rPr>
                <w:sz w:val="20"/>
                <w:szCs w:val="20"/>
                <w:color w:val="auto"/>
              </w:rPr>
            </w:pPr>
            <w:r>
              <w:rPr>
                <w:rFonts w:ascii="Arial" w:cs="Arial" w:eastAsia="Arial" w:hAnsi="Arial"/>
                <w:sz w:val="18"/>
                <w:szCs w:val="18"/>
                <w:i w:val="1"/>
                <w:iCs w:val="1"/>
                <w:color w:val="auto"/>
              </w:rPr>
              <w:t>11.5 %</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i w:val="1"/>
                <w:iCs w:val="1"/>
                <w:color w:val="auto"/>
              </w:rPr>
              <w:t>12.4 %</w:t>
            </w:r>
          </w:p>
        </w:tc>
        <w:tc>
          <w:tcPr>
            <w:tcW w:w="0" w:type="dxa"/>
            <w:vAlign w:val="bottom"/>
          </w:tcPr>
          <w:p>
            <w:pPr>
              <w:spacing w:after="0" w:line="20" w:lineRule="exact"/>
              <w:rPr>
                <w:sz w:val="1"/>
                <w:szCs w:val="1"/>
                <w:color w:val="auto"/>
              </w:rPr>
            </w:pPr>
          </w:p>
        </w:tc>
      </w:tr>
      <w:tr>
        <w:trPr>
          <w:trHeight w:val="198"/>
        </w:trPr>
        <w:tc>
          <w:tcPr>
            <w:tcW w:w="3140" w:type="dxa"/>
            <w:vAlign w:val="bottom"/>
            <w:vMerge w:val="continue"/>
          </w:tcPr>
          <w:p>
            <w:pPr>
              <w:spacing w:after="0"/>
              <w:rPr>
                <w:sz w:val="17"/>
                <w:szCs w:val="17"/>
                <w:color w:val="auto"/>
              </w:rPr>
            </w:pPr>
          </w:p>
        </w:tc>
        <w:tc>
          <w:tcPr>
            <w:tcW w:w="280" w:type="dxa"/>
            <w:vAlign w:val="bottom"/>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4"/>
              <w:spacing w:after="0" w:line="198" w:lineRule="exact"/>
              <w:rPr>
                <w:sz w:val="20"/>
                <w:szCs w:val="20"/>
                <w:color w:val="auto"/>
              </w:rPr>
            </w:pPr>
            <w:r>
              <w:rPr>
                <w:rFonts w:ascii="Arial" w:cs="Arial" w:eastAsia="Arial" w:hAnsi="Arial"/>
                <w:sz w:val="18"/>
                <w:szCs w:val="18"/>
                <w:color w:val="auto"/>
              </w:rPr>
              <w:t>190,189</w:t>
            </w:r>
          </w:p>
        </w:tc>
        <w:tc>
          <w:tcPr>
            <w:tcW w:w="120" w:type="dxa"/>
            <w:vAlign w:val="bottom"/>
          </w:tcPr>
          <w:p>
            <w:pPr>
              <w:spacing w:after="0"/>
              <w:rPr>
                <w:sz w:val="17"/>
                <w:szCs w:val="17"/>
                <w:color w:val="auto"/>
              </w:rPr>
            </w:pPr>
          </w:p>
        </w:tc>
        <w:tc>
          <w:tcPr>
            <w:tcW w:w="440" w:type="dxa"/>
            <w:vAlign w:val="bottom"/>
          </w:tcPr>
          <w:p>
            <w:pPr>
              <w:jc w:val="right"/>
              <w:ind w:right="252"/>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2"/>
              <w:spacing w:after="0" w:line="198" w:lineRule="exact"/>
              <w:rPr>
                <w:sz w:val="20"/>
                <w:szCs w:val="20"/>
                <w:color w:val="auto"/>
              </w:rPr>
            </w:pPr>
            <w:r>
              <w:rPr>
                <w:rFonts w:ascii="Arial" w:cs="Arial" w:eastAsia="Arial" w:hAnsi="Arial"/>
                <w:sz w:val="18"/>
                <w:szCs w:val="18"/>
                <w:color w:val="auto"/>
              </w:rPr>
              <w:t>170,608</w:t>
            </w:r>
          </w:p>
        </w:tc>
        <w:tc>
          <w:tcPr>
            <w:tcW w:w="1240" w:type="dxa"/>
            <w:vAlign w:val="bottom"/>
            <w:vMerge w:val="continue"/>
          </w:tcPr>
          <w:p>
            <w:pPr>
              <w:spacing w:after="0"/>
              <w:rPr>
                <w:sz w:val="17"/>
                <w:szCs w:val="17"/>
                <w:color w:val="auto"/>
              </w:rPr>
            </w:pPr>
          </w:p>
        </w:tc>
        <w:tc>
          <w:tcPr>
            <w:tcW w:w="300" w:type="dxa"/>
            <w:vAlign w:val="bottom"/>
          </w:tcPr>
          <w:p>
            <w:pPr>
              <w:jc w:val="right"/>
              <w:ind w:right="112"/>
              <w:spacing w:after="0" w:line="198"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4"/>
              <w:spacing w:after="0" w:line="198" w:lineRule="exact"/>
              <w:rPr>
                <w:sz w:val="20"/>
                <w:szCs w:val="20"/>
                <w:color w:val="auto"/>
              </w:rPr>
            </w:pPr>
            <w:r>
              <w:rPr>
                <w:rFonts w:ascii="Arial" w:cs="Arial" w:eastAsia="Arial" w:hAnsi="Arial"/>
                <w:sz w:val="18"/>
                <w:szCs w:val="18"/>
                <w:color w:val="auto"/>
              </w:rPr>
              <w:t>566,275</w:t>
            </w:r>
          </w:p>
        </w:tc>
        <w:tc>
          <w:tcPr>
            <w:tcW w:w="100" w:type="dxa"/>
            <w:vAlign w:val="bottom"/>
          </w:tcPr>
          <w:p>
            <w:pPr>
              <w:spacing w:after="0"/>
              <w:rPr>
                <w:sz w:val="17"/>
                <w:szCs w:val="17"/>
                <w:color w:val="auto"/>
              </w:rPr>
            </w:pPr>
          </w:p>
        </w:tc>
        <w:tc>
          <w:tcPr>
            <w:tcW w:w="420" w:type="dxa"/>
            <w:vAlign w:val="bottom"/>
          </w:tcPr>
          <w:p>
            <w:pPr>
              <w:jc w:val="right"/>
              <w:ind w:right="232"/>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2"/>
              <w:spacing w:after="0" w:line="198" w:lineRule="exact"/>
              <w:rPr>
                <w:sz w:val="20"/>
                <w:szCs w:val="20"/>
                <w:color w:val="auto"/>
              </w:rPr>
            </w:pPr>
            <w:r>
              <w:rPr>
                <w:rFonts w:ascii="Arial" w:cs="Arial" w:eastAsia="Arial" w:hAnsi="Arial"/>
                <w:sz w:val="18"/>
                <w:szCs w:val="18"/>
                <w:color w:val="auto"/>
              </w:rPr>
              <w:t>503,906</w:t>
            </w: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Losses and loss adjustment expenses</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excluding retroactive reinsurance</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(132,235)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3"/>
              </w:rPr>
              <w:t>(166,078)</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(20.4)%</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(389,212)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(549,578)</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i w:val="1"/>
                <w:iCs w:val="1"/>
                <w:color w:val="auto"/>
                <w:w w:val="91"/>
              </w:rPr>
              <w:t>(29.2)%</w:t>
            </w:r>
          </w:p>
        </w:tc>
        <w:tc>
          <w:tcPr>
            <w:tcW w:w="0" w:type="dxa"/>
            <w:vAlign w:val="bottom"/>
          </w:tcPr>
          <w:p>
            <w:pPr>
              <w:spacing w:after="0"/>
              <w:rPr>
                <w:sz w:val="1"/>
                <w:szCs w:val="1"/>
                <w:color w:val="auto"/>
              </w:rPr>
            </w:pPr>
          </w:p>
        </w:tc>
      </w:tr>
      <w:tr>
        <w:trPr>
          <w:trHeight w:val="225"/>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(46,670)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(42,171)</w:t>
            </w:r>
          </w:p>
        </w:tc>
        <w:tc>
          <w:tcPr>
            <w:tcW w:w="124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i w:val="1"/>
                <w:iCs w:val="1"/>
                <w:color w:val="auto"/>
              </w:rPr>
              <w:t>10.7 %</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(144,067)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(133,511)</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7.9 %</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 xml:space="preserve">Underwriting profit (loss) </w:t>
            </w:r>
            <w:r>
              <w:rPr>
                <w:rFonts w:ascii="Arial" w:cs="Arial" w:eastAsia="Arial" w:hAnsi="Arial"/>
                <w:sz w:val="14"/>
                <w:szCs w:val="14"/>
                <w:color w:val="auto"/>
              </w:rPr>
              <w:t>(1), (2)</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11,284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(37,641)</w:t>
            </w:r>
          </w:p>
        </w:tc>
        <w:tc>
          <w:tcPr>
            <w:tcW w:w="1240" w:type="dxa"/>
            <w:vAlign w:val="bottom"/>
            <w:shd w:val="clear" w:color="auto" w:fill="CCEEFF"/>
          </w:tcPr>
          <w:p>
            <w:pPr>
              <w:jc w:val="right"/>
              <w:ind w:right="234"/>
              <w:spacing w:after="0"/>
              <w:rPr>
                <w:sz w:val="20"/>
                <w:szCs w:val="20"/>
                <w:color w:val="auto"/>
              </w:rPr>
            </w:pPr>
            <w:r>
              <w:rPr>
                <w:rFonts w:ascii="Arial" w:cs="Arial" w:eastAsia="Arial" w:hAnsi="Arial"/>
                <w:sz w:val="18"/>
                <w:szCs w:val="18"/>
                <w:i w:val="1"/>
                <w:iCs w:val="1"/>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32,996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(179,183)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173"/>
        </w:trPr>
        <w:tc>
          <w:tcPr>
            <w:tcW w:w="3140" w:type="dxa"/>
            <w:vAlign w:val="bottom"/>
          </w:tcPr>
          <w:p>
            <w:pPr>
              <w:ind w:left="20"/>
              <w:spacing w:after="0" w:line="173" w:lineRule="exact"/>
              <w:rPr>
                <w:sz w:val="20"/>
                <w:szCs w:val="20"/>
                <w:color w:val="auto"/>
              </w:rPr>
            </w:pPr>
            <w:r>
              <w:rPr>
                <w:rFonts w:ascii="Arial" w:cs="Arial" w:eastAsia="Arial" w:hAnsi="Arial"/>
                <w:sz w:val="18"/>
                <w:szCs w:val="18"/>
                <w:color w:val="auto"/>
                <w:w w:val="98"/>
              </w:rPr>
              <w:t>Losses and loss adjustment expenses -</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8"/>
                <w:szCs w:val="18"/>
                <w:color w:val="auto"/>
              </w:rPr>
              <w:t>retroactive reinsurance</w:t>
            </w:r>
          </w:p>
        </w:tc>
        <w:tc>
          <w:tcPr>
            <w:tcW w:w="280" w:type="dxa"/>
            <w:vAlign w:val="bottom"/>
          </w:tcPr>
          <w:p>
            <w:pPr>
              <w:spacing w:after="0"/>
              <w:rPr>
                <w:sz w:val="20"/>
                <w:szCs w:val="20"/>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(20,773)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4"/>
              <w:spacing w:after="0"/>
              <w:rPr>
                <w:sz w:val="20"/>
                <w:szCs w:val="20"/>
                <w:color w:val="auto"/>
              </w:rPr>
            </w:pPr>
            <w:r>
              <w:rPr>
                <w:rFonts w:ascii="Arial" w:cs="Arial" w:eastAsia="Arial" w:hAnsi="Arial"/>
                <w:sz w:val="18"/>
                <w:szCs w:val="18"/>
                <w:i w:val="1"/>
                <w:iCs w:val="1"/>
                <w:color w:val="auto"/>
              </w:rPr>
              <w:t>—</w:t>
            </w:r>
          </w:p>
        </w:tc>
        <w:tc>
          <w:tcPr>
            <w:tcW w:w="300" w:type="dxa"/>
            <w:vAlign w:val="bottom"/>
          </w:tcPr>
          <w:p>
            <w:pPr>
              <w:spacing w:after="0"/>
              <w:rPr>
                <w:sz w:val="20"/>
                <w:szCs w:val="20"/>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(20,773)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17,306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15,289</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13.2 %</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48,278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44,726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7.9 %</w:t>
            </w:r>
          </w:p>
        </w:tc>
        <w:tc>
          <w:tcPr>
            <w:tcW w:w="0" w:type="dxa"/>
            <w:vAlign w:val="bottom"/>
          </w:tcPr>
          <w:p>
            <w:pPr>
              <w:spacing w:after="0"/>
              <w:rPr>
                <w:sz w:val="1"/>
                <w:szCs w:val="1"/>
                <w:color w:val="auto"/>
              </w:rPr>
            </w:pPr>
          </w:p>
        </w:tc>
      </w:tr>
      <w:tr>
        <w:trPr>
          <w:trHeight w:val="173"/>
        </w:trPr>
        <w:tc>
          <w:tcPr>
            <w:tcW w:w="3140" w:type="dxa"/>
            <w:vAlign w:val="bottom"/>
          </w:tcPr>
          <w:p>
            <w:pPr>
              <w:ind w:left="20"/>
              <w:spacing w:after="0" w:line="173" w:lineRule="exact"/>
              <w:rPr>
                <w:sz w:val="20"/>
                <w:szCs w:val="20"/>
                <w:color w:val="auto"/>
              </w:rPr>
            </w:pPr>
            <w:r>
              <w:rPr>
                <w:rFonts w:ascii="Arial" w:cs="Arial" w:eastAsia="Arial" w:hAnsi="Arial"/>
                <w:sz w:val="18"/>
                <w:szCs w:val="18"/>
                <w:color w:val="auto"/>
                <w:w w:val="92"/>
              </w:rPr>
              <w:t>Net realized and unrealized (losses) gains</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180"/>
              <w:spacing w:after="0"/>
              <w:rPr>
                <w:sz w:val="20"/>
                <w:szCs w:val="20"/>
                <w:color w:val="auto"/>
              </w:rPr>
            </w:pPr>
            <w:r>
              <w:rPr>
                <w:rFonts w:ascii="Arial" w:cs="Arial" w:eastAsia="Arial" w:hAnsi="Arial"/>
                <w:sz w:val="18"/>
                <w:szCs w:val="18"/>
                <w:color w:val="auto"/>
              </w:rPr>
              <w:t>on investments</w:t>
            </w:r>
          </w:p>
        </w:tc>
        <w:tc>
          <w:tcPr>
            <w:tcW w:w="280" w:type="dxa"/>
            <w:vAlign w:val="bottom"/>
          </w:tcPr>
          <w:p>
            <w:pPr>
              <w:spacing w:after="0"/>
              <w:rPr>
                <w:sz w:val="20"/>
                <w:szCs w:val="20"/>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3,983</w:t>
            </w:r>
          </w:p>
        </w:tc>
        <w:tc>
          <w:tcPr>
            <w:tcW w:w="1240" w:type="dxa"/>
            <w:vAlign w:val="bottom"/>
          </w:tcPr>
          <w:p>
            <w:pPr>
              <w:jc w:val="right"/>
              <w:ind w:right="234"/>
              <w:spacing w:after="0"/>
              <w:rPr>
                <w:sz w:val="20"/>
                <w:szCs w:val="20"/>
                <w:color w:val="auto"/>
              </w:rPr>
            </w:pPr>
            <w:r>
              <w:rPr>
                <w:rFonts w:ascii="Arial" w:cs="Arial" w:eastAsia="Arial" w:hAnsi="Arial"/>
                <w:sz w:val="18"/>
                <w:szCs w:val="18"/>
                <w:i w:val="1"/>
                <w:iCs w:val="1"/>
                <w:color w:val="auto"/>
              </w:rPr>
              <w:t>—</w:t>
            </w:r>
          </w:p>
        </w:tc>
        <w:tc>
          <w:tcPr>
            <w:tcW w:w="300" w:type="dxa"/>
            <w:vAlign w:val="bottom"/>
          </w:tcPr>
          <w:p>
            <w:pPr>
              <w:spacing w:after="0"/>
              <w:rPr>
                <w:sz w:val="20"/>
                <w:szCs w:val="20"/>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(29,874)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13,738</w:t>
            </w:r>
          </w:p>
        </w:tc>
        <w:tc>
          <w:tcPr>
            <w:tcW w:w="120" w:type="dxa"/>
            <w:vAlign w:val="bottom"/>
          </w:tcPr>
          <w:p>
            <w:pPr>
              <w:spacing w:after="0"/>
              <w:rPr>
                <w:sz w:val="20"/>
                <w:szCs w:val="20"/>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and expense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(615)</w:t>
            </w:r>
          </w:p>
        </w:tc>
        <w:tc>
          <w:tcPr>
            <w:tcW w:w="1240" w:type="dxa"/>
            <w:vAlign w:val="bottom"/>
            <w:shd w:val="clear" w:color="auto" w:fill="CCEEFF"/>
          </w:tcPr>
          <w:p>
            <w:pPr>
              <w:jc w:val="right"/>
              <w:ind w:right="234"/>
              <w:spacing w:after="0"/>
              <w:rPr>
                <w:sz w:val="20"/>
                <w:szCs w:val="20"/>
                <w:color w:val="auto"/>
              </w:rPr>
            </w:pPr>
            <w:r>
              <w:rPr>
                <w:rFonts w:ascii="Arial" w:cs="Arial" w:eastAsia="Arial" w:hAnsi="Arial"/>
                <w:sz w:val="18"/>
                <w:szCs w:val="18"/>
                <w:i w:val="1"/>
                <w:iCs w:val="1"/>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(1,964)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(4,950)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(2,227)</w:t>
            </w:r>
          </w:p>
        </w:tc>
        <w:tc>
          <w:tcPr>
            <w:tcW w:w="1240" w:type="dxa"/>
            <w:vAlign w:val="bottom"/>
          </w:tcPr>
          <w:p>
            <w:pPr>
              <w:jc w:val="right"/>
              <w:ind w:right="34"/>
              <w:spacing w:after="0"/>
              <w:rPr>
                <w:sz w:val="20"/>
                <w:szCs w:val="20"/>
                <w:color w:val="auto"/>
              </w:rPr>
            </w:pPr>
            <w:r>
              <w:rPr>
                <w:rFonts w:ascii="Arial" w:cs="Arial" w:eastAsia="Arial" w:hAnsi="Arial"/>
                <w:sz w:val="18"/>
                <w:szCs w:val="18"/>
                <w:i w:val="1"/>
                <w:iCs w:val="1"/>
                <w:color w:val="auto"/>
              </w:rPr>
              <w:t>122.3 %</w:t>
            </w:r>
          </w:p>
        </w:tc>
        <w:tc>
          <w:tcPr>
            <w:tcW w:w="30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(11,291)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(6,692)</w:t>
            </w:r>
          </w:p>
        </w:tc>
        <w:tc>
          <w:tcPr>
            <w:tcW w:w="1160" w:type="dxa"/>
            <w:vAlign w:val="bottom"/>
            <w:gridSpan w:val="2"/>
          </w:tcPr>
          <w:p>
            <w:pPr>
              <w:jc w:val="right"/>
              <w:spacing w:after="0"/>
              <w:rPr>
                <w:sz w:val="20"/>
                <w:szCs w:val="20"/>
                <w:color w:val="auto"/>
              </w:rPr>
            </w:pPr>
            <w:r>
              <w:rPr>
                <w:rFonts w:ascii="Arial" w:cs="Arial" w:eastAsia="Arial" w:hAnsi="Arial"/>
                <w:sz w:val="18"/>
                <w:szCs w:val="18"/>
                <w:i w:val="1"/>
                <w:iCs w:val="1"/>
                <w:color w:val="auto"/>
              </w:rPr>
              <w:t>68.7 %</w:t>
            </w: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(90)</w:t>
            </w:r>
          </w:p>
        </w:tc>
        <w:tc>
          <w:tcPr>
            <w:tcW w:w="1240" w:type="dxa"/>
            <w:vAlign w:val="bottom"/>
            <w:shd w:val="clear" w:color="auto" w:fill="CCEEFF"/>
          </w:tcPr>
          <w:p>
            <w:pPr>
              <w:jc w:val="right"/>
              <w:ind w:right="234"/>
              <w:spacing w:after="0"/>
              <w:rPr>
                <w:sz w:val="20"/>
                <w:szCs w:val="20"/>
                <w:color w:val="auto"/>
              </w:rPr>
            </w:pPr>
            <w:r>
              <w:rPr>
                <w:rFonts w:ascii="Arial" w:cs="Arial" w:eastAsia="Arial" w:hAnsi="Arial"/>
                <w:sz w:val="18"/>
                <w:szCs w:val="18"/>
                <w:i w:val="1"/>
                <w:i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8"/>
        </w:trPr>
        <w:tc>
          <w:tcPr>
            <w:tcW w:w="3140" w:type="dxa"/>
            <w:vAlign w:val="bottom"/>
          </w:tcPr>
          <w:p>
            <w:pPr>
              <w:ind w:left="20"/>
              <w:spacing w:after="0"/>
              <w:rPr>
                <w:sz w:val="20"/>
                <w:szCs w:val="20"/>
                <w:color w:val="auto"/>
              </w:rPr>
            </w:pPr>
            <w:r>
              <w:rPr>
                <w:rFonts w:ascii="Arial" w:cs="Arial" w:eastAsia="Arial" w:hAnsi="Arial"/>
                <w:sz w:val="18"/>
                <w:szCs w:val="18"/>
                <w:color w:val="auto"/>
              </w:rPr>
              <w:t>(Loss) income before taxes</w:t>
            </w:r>
          </w:p>
        </w:tc>
        <w:tc>
          <w:tcPr>
            <w:tcW w:w="280" w:type="dxa"/>
            <w:vAlign w:val="bottom"/>
          </w:tcPr>
          <w:p>
            <w:pPr>
              <w:spacing w:after="0"/>
              <w:rPr>
                <w:sz w:val="18"/>
                <w:szCs w:val="18"/>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(4,613)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(21,301)</w:t>
            </w:r>
          </w:p>
        </w:tc>
        <w:tc>
          <w:tcPr>
            <w:tcW w:w="1240" w:type="dxa"/>
            <w:vAlign w:val="bottom"/>
          </w:tcPr>
          <w:p>
            <w:pPr>
              <w:jc w:val="right"/>
              <w:ind w:right="34"/>
              <w:spacing w:after="0"/>
              <w:rPr>
                <w:sz w:val="20"/>
                <w:szCs w:val="20"/>
                <w:color w:val="auto"/>
              </w:rPr>
            </w:pPr>
            <w:r>
              <w:rPr>
                <w:rFonts w:ascii="Arial" w:cs="Arial" w:eastAsia="Arial" w:hAnsi="Arial"/>
                <w:sz w:val="18"/>
                <w:szCs w:val="18"/>
                <w:i w:val="1"/>
                <w:iCs w:val="1"/>
                <w:color w:val="auto"/>
              </w:rPr>
              <w:t>(78.3)%</w:t>
            </w:r>
          </w:p>
        </w:tc>
        <w:tc>
          <w:tcPr>
            <w:tcW w:w="300" w:type="dxa"/>
            <w:vAlign w:val="bottom"/>
          </w:tcPr>
          <w:p>
            <w:pPr>
              <w:spacing w:after="0"/>
              <w:rPr>
                <w:sz w:val="18"/>
                <w:szCs w:val="18"/>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19,176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(129,647)</w:t>
            </w:r>
          </w:p>
        </w:tc>
        <w:tc>
          <w:tcPr>
            <w:tcW w:w="12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2,588</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(99.7)%</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5,928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(23,141)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8"/>
        </w:trPr>
        <w:tc>
          <w:tcPr>
            <w:tcW w:w="31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(4,621)</w:t>
            </w:r>
          </w:p>
        </w:tc>
        <w:tc>
          <w:tcPr>
            <w:tcW w:w="12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(23,889)</w:t>
            </w:r>
          </w:p>
        </w:tc>
        <w:tc>
          <w:tcPr>
            <w:tcW w:w="1240" w:type="dxa"/>
            <w:vAlign w:val="bottom"/>
          </w:tcPr>
          <w:p>
            <w:pPr>
              <w:jc w:val="right"/>
              <w:ind w:right="34"/>
              <w:spacing w:after="0"/>
              <w:rPr>
                <w:sz w:val="20"/>
                <w:szCs w:val="20"/>
                <w:color w:val="auto"/>
              </w:rPr>
            </w:pPr>
            <w:r>
              <w:rPr>
                <w:rFonts w:ascii="Arial" w:cs="Arial" w:eastAsia="Arial" w:hAnsi="Arial"/>
                <w:sz w:val="18"/>
                <w:szCs w:val="18"/>
                <w:i w:val="1"/>
                <w:iCs w:val="1"/>
                <w:color w:val="auto"/>
              </w:rPr>
              <w:t>(80.7)%</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13,248</w:t>
            </w:r>
          </w:p>
        </w:tc>
        <w:tc>
          <w:tcPr>
            <w:tcW w:w="100" w:type="dxa"/>
            <w:vAlign w:val="bottom"/>
          </w:tcPr>
          <w:p>
            <w:pPr>
              <w:spacing w:after="0"/>
              <w:rPr>
                <w:sz w:val="18"/>
                <w:szCs w:val="18"/>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(106,506)</w:t>
            </w:r>
          </w:p>
        </w:tc>
        <w:tc>
          <w:tcPr>
            <w:tcW w:w="12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Dividends on Series A Preferred Shares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34"/>
              <w:spacing w:after="0"/>
              <w:rPr>
                <w:sz w:val="20"/>
                <w:szCs w:val="20"/>
                <w:color w:val="auto"/>
              </w:rPr>
            </w:pPr>
            <w:r>
              <w:rPr>
                <w:rFonts w:ascii="Arial" w:cs="Arial" w:eastAsia="Arial" w:hAnsi="Arial"/>
                <w:sz w:val="18"/>
                <w:szCs w:val="18"/>
                <w:i w:val="1"/>
                <w:i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(6,125)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153"/>
        </w:trPr>
        <w:tc>
          <w:tcPr>
            <w:tcW w:w="3140" w:type="dxa"/>
            <w:vAlign w:val="bottom"/>
          </w:tcPr>
          <w:p>
            <w:pPr>
              <w:ind w:left="20"/>
              <w:spacing w:after="0" w:line="154" w:lineRule="exact"/>
              <w:rPr>
                <w:sz w:val="20"/>
                <w:szCs w:val="20"/>
                <w:color w:val="auto"/>
              </w:rPr>
            </w:pPr>
            <w:r>
              <w:rPr>
                <w:rFonts w:ascii="Arial" w:cs="Arial" w:eastAsia="Arial" w:hAnsi="Arial"/>
                <w:sz w:val="17"/>
                <w:szCs w:val="17"/>
                <w:color w:val="auto"/>
              </w:rPr>
              <w:t>Net (loss) income available to common</w:t>
            </w:r>
          </w:p>
        </w:tc>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ind w:right="74"/>
              <w:spacing w:after="0"/>
              <w:rPr>
                <w:sz w:val="20"/>
                <w:szCs w:val="20"/>
                <w:color w:val="auto"/>
              </w:rPr>
            </w:pPr>
            <w:r>
              <w:rPr>
                <w:rFonts w:ascii="Arial" w:cs="Arial" w:eastAsia="Arial" w:hAnsi="Arial"/>
                <w:sz w:val="18"/>
                <w:szCs w:val="18"/>
                <w:color w:val="auto"/>
              </w:rPr>
              <w:t>(7,246)</w:t>
            </w:r>
          </w:p>
        </w:tc>
        <w:tc>
          <w:tcPr>
            <w:tcW w:w="120" w:type="dxa"/>
            <w:vAlign w:val="bottom"/>
          </w:tcPr>
          <w:p>
            <w:pPr>
              <w:spacing w:after="0"/>
              <w:rPr>
                <w:sz w:val="13"/>
                <w:szCs w:val="13"/>
                <w:color w:val="auto"/>
              </w:rPr>
            </w:pPr>
          </w:p>
        </w:tc>
        <w:tc>
          <w:tcPr>
            <w:tcW w:w="440" w:type="dxa"/>
            <w:vAlign w:val="bottom"/>
            <w:vMerge w:val="restart"/>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92"/>
              <w:spacing w:after="0"/>
              <w:rPr>
                <w:sz w:val="20"/>
                <w:szCs w:val="20"/>
                <w:color w:val="auto"/>
              </w:rPr>
            </w:pPr>
            <w:r>
              <w:rPr>
                <w:rFonts w:ascii="Arial" w:cs="Arial" w:eastAsia="Arial" w:hAnsi="Arial"/>
                <w:sz w:val="18"/>
                <w:szCs w:val="18"/>
                <w:color w:val="auto"/>
              </w:rPr>
              <w:t>(23,889)</w:t>
            </w:r>
          </w:p>
        </w:tc>
        <w:tc>
          <w:tcPr>
            <w:tcW w:w="1240" w:type="dxa"/>
            <w:vAlign w:val="bottom"/>
          </w:tcPr>
          <w:p>
            <w:pPr>
              <w:spacing w:after="0"/>
              <w:rPr>
                <w:sz w:val="13"/>
                <w:szCs w:val="13"/>
                <w:color w:val="auto"/>
              </w:rPr>
            </w:pPr>
          </w:p>
        </w:tc>
        <w:tc>
          <w:tcPr>
            <w:tcW w:w="300" w:type="dxa"/>
            <w:vAlign w:val="bottom"/>
            <w:vMerge w:val="restart"/>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ind w:right="134"/>
              <w:spacing w:after="0"/>
              <w:rPr>
                <w:sz w:val="20"/>
                <w:szCs w:val="20"/>
                <w:color w:val="auto"/>
              </w:rPr>
            </w:pPr>
            <w:r>
              <w:rPr>
                <w:rFonts w:ascii="Arial" w:cs="Arial" w:eastAsia="Arial" w:hAnsi="Arial"/>
                <w:sz w:val="18"/>
                <w:szCs w:val="18"/>
                <w:color w:val="auto"/>
              </w:rPr>
              <w:t>7,123</w:t>
            </w:r>
          </w:p>
        </w:tc>
        <w:tc>
          <w:tcPr>
            <w:tcW w:w="100" w:type="dxa"/>
            <w:vAlign w:val="bottom"/>
          </w:tcPr>
          <w:p>
            <w:pPr>
              <w:spacing w:after="0"/>
              <w:rPr>
                <w:sz w:val="13"/>
                <w:szCs w:val="13"/>
                <w:color w:val="auto"/>
              </w:rPr>
            </w:pPr>
          </w:p>
        </w:tc>
        <w:tc>
          <w:tcPr>
            <w:tcW w:w="420" w:type="dxa"/>
            <w:vAlign w:val="bottom"/>
            <w:vMerge w:val="restart"/>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rPr>
              <w:t>(106,506)</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i w:val="1"/>
                <w:iCs w:val="1"/>
                <w:color w:val="auto"/>
              </w:rPr>
              <w:t>(69.7)%</w:t>
            </w:r>
          </w:p>
        </w:tc>
        <w:tc>
          <w:tcPr>
            <w:tcW w:w="3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 xml:space="preserve">Adjusted net operating income (loss) </w:t>
            </w:r>
            <w:r>
              <w:rPr>
                <w:rFonts w:ascii="Arial" w:cs="Arial" w:eastAsia="Arial" w:hAnsi="Arial"/>
                <w:sz w:val="14"/>
                <w:szCs w:val="14"/>
                <w:color w:val="auto"/>
                <w:w w:val="98"/>
              </w:rPr>
              <w:t>(1)</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15,499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(26,814)</w:t>
            </w:r>
          </w:p>
        </w:tc>
        <w:tc>
          <w:tcPr>
            <w:tcW w:w="12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i w:val="1"/>
                <w:iCs w:val="1"/>
                <w:color w:val="auto"/>
              </w:rPr>
              <w: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49,391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(116,780)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Ratios: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ratio</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97.3 %</w:t>
            </w: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Expense ratio</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24.8 %</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26.5 %</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Combined ratio</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122.1 %</w:t>
            </w: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Accident year loss ratio</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70.1 %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71.5 %</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67.2 %</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Accident year loss ratio ex-cat </w:t>
            </w:r>
            <w:r>
              <w:rPr>
                <w:rFonts w:ascii="Arial" w:cs="Arial" w:eastAsia="Arial" w:hAnsi="Arial"/>
                <w:sz w:val="14"/>
                <w:szCs w:val="14"/>
                <w:color w:val="auto"/>
              </w:rPr>
              <w:t>(3)</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67.5 %</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68.6 %</w:t>
            </w:r>
          </w:p>
        </w:tc>
        <w:tc>
          <w:tcPr>
            <w:tcW w:w="1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66.2 %</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Underwriting profit (loss) and adjusted net operating income (loss) are non-GAAP measures. See “Reconciliation of Non-GAAP Measures.”</w:t>
      </w:r>
    </w:p>
    <w:p>
      <w:pPr>
        <w:spacing w:after="0" w:line="69" w:lineRule="exact"/>
        <w:rPr>
          <w:rFonts w:ascii="Arial" w:cs="Arial" w:eastAsia="Arial" w:hAnsi="Arial"/>
          <w:sz w:val="17"/>
          <w:szCs w:val="17"/>
          <w:i w:val="1"/>
          <w:iCs w:val="1"/>
          <w:color w:val="auto"/>
        </w:rPr>
      </w:pPr>
    </w:p>
    <w:p>
      <w:pPr>
        <w:ind w:left="640" w:right="480" w:hanging="316"/>
        <w:spacing w:after="0" w:line="264" w:lineRule="auto"/>
        <w:tabs>
          <w:tab w:leader="none" w:pos="634"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and nine months ended September 30, 2022 is gross fee income of $5.9 million and $17.4 million, respectively ($5.6 million and $16.2 million in the respective prior year periods).</w:t>
      </w:r>
    </w:p>
    <w:p>
      <w:pPr>
        <w:spacing w:after="0" w:line="21" w:lineRule="exact"/>
        <w:rPr>
          <w:rFonts w:ascii="Arial" w:cs="Arial" w:eastAsia="Arial" w:hAnsi="Arial"/>
          <w:sz w:val="18"/>
          <w:szCs w:val="18"/>
          <w:i w:val="1"/>
          <w:iCs w:val="1"/>
          <w:color w:val="auto"/>
        </w:rPr>
      </w:pPr>
    </w:p>
    <w:p>
      <w:pPr>
        <w:ind w:left="640" w:right="160" w:hanging="316"/>
        <w:spacing w:after="0" w:line="365" w:lineRule="auto"/>
        <w:tabs>
          <w:tab w:leader="none" w:pos="634" w:val="left"/>
        </w:tabs>
        <w:numPr>
          <w:ilvl w:val="0"/>
          <w:numId w:val="16"/>
        </w:numPr>
        <w:rPr>
          <w:rFonts w:ascii="Arial" w:cs="Arial" w:eastAsia="Arial" w:hAnsi="Arial"/>
          <w:sz w:val="15"/>
          <w:szCs w:val="15"/>
          <w:i w:val="1"/>
          <w:iCs w:val="1"/>
          <w:color w:val="auto"/>
        </w:rPr>
      </w:pPr>
      <w:r>
        <w:rPr>
          <w:rFonts w:ascii="Arial" w:cs="Arial" w:eastAsia="Arial" w:hAnsi="Arial"/>
          <w:sz w:val="15"/>
          <w:szCs w:val="15"/>
          <w:i w:val="1"/>
          <w:iCs w:val="1"/>
          <w:color w:val="auto"/>
        </w:rPr>
        <w:t>Accident year loss ratio excluding $5.0 million of net catastrophe losses related to Hurricane Ian in the three and nine months ended September 30, 2022 and $5.0 million of net catastrophe losses related to Hurricane Ida in the three and nine months ended September 30, 2021.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and 2021</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produced an underwriting profit of $11.3 million and a combined ratio of 94.1% for the three months ended September 30, 2022 compared to an underwriting loss of $37.6 million and a combined ratio of 122.1% for the same period in the prior year.</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earned premiums grew by $19.6 million or 11.5% over the prior year driven by the Excess and Surplus Lines segment. Net earned premiums for the Excess and Surplus Lines segment grew by $19.3 million or 16.1% due to favorable market conditions and growth in the book. Our loss ratio improved from 97.3% in the prior year to 69.5% in the current year.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improvement was primarily driven by net reserve development on prior accident years which was $1.1 million or 0.6 percentage points favorable for the three months ended September 30, 2022 compared to $44.1 million or 25.8 percentage points of net adverse development in the three months ended September 30, 2021. The net adverse development in the prior year included $29.6 million in the Excess and Surplus Lines segment recognized with the loss portfolio transfer transaction with Aleka that was effective July 1, 2021 (discussed above) and $15.1 million in the Casualty Reinsurance segment.</w:t>
      </w:r>
    </w:p>
    <w:p>
      <w:pPr>
        <w:spacing w:after="0" w:line="4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Underwriting results in both periods include hurricane catastrophe losses in our small Excess Property book within the Excess and Surplus Lines segment. The Excess and Surplus Lines segment has a surplus share reinsurance treaty in effect that was specifically designed to cover property risks. The surplus share treaty along with facultative reinsurance helps ensure that our net retained limit per risk will be $5.0 million or less. In the three months ended September 30, 2022, the Company recorded $5.0 million (2.6 points) of net catastrophe losses for Hurricane Ian. In the three months ended September 30, 2021, the Company recorded $5.0 million (2.9 points) of net catastrophe losses for Hurricane Ida.</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Underwriting results in the prior year were also negatively impacted by $8.1 million of reinstatement premium, including $6.4 million triggered by one claim on a 2019 excess of loss treaty in the Excess and Surplus Lines segment. The reinstatement premium reduced net written and net earned premium in the quarter and increased the underwriting loss.</w:t>
      </w:r>
    </w:p>
    <w:p>
      <w:pPr>
        <w:spacing w:after="0" w:line="82"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 xml:space="preserve">As discussed above, the Company recognized adverse prior year development of $46.7 million on the reserves subject to the Commercial Auto LPT in the three months ended September 30, 2022, resulting in a corresponding additional amount ceded under the Commercial Auto LPT and requiring retroactive reinsurance accounting. A retroactive reinsurance benefit of $25.9 million was recorded in losses and loss adjustment expenses for the three months ended September 30, 2022, resulting in a net impact of $20.8 million within our net losses and loss adjustment expenses for the current period. Higher interest rates in the current year helped to boost yields in our fixed income portfolio and increase investment income, but also resulted in higher interest expense on our variable rate senior and trust preferred debt. Interest expense for the three months ended September 30, 2022 also includes $1.2 million of crediting fees on the Funds Withheld Account balance under the Retrocession Agreement. The unfavorable swing in net realized and unrealized gains and losses on investments (see </w:t>
      </w:r>
      <w:r>
        <w:rPr>
          <w:rFonts w:ascii="Arial" w:cs="Arial" w:eastAsia="Arial" w:hAnsi="Arial"/>
          <w:sz w:val="15"/>
          <w:szCs w:val="15"/>
          <w:i w:val="1"/>
          <w:iCs w:val="1"/>
          <w:color w:val="auto"/>
        </w:rPr>
        <w:t>Investing Results</w:t>
      </w:r>
      <w:r>
        <w:rPr>
          <w:rFonts w:ascii="Arial" w:cs="Arial" w:eastAsia="Arial" w:hAnsi="Arial"/>
          <w:sz w:val="15"/>
          <w:szCs w:val="15"/>
          <w:color w:val="auto"/>
        </w:rPr>
        <w:t xml:space="preserve"> below) also had a negative impact on the comparative net results for the two periods as market values of equity securities and bank loan participations have declined in the current year due to the effect of macroeconomic events on financial markets. Net income available to common shareholders for the three months ended September 30, 2022 reflects the $2.6 million of current quarter dividends on the Series A Preferred Shares.</w:t>
      </w:r>
    </w:p>
    <w:p>
      <w:pPr>
        <w:spacing w:after="0" w:line="5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Adjusted net operating income (loss) increased from a loss of $26.8 million in the three months ended September 30, 2021 to income of $15.5 million in the three months ended September 30, 2022. The turnaround was primarily driven by the improved underwriting results in the current year. Tangible equity and tangible equity per share both declined by 9.0% in the current quarter mainly due to the impact of rising interest rates, which led to $60.7 million of unrealized losses on our fixed maturity investments in other comprehensive loss. The unrealized losses are discussed further in </w:t>
      </w:r>
      <w:r>
        <w:rPr>
          <w:rFonts w:ascii="Arial" w:cs="Arial" w:eastAsia="Arial" w:hAnsi="Arial"/>
          <w:sz w:val="18"/>
          <w:szCs w:val="18"/>
          <w:i w:val="1"/>
          <w:iCs w:val="1"/>
          <w:color w:val="auto"/>
        </w:rPr>
        <w:t>Investing Results</w:t>
      </w:r>
      <w:r>
        <w:rPr>
          <w:rFonts w:ascii="Arial" w:cs="Arial" w:eastAsia="Arial" w:hAnsi="Arial"/>
          <w:sz w:val="18"/>
          <w:szCs w:val="18"/>
          <w:color w:val="auto"/>
        </w:rPr>
        <w:t xml:space="preserve"> below. Our 12.4% adjusted net operating return on tangible equity for the three months ended September 30, 2022 compared to a loss of 17.4% for the three months ended September 30,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and 2021</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produced an underwriting profit of $33.0 million and a combined ratio of 94.2% for the nine months ended September 30, 2022 compared to an underwriting loss of $179.2 million and a combined ratio of 135.6% for the same period in the prior year.</w:t>
      </w:r>
    </w:p>
    <w:p>
      <w:pPr>
        <w:spacing w:after="0" w:line="7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Consistent with the discussion of the three months above, attractive market conditions, particularly in our Excess and Surplus Lines segment, have allowed us to grow both written and earned premiums year-to-date. The Excess and Surplus Lines segment is our largest segment, comprising 60.4% of consolidated gross written premiums and 72.1% of consolidated net earned premiums year-to-date. Net earned premiums for the Excess and Surplus Lines segment increased $56.9 million or 16.2% over the prior year. Net earned premiums for our Specialty Admitted Insurance and Casualty Reinsurance segments also increased by $627,000 and $4.9 million over the prior year, respectively. The higher net earned premiums helped produce a lower expense ratio in the nine months ended September 30, 2022 as we saw growth in lines with meaningful ceding commissions and general and administrative expenses did not increase proportionately with the increase in earned premiums. Our expense ratio also benefited from 7.3% growth in fee income for our Specialty Admitted Insurance segment and lower commissions in our Casualty Reinsurance segment due to the mix of business and commission slides.</w:t>
      </w:r>
    </w:p>
    <w:p>
      <w:pPr>
        <w:spacing w:after="0" w:line="4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The loss ratio for the nine months ended September 30, 2022 includes $4.1 million, or 0.7 percentage points, of net adverse reserve development on prior accident years. As outlined in the </w:t>
      </w:r>
      <w:r>
        <w:rPr>
          <w:rFonts w:ascii="Arial" w:cs="Arial" w:eastAsia="Arial" w:hAnsi="Arial"/>
          <w:sz w:val="15"/>
          <w:szCs w:val="15"/>
          <w:i w:val="1"/>
          <w:iCs w:val="1"/>
          <w:color w:val="auto"/>
        </w:rPr>
        <w:t>“Strategic Actions”</w:t>
      </w:r>
      <w:r>
        <w:rPr>
          <w:rFonts w:ascii="Arial" w:cs="Arial" w:eastAsia="Arial" w:hAnsi="Arial"/>
          <w:sz w:val="15"/>
          <w:szCs w:val="15"/>
          <w:color w:val="auto"/>
        </w:rPr>
        <w:t xml:space="preserve"> above, on February 23, 2022, JRG Re entered into the Retrocession Agreement to reinsure the majority of the Casualty Reinsurance segment's reserves. The Casualty Reinsurance segment incurred losses of $11.5 million associated with the Retrocession Agreement, including $6.8 million of net adverse reserve development on prior accident years and $4.7 million of current accident year losses, and representing 2.0 points of our loss ratio for the nine months ended September 30, 2022. The $6.8 million of net adverse development in the Casualty Reinsurance segment was partially offset by $2.8 million of net favorable reserve development on prior accident years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in the Specialty Admitted Insurance segment in the nine months ended September 30, 2022. The loss ratio for the nine months ended September 30, 2021 included $210.8 million (41.8 percentage points) of net adverse reserve development on prior accident years, including $190.7 million of net adverse development from the Excess and Surplus Lines segment almost entirely related to a previously canceled commercial auto account (see </w:t>
      </w:r>
      <w:r>
        <w:rPr>
          <w:rFonts w:ascii="Arial" w:cs="Arial" w:eastAsia="Arial" w:hAnsi="Arial"/>
          <w:sz w:val="17"/>
          <w:szCs w:val="17"/>
          <w:i w:val="1"/>
          <w:iCs w:val="1"/>
          <w:color w:val="auto"/>
        </w:rPr>
        <w:t>Segment Results</w:t>
      </w:r>
      <w:r>
        <w:rPr>
          <w:rFonts w:ascii="Arial" w:cs="Arial" w:eastAsia="Arial" w:hAnsi="Arial"/>
          <w:sz w:val="17"/>
          <w:szCs w:val="17"/>
          <w:color w:val="auto"/>
        </w:rPr>
        <w:t xml:space="preserve"> below for further discussion). Current accident year losses in both nine month periods include $5.0 million of net catastrophe losses (Hurricane Ian in the current year and Hurricane Ida in the prior year) as discussed above in the three month comparative section. The higher current accident year loss ratio excluding catastrophe losses (67.1% compared to 66.2% for the nine months ended September 30, 2021) largely reflects current actuarial indications and higher loss trends in our Specialty Admitted Insurance segment and the $4.7 million of current accident year losses in the Casualty Reinsurance segment associated with the Retrocession Agreement.</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Underwriting results in the prior year were also negatively impacted by $8.1 million of reinstatement premium, including $6.4 million triggered by one claim on a 2019 excess of loss treaty in the Excess and Surplus Lines segment. The reinstatement premium reduced net written and net earned premium and increased the underwriting loss.</w:t>
      </w:r>
    </w:p>
    <w:p>
      <w:pPr>
        <w:spacing w:after="0" w:line="8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Our net income increased over the prior year due to the improved underwriting results and higher net investment income boosted by higher yields in the current year, with partially offsetting items including the $20.8 million of retroactive reinsurance losses and loss adjustment expenses under the Commercial Auto LPT (see </w:t>
      </w:r>
      <w:r>
        <w:rPr>
          <w:rFonts w:ascii="Arial" w:cs="Arial" w:eastAsia="Arial" w:hAnsi="Arial"/>
          <w:sz w:val="15"/>
          <w:szCs w:val="15"/>
          <w:i w:val="1"/>
          <w:iCs w:val="1"/>
          <w:color w:val="auto"/>
        </w:rPr>
        <w:t>Three Months Ended September 30, 2022 and 2021</w:t>
      </w:r>
      <w:r>
        <w:rPr>
          <w:rFonts w:ascii="Arial" w:cs="Arial" w:eastAsia="Arial" w:hAnsi="Arial"/>
          <w:sz w:val="15"/>
          <w:szCs w:val="15"/>
          <w:color w:val="auto"/>
        </w:rPr>
        <w:t xml:space="preserve">), the unfavorable swing in net realized and unrealized gains and losses on investments (see </w:t>
      </w:r>
      <w:r>
        <w:rPr>
          <w:rFonts w:ascii="Arial" w:cs="Arial" w:eastAsia="Arial" w:hAnsi="Arial"/>
          <w:sz w:val="15"/>
          <w:szCs w:val="15"/>
          <w:i w:val="1"/>
          <w:iCs w:val="1"/>
          <w:color w:val="auto"/>
        </w:rPr>
        <w:t>Investing Results</w:t>
      </w:r>
      <w:r>
        <w:rPr>
          <w:rFonts w:ascii="Arial" w:cs="Arial" w:eastAsia="Arial" w:hAnsi="Arial"/>
          <w:sz w:val="15"/>
          <w:szCs w:val="15"/>
          <w:color w:val="auto"/>
        </w:rPr>
        <w:t>), and higher interest expense. Interest expense for the nine months ended September 30, 2022 includes $2.6 million of crediting fees on the</w:t>
      </w:r>
      <w:r>
        <w:rPr>
          <w:rFonts w:ascii="Arial" w:cs="Arial" w:eastAsia="Arial" w:hAnsi="Arial"/>
          <w:sz w:val="15"/>
          <w:szCs w:val="15"/>
          <w:i w:val="1"/>
          <w:iCs w:val="1"/>
          <w:color w:val="auto"/>
        </w:rPr>
        <w:t xml:space="preserve"> </w:t>
      </w:r>
      <w:r>
        <w:rPr>
          <w:rFonts w:ascii="Arial" w:cs="Arial" w:eastAsia="Arial" w:hAnsi="Arial"/>
          <w:sz w:val="15"/>
          <w:szCs w:val="15"/>
          <w:color w:val="auto"/>
        </w:rPr>
        <w:t>Funds Withheld Account balance under the Retrocession Agreement. Net income available to common shareholders for the nine months ended September 30, 2022 reflects the $6.1 million of current year dividends on the Series A Preferred Shares issued March 1, 2022.</w:t>
      </w:r>
    </w:p>
    <w:p>
      <w:pPr>
        <w:spacing w:after="0" w:line="4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 xml:space="preserve">Adjusted net operating income (loss) improved from a $116.8 million loss in the nine months ended September 30, 2021 to income of $49.4 million in the nine months ended September 30, 2022. Tangible equity decreased by 6.4% year-to-date as net income of $13.2 million and proceeds from the Series A Preferred Share issuance of $144.9 million were offset by $205.2 million of unrealized losses on our fixed maturity investments in other comprehensive loss (see </w:t>
      </w:r>
      <w:r>
        <w:rPr>
          <w:rFonts w:ascii="Arial" w:cs="Arial" w:eastAsia="Arial" w:hAnsi="Arial"/>
          <w:sz w:val="17"/>
          <w:szCs w:val="17"/>
          <w:i w:val="1"/>
          <w:iCs w:val="1"/>
          <w:color w:val="auto"/>
        </w:rPr>
        <w:t>Investing Results</w:t>
      </w:r>
      <w:r>
        <w:rPr>
          <w:rFonts w:ascii="Arial" w:cs="Arial" w:eastAsia="Arial" w:hAnsi="Arial"/>
          <w:sz w:val="17"/>
          <w:szCs w:val="17"/>
          <w:color w:val="auto"/>
        </w:rPr>
        <w:t xml:space="preserve"> below). Tangible equity per share decreased by 18.8% year-to-date reflecting the decrease in tangible equity over a larger share count including an assumed conversion of the Series A Preferred Shares. Our year-to-date adjusted net operating return on tangible equity of 12.7% compares favorably to the prior year loss of 27.9% and reflects the turnaround in underwriting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Insurance premiums are earned ratably over the terms of our insurance policies, generally twelve months. Reinsurance premiums assumed are earned over the terms of the underlying policies or reinsurance contracts. Reinsurance contracts written on a “losses occurring” basis cover claims that may occur during the term of the contract or underlying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or more in proportion to the level of underlying exposure.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change in premium volume by component and business segment: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vMerge w:val="restart"/>
          </w:tcPr>
          <w:p>
            <w:pPr>
              <w:jc w:val="center"/>
              <w:ind w:left="35"/>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236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gridSpan w:val="2"/>
            <w:vMerge w:val="restart"/>
          </w:tcPr>
          <w:p>
            <w:pPr>
              <w:jc w:val="right"/>
              <w:ind w:right="40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18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18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jc w:val="center"/>
              <w:ind w:left="55"/>
              <w:spacing w:after="0"/>
              <w:rPr>
                <w:sz w:val="20"/>
                <w:szCs w:val="20"/>
                <w:color w:val="auto"/>
              </w:rPr>
            </w:pPr>
            <w:r>
              <w:rPr>
                <w:rFonts w:ascii="Arial" w:cs="Arial" w:eastAsia="Arial" w:hAnsi="Arial"/>
                <w:sz w:val="14"/>
                <w:szCs w:val="14"/>
                <w:b w:val="1"/>
                <w:bCs w:val="1"/>
                <w:i w:val="1"/>
                <w:iCs w:val="1"/>
                <w:color w:val="auto"/>
                <w:w w:val="88"/>
              </w:rPr>
              <w:t>($ in thousands)</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Arial" w:cs="Arial" w:eastAsia="Arial" w:hAnsi="Arial"/>
                <w:sz w:val="18"/>
                <w:szCs w:val="18"/>
                <w:color w:val="auto"/>
              </w:rPr>
              <w:t>Excess and Surplus Lines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204,785</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217,673</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(5.9)%</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675,702</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613,045</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10.2 %</w:t>
            </w: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Admitted Insurance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1.8 %</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(0.9)%</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Casualty Reinsurance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7,751</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291.3 %</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109,555</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(37.6)%</w:t>
            </w: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358,505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346,599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3.4 %</w:t>
            </w:r>
          </w:p>
        </w:tc>
        <w:tc>
          <w:tcPr>
            <w:tcW w:w="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1,118,155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1,100,000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1.7 %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written premiums: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4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and Surplus Lines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10.2 %</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371,477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16.5 %</w:t>
            </w: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Arial" w:cs="Arial" w:eastAsia="Arial" w:hAnsi="Arial"/>
                <w:sz w:val="18"/>
                <w:szCs w:val="18"/>
                <w:color w:val="auto"/>
              </w:rPr>
              <w:t>Specialty Admitted Insurance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22,578</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(16.2)%</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57,524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66,081</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(12.9)%</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Casualty Reinsurance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291.4 %</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70,579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88,855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(20.6)%</w:t>
            </w:r>
          </w:p>
        </w:tc>
        <w:tc>
          <w:tcPr>
            <w:tcW w:w="0" w:type="dxa"/>
            <w:vAlign w:val="bottom"/>
          </w:tcPr>
          <w:p>
            <w:pPr>
              <w:spacing w:after="0"/>
              <w:rPr>
                <w:sz w:val="1"/>
                <w:szCs w:val="1"/>
                <w:color w:val="auto"/>
              </w:rPr>
            </w:pPr>
          </w:p>
        </w:tc>
      </w:tr>
      <w:tr>
        <w:trPr>
          <w:trHeight w:val="219"/>
        </w:trPr>
        <w:tc>
          <w:tcPr>
            <w:tcW w:w="34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190,251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158,210</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20.3 %</w:t>
            </w: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560,801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526,413</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6.5 %</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Arial" w:cs="Arial" w:eastAsia="Arial" w:hAnsi="Arial"/>
                <w:sz w:val="18"/>
                <w:szCs w:val="18"/>
                <w:color w:val="auto"/>
              </w:rPr>
              <w:t>Excess and Surplus Lines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139,095</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119,760</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16.1 %</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408,280</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351,413</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16.2 %</w:t>
            </w: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Admitted Insurance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(9.5)%</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1.1 %</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Casualty Reinsurance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31,144</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6.8 %</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97,837</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5.0 %</w:t>
            </w: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190,189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170,608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11.5 %</w:t>
            </w:r>
          </w:p>
        </w:tc>
        <w:tc>
          <w:tcPr>
            <w:tcW w:w="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566,275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503,906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12.4 %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Gross written premiums for the Excess and Surplus Lines segment (which represents 60.4% of our consolidated gross written premiums in the nine months ended September 30, 2022) decreased 5.9% and increased 10.2% from the corresponding three and nine month periods in the prior year. The decline for the comparable three month periods was driven by discrete actions taken on renewal business that did not meet our risk appetite. Total policy submissions for Core E&amp;S lines (excluding commercial auto) declined 4.9% from the prior year to date, but renewal submissions increased 14.0% and our ratio of bound policies to quoted policies improved generating 1.7% more bound policies in the nine months ended September 30, 2022 than in the nine months ended September 30, 2021. The total number of policies in force for the segment increased 7.3% over the prior year. Renewal rates for the Excess and Surplus Lines segment were up 10.9% compared to the nine months ended September 30, 2021. The change in gross written premiums compared to the same period in 2021 was notable in several divisions as shown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4"/>
                <w:szCs w:val="14"/>
                <w:b w:val="1"/>
                <w:bCs w:val="1"/>
                <w:i w:val="1"/>
                <w:iCs w:val="1"/>
                <w:color w:val="auto"/>
              </w:rPr>
              <w:t>($ in thousands)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Casualty</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(10.7)%</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220,328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204,704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7.6 %</w:t>
            </w:r>
          </w:p>
        </w:tc>
        <w:tc>
          <w:tcPr>
            <w:tcW w:w="0" w:type="dxa"/>
            <w:vAlign w:val="bottom"/>
          </w:tcPr>
          <w:p>
            <w:pPr>
              <w:spacing w:after="0"/>
              <w:rPr>
                <w:sz w:val="1"/>
                <w:szCs w:val="1"/>
                <w:color w:val="auto"/>
              </w:rPr>
            </w:pPr>
          </w:p>
        </w:tc>
      </w:tr>
      <w:tr>
        <w:trPr>
          <w:trHeight w:val="225"/>
        </w:trPr>
        <w:tc>
          <w:tcPr>
            <w:tcW w:w="3440" w:type="dxa"/>
            <w:vAlign w:val="bottom"/>
          </w:tcPr>
          <w:p>
            <w:pPr>
              <w:ind w:left="20"/>
              <w:spacing w:after="0"/>
              <w:rPr>
                <w:sz w:val="20"/>
                <w:szCs w:val="20"/>
                <w:color w:val="auto"/>
              </w:rPr>
            </w:pPr>
            <w:r>
              <w:rPr>
                <w:rFonts w:ascii="Arial" w:cs="Arial" w:eastAsia="Arial" w:hAnsi="Arial"/>
                <w:sz w:val="18"/>
                <w:szCs w:val="18"/>
                <w:color w:val="auto"/>
              </w:rPr>
              <w:t>General Casualty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31,899</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4.5 %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122,835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103,120</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19.1 %</w:t>
            </w:r>
          </w:p>
        </w:tc>
        <w:tc>
          <w:tcPr>
            <w:tcW w:w="0" w:type="dxa"/>
            <w:vAlign w:val="bottom"/>
          </w:tcPr>
          <w:p>
            <w:pPr>
              <w:spacing w:after="0"/>
              <w:rPr>
                <w:sz w:val="1"/>
                <w:szCs w:val="1"/>
                <w:color w:val="auto"/>
              </w:rPr>
            </w:pPr>
          </w:p>
        </w:tc>
      </w:tr>
      <w:tr>
        <w:trPr>
          <w:trHeight w:val="22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Manufacturers &amp; Contractors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10.7 %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14.0 %</w:t>
            </w:r>
          </w:p>
        </w:tc>
        <w:tc>
          <w:tcPr>
            <w:tcW w:w="0" w:type="dxa"/>
            <w:vAlign w:val="bottom"/>
          </w:tcPr>
          <w:p>
            <w:pPr>
              <w:spacing w:after="0"/>
              <w:rPr>
                <w:sz w:val="1"/>
                <w:szCs w:val="1"/>
                <w:color w:val="auto"/>
              </w:rPr>
            </w:pPr>
          </w:p>
        </w:tc>
      </w:tr>
      <w:tr>
        <w:trPr>
          <w:trHeight w:val="225"/>
        </w:trPr>
        <w:tc>
          <w:tcPr>
            <w:tcW w:w="3440" w:type="dxa"/>
            <w:vAlign w:val="bottom"/>
          </w:tcPr>
          <w:p>
            <w:pPr>
              <w:ind w:left="20"/>
              <w:spacing w:after="0"/>
              <w:rPr>
                <w:sz w:val="20"/>
                <w:szCs w:val="20"/>
                <w:color w:val="auto"/>
              </w:rPr>
            </w:pPr>
            <w:r>
              <w:rPr>
                <w:rFonts w:ascii="Arial" w:cs="Arial" w:eastAsia="Arial" w:hAnsi="Arial"/>
                <w:sz w:val="18"/>
                <w:szCs w:val="18"/>
                <w:color w:val="auto"/>
              </w:rPr>
              <w:t>Excess Property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9,376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10,787</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35,306</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10.2 %</w:t>
            </w:r>
          </w:p>
        </w:tc>
        <w:tc>
          <w:tcPr>
            <w:tcW w:w="0" w:type="dxa"/>
            <w:vAlign w:val="bottom"/>
          </w:tcPr>
          <w:p>
            <w:pPr>
              <w:spacing w:after="0"/>
              <w:rPr>
                <w:sz w:val="1"/>
                <w:szCs w:val="1"/>
                <w:color w:val="auto"/>
              </w:rPr>
            </w:pPr>
          </w:p>
        </w:tc>
      </w:tr>
      <w:tr>
        <w:trPr>
          <w:trHeight w:val="22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(0.8)%</w:t>
            </w:r>
          </w:p>
        </w:tc>
        <w:tc>
          <w:tcPr>
            <w:tcW w:w="0" w:type="dxa"/>
            <w:vAlign w:val="bottom"/>
          </w:tcPr>
          <w:p>
            <w:pPr>
              <w:spacing w:after="0"/>
              <w:rPr>
                <w:sz w:val="1"/>
                <w:szCs w:val="1"/>
                <w:color w:val="auto"/>
              </w:rPr>
            </w:pPr>
          </w:p>
        </w:tc>
      </w:tr>
      <w:tr>
        <w:trPr>
          <w:trHeight w:val="225"/>
        </w:trPr>
        <w:tc>
          <w:tcPr>
            <w:tcW w:w="3440" w:type="dxa"/>
            <w:vAlign w:val="bottom"/>
          </w:tcPr>
          <w:p>
            <w:pPr>
              <w:ind w:left="20"/>
              <w:spacing w:after="0"/>
              <w:rPr>
                <w:sz w:val="20"/>
                <w:szCs w:val="20"/>
                <w:color w:val="auto"/>
              </w:rPr>
            </w:pPr>
            <w:r>
              <w:rPr>
                <w:rFonts w:ascii="Arial" w:cs="Arial" w:eastAsia="Arial" w:hAnsi="Arial"/>
                <w:sz w:val="18"/>
                <w:szCs w:val="18"/>
                <w:color w:val="auto"/>
              </w:rPr>
              <w:t>Small Business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8,364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8,116</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3.1 %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24,201</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14.6 %</w:t>
            </w:r>
          </w:p>
        </w:tc>
        <w:tc>
          <w:tcPr>
            <w:tcW w:w="0" w:type="dxa"/>
            <w:vAlign w:val="bottom"/>
          </w:tcPr>
          <w:p>
            <w:pPr>
              <w:spacing w:after="0"/>
              <w:rPr>
                <w:sz w:val="1"/>
                <w:szCs w:val="1"/>
                <w:color w:val="auto"/>
              </w:rPr>
            </w:pPr>
          </w:p>
        </w:tc>
      </w:tr>
      <w:tr>
        <w:trPr>
          <w:trHeight w:val="22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Life Sciences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(6.8)%</w:t>
            </w:r>
          </w:p>
        </w:tc>
        <w:tc>
          <w:tcPr>
            <w:tcW w:w="0" w:type="dxa"/>
            <w:vAlign w:val="bottom"/>
          </w:tcPr>
          <w:p>
            <w:pPr>
              <w:spacing w:after="0"/>
              <w:rPr>
                <w:sz w:val="1"/>
                <w:szCs w:val="1"/>
                <w:color w:val="auto"/>
              </w:rPr>
            </w:pPr>
          </w:p>
        </w:tc>
      </w:tr>
      <w:tr>
        <w:trPr>
          <w:trHeight w:val="225"/>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Core E&amp;S divisions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19,477</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55,494</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6.3 %</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Core E&amp;S divisions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199,580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582,177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10.0 %</w:t>
            </w:r>
          </w:p>
        </w:tc>
        <w:tc>
          <w:tcPr>
            <w:tcW w:w="0" w:type="dxa"/>
            <w:vAlign w:val="bottom"/>
          </w:tcPr>
          <w:p>
            <w:pPr>
              <w:spacing w:after="0"/>
              <w:rPr>
                <w:sz w:val="1"/>
                <w:szCs w:val="1"/>
                <w:color w:val="auto"/>
              </w:rPr>
            </w:pPr>
          </w:p>
        </w:tc>
      </w:tr>
      <w:tr>
        <w:trPr>
          <w:trHeight w:val="225"/>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Auto</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18,093</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(10.7)%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30,868</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14.1 %</w:t>
            </w:r>
          </w:p>
        </w:tc>
        <w:tc>
          <w:tcPr>
            <w:tcW w:w="0" w:type="dxa"/>
            <w:vAlign w:val="bottom"/>
          </w:tcPr>
          <w:p>
            <w:pPr>
              <w:spacing w:after="0"/>
              <w:rPr>
                <w:sz w:val="1"/>
                <w:szCs w:val="1"/>
                <w:color w:val="auto"/>
              </w:rPr>
            </w:pPr>
          </w:p>
        </w:tc>
      </w:tr>
      <w:tr>
        <w:trPr>
          <w:trHeight w:val="154"/>
        </w:trPr>
        <w:tc>
          <w:tcPr>
            <w:tcW w:w="344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Excess and Surplus Lines gross written</w:t>
            </w:r>
          </w:p>
        </w:tc>
        <w:tc>
          <w:tcPr>
            <w:tcW w:w="3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204,785</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217,673</w:t>
            </w:r>
          </w:p>
        </w:tc>
        <w:tc>
          <w:tcPr>
            <w:tcW w:w="120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675,702</w:t>
            </w: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613,045</w:t>
            </w: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premium</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(5.9)%</w:t>
            </w:r>
          </w:p>
        </w:tc>
        <w:tc>
          <w:tcPr>
            <w:tcW w:w="560" w:type="dxa"/>
            <w:vAlign w:val="bottom"/>
            <w:tcBorders>
              <w:bottom w:val="single" w:sz="8" w:color="auto"/>
            </w:tcBorders>
            <w:gridSpan w:val="2"/>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10.2 %</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3"/>
        </w:trPr>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ind w:right="273"/>
              <w:spacing w:after="0"/>
              <w:rPr>
                <w:sz w:val="20"/>
                <w:szCs w:val="20"/>
                <w:color w:val="auto"/>
              </w:rPr>
            </w:pPr>
            <w:r>
              <w:rPr>
                <w:rFonts w:ascii="Arial" w:cs="Arial" w:eastAsia="Arial" w:hAnsi="Arial"/>
                <w:sz w:val="18"/>
                <w:szCs w:val="18"/>
                <w:color w:val="auto"/>
              </w:rPr>
              <w:t>40</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4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components of gross written premiums for the Specialty Admitted Insurance segment (which represents 33.5% of our consolidated gross written premiums for the nine months ended September 30, 2022)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4"/>
                <w:szCs w:val="14"/>
                <w:b w:val="1"/>
                <w:bCs w:val="1"/>
                <w:i w:val="1"/>
                <w:iCs w:val="1"/>
                <w:color w:val="auto"/>
              </w:rPr>
              <w:t>($ in thousands)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Individual risk workers’ compensation</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12,344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(8.3)%</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39,833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(9.3)%</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Fronting and program premium</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111,045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107,714</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3.1 %</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334,233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333,503</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0.2 %</w:t>
            </w: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Specialty Admitted gross written premium</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123,389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121,175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1.8 %</w:t>
            </w:r>
          </w:p>
        </w:tc>
        <w:tc>
          <w:tcPr>
            <w:tcW w:w="58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374,066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(0.9)%</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Individual risk workers' compensation premium declined for the comparable three and nine month periods reflecting the soft market conditions currently present for workers' compensation. Our fronting written premium increased slightly from the prior year driven by new fronting relationships in the current year and the continued expansion of existing fronting relationships (together representing increases of $13.0 million or 19.2% and $41.8 million or 20.1% for the three and nine months ended September 30, 2022, respectively), and partially offset by the loss of one relationship from merger and acquisition activity at a general agent and a decline in written premium for our largest fronting relationship. Gross written premium for our largest fronting relationship declined from $30.7 million and $94.9 million for the three and nine months ended September 30, 2021, respectively, to $30.0 million and $84.8 million for the three and nine months ended September 30, 2022, respectively, reflecting a very competitive market for workers' compensation in California. Our largest fronting relationship represented 22.7% of the segment's gross written premium in the nine months ended September 30, 2022 down from 25.2% in the nine months ended September 30, 2021.</w:t>
      </w:r>
    </w:p>
    <w:p>
      <w:pPr>
        <w:spacing w:after="0" w:line="7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Gross written premiums for the Casualty Reinsurance segment (which represents 6.1% of our consolidated gross written premiums in the first nine months of 2022) increased $22.6 million over the corresponding three month period in the prior year primarily driven by premium adjustments and a timing difference with one renewal and extension. For the comparable nine month periods, gross written premiums decreased $41.2 million or 37.6% reflecting our current strategic focus on downsizing the Casualty Reinsurance third party book, which has resulted in the nonrenewal of several treaties in the current year and lower participations on certain renewing treaties.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Retention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net premium retention is summarized by segment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220" w:type="dxa"/>
            <w:vAlign w:val="bottom"/>
            <w:gridSpan w:val="3"/>
          </w:tcPr>
          <w:p>
            <w:pPr>
              <w:jc w:val="center"/>
              <w:ind w:left="819"/>
              <w:spacing w:after="0"/>
              <w:rPr>
                <w:sz w:val="20"/>
                <w:szCs w:val="20"/>
                <w:color w:val="auto"/>
              </w:rPr>
            </w:pPr>
            <w:r>
              <w:rPr>
                <w:rFonts w:ascii="Arial" w:cs="Arial" w:eastAsia="Arial" w:hAnsi="Arial"/>
                <w:sz w:val="14"/>
                <w:szCs w:val="14"/>
                <w:b w:val="1"/>
                <w:bCs w:val="1"/>
                <w:color w:val="auto"/>
                <w:w w:val="92"/>
              </w:rPr>
              <w:t>Three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3"/>
          </w:tcPr>
          <w:p>
            <w:pPr>
              <w:jc w:val="center"/>
              <w:ind w:left="839"/>
              <w:spacing w:after="0"/>
              <w:rPr>
                <w:sz w:val="20"/>
                <w:szCs w:val="20"/>
                <w:color w:val="auto"/>
              </w:rPr>
            </w:pPr>
            <w:r>
              <w:rPr>
                <w:rFonts w:ascii="Arial" w:cs="Arial" w:eastAsia="Arial" w:hAnsi="Arial"/>
                <w:sz w:val="14"/>
                <w:szCs w:val="14"/>
                <w:b w:val="1"/>
                <w:bCs w:val="1"/>
                <w:color w:val="auto"/>
                <w:w w:val="91"/>
              </w:rPr>
              <w:t>Nine Months Ended</w:t>
            </w:r>
          </w:p>
        </w:tc>
        <w:tc>
          <w:tcPr>
            <w:tcW w:w="920" w:type="dxa"/>
            <w:vAlign w:val="bottom"/>
          </w:tcPr>
          <w:p>
            <w:pPr>
              <w:spacing w:after="0"/>
              <w:rPr>
                <w:sz w:val="14"/>
                <w:szCs w:val="14"/>
                <w:color w:val="auto"/>
              </w:rPr>
            </w:pPr>
          </w:p>
        </w:tc>
      </w:tr>
      <w:tr>
        <w:trPr>
          <w:trHeight w:val="192"/>
        </w:trPr>
        <w:tc>
          <w:tcPr>
            <w:tcW w:w="488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4"/>
                <w:szCs w:val="14"/>
                <w:b w:val="1"/>
                <w:bCs w:val="1"/>
                <w:color w:val="auto"/>
                <w:w w:val="89"/>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r>
      <w:tr>
        <w:trPr>
          <w:trHeight w:val="192"/>
        </w:trPr>
        <w:tc>
          <w:tcPr>
            <w:tcW w:w="48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89"/>
              </w:rPr>
              <w:t>2021</w:t>
            </w:r>
          </w:p>
        </w:tc>
      </w:tr>
      <w:tr>
        <w:trPr>
          <w:trHeight w:val="225"/>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60.6 %</w:t>
            </w:r>
          </w:p>
        </w:tc>
      </w:tr>
      <w:tr>
        <w:trPr>
          <w:trHeight w:val="225"/>
        </w:trPr>
        <w:tc>
          <w:tcPr>
            <w:tcW w:w="488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1520" w:type="dxa"/>
            <w:vAlign w:val="bottom"/>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15.4 %</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17.5 %</w:t>
            </w:r>
          </w:p>
        </w:tc>
      </w:tr>
      <w:tr>
        <w:trPr>
          <w:trHeight w:val="22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81.1 %</w:t>
            </w:r>
          </w:p>
        </w:tc>
      </w:tr>
      <w:tr>
        <w:trPr>
          <w:trHeight w:val="224"/>
        </w:trPr>
        <w:tc>
          <w:tcPr>
            <w:tcW w:w="488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Pr>
          <w:p>
            <w:pPr>
              <w:jc w:val="right"/>
              <w:spacing w:after="0"/>
              <w:rPr>
                <w:sz w:val="20"/>
                <w:szCs w:val="20"/>
                <w:color w:val="auto"/>
              </w:rPr>
            </w:pPr>
            <w:r>
              <w:rPr>
                <w:rFonts w:ascii="Arial" w:cs="Arial" w:eastAsia="Arial" w:hAnsi="Arial"/>
                <w:sz w:val="18"/>
                <w:szCs w:val="18"/>
                <w:color w:val="auto"/>
              </w:rPr>
              <w:t>53.1 %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50.2 %</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47.9 %</w:t>
            </w:r>
          </w:p>
        </w:tc>
      </w:tr>
    </w:tbl>
    <w:p>
      <w:pPr>
        <w:spacing w:after="0" w:line="17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net premium retention for the Excess and Surplus Lines segment increased relative to the three and nine month periods of the prior year. The segment's Excess Casualty division, which comprises approximately one-third of the segment's gross written premiums in the nine months ended September 30, 2022 and 2021, cedes a high percentage of written premiums under a reinsurance treaty and changes in growth rates of this division can impact comparable premium retention ratios for the segment. Effective with the current quarter, we increased our retention on the reinsurance treaty applicable to the Excess Casualty division. Net retention for the Excess Casualty division was 27.8% and 14.6% for the comparable three month periods, and 17.9% and 14.3% for the respective nine month periods. Net retention in the prior year was impacted by the aforementioned $8.1 million of reinstatement premium in the prior year third quarter which reduced net written premium and the net retention for the prior year quarter and year to date.</w:t>
      </w:r>
    </w:p>
    <w:p>
      <w:pPr>
        <w:spacing w:after="0" w:line="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net premium retention for the Specialty Admitted Insurance segment decreased for the three and nine months ended September 30, 2022 as compared to the prior year periods primarily due to a lower retention in the fronting business reflecting the mix of business and changes in reinsurance coverage as treaties renew. The net retention on the segment’s fronting business was 13.8% and 13.6% for the three and nine months ended September 30, 2022, respectively, compared to 17.7% and 16.3%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for the three and nine months ended September 30, 2021, respectively. The net retention on the individual risk workers’ compensation business was 29.6% and 29.9% for the three and nine months ended September 30, 2022, respectively, compared to 25.7% and 27.1% for the three and nine months ended September 30, 2021. The renewal of the workers' compensation quota share treaty on January 1, 2022 resulted in a higher retention for this business.</w:t>
      </w:r>
    </w:p>
    <w:p>
      <w:pPr>
        <w:spacing w:after="0" w:line="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Casualty Reinsurance segment previously wrote a retrocessional treaty/fronting arrangement under which 100% of the premiums were ceded. The treaty was nonrenewed for 2022 and net retentions above 100% in the current year reflect adjustments to prior year assumed and ceded written premiums on the treaty.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combined ratios by segment: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gridSpan w:val="4"/>
          </w:tcPr>
          <w:p>
            <w:pPr>
              <w:jc w:val="right"/>
              <w:ind w:right="61"/>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Nine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60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89"/>
              </w:rPr>
              <w:t>2022</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53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5"/>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88.2 %</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118.0 %</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85.3 %</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141.4 %</w:t>
            </w: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9"/>
              </w:rPr>
              <w:t>98.4 %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84.3 %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96.8 %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88.1 %</w:t>
            </w: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90.9 %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138.2 %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103.6 %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117.2 %</w:t>
            </w:r>
          </w:p>
        </w:tc>
        <w:tc>
          <w:tcPr>
            <w:tcW w:w="0" w:type="dxa"/>
            <w:vAlign w:val="bottom"/>
          </w:tcPr>
          <w:p>
            <w:pPr>
              <w:spacing w:after="0"/>
              <w:rPr>
                <w:sz w:val="1"/>
                <w:szCs w:val="1"/>
                <w:color w:val="auto"/>
              </w:rPr>
            </w:pPr>
          </w:p>
        </w:tc>
      </w:tr>
      <w:tr>
        <w:trPr>
          <w:trHeight w:val="224"/>
        </w:trPr>
        <w:tc>
          <w:tcPr>
            <w:tcW w:w="31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9"/>
              </w:rPr>
              <w:t>94.1 %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122.1 %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94.2 %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135.6 %</w:t>
            </w:r>
          </w:p>
        </w:tc>
        <w:tc>
          <w:tcPr>
            <w:tcW w:w="0" w:type="dxa"/>
            <w:vAlign w:val="bottom"/>
          </w:tcPr>
          <w:p>
            <w:pPr>
              <w:spacing w:after="0"/>
              <w:rPr>
                <w:sz w:val="1"/>
                <w:szCs w:val="1"/>
                <w:color w:val="auto"/>
              </w:rPr>
            </w:pPr>
          </w:p>
        </w:tc>
      </w:tr>
      <w:tr>
        <w:trPr>
          <w:trHeight w:val="464"/>
        </w:trPr>
        <w:tc>
          <w:tcPr>
            <w:tcW w:w="3140" w:type="dxa"/>
            <w:vAlign w:val="bottom"/>
          </w:tcPr>
          <w:p>
            <w:pPr>
              <w:spacing w:after="0"/>
              <w:rPr>
                <w:sz w:val="20"/>
                <w:szCs w:val="20"/>
                <w:color w:val="auto"/>
              </w:rPr>
            </w:pPr>
            <w:r>
              <w:rPr>
                <w:rFonts w:ascii="Arial" w:cs="Arial" w:eastAsia="Arial" w:hAnsi="Arial"/>
                <w:sz w:val="18"/>
                <w:szCs w:val="18"/>
                <w:i w:val="1"/>
                <w:iCs w:val="1"/>
                <w:color w:val="auto"/>
              </w:rPr>
              <w:t>Excess and Surplus Lines Segment</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60" w:type="dxa"/>
            <w:vAlign w:val="bottom"/>
            <w:gridSpan w:val="6"/>
          </w:tcPr>
          <w:p>
            <w:pPr>
              <w:ind w:left="320"/>
              <w:spacing w:after="0"/>
              <w:rPr>
                <w:sz w:val="20"/>
                <w:szCs w:val="20"/>
                <w:color w:val="auto"/>
              </w:rPr>
            </w:pPr>
            <w:r>
              <w:rPr>
                <w:rFonts w:ascii="Arial" w:cs="Arial" w:eastAsia="Arial" w:hAnsi="Arial"/>
                <w:sz w:val="18"/>
                <w:szCs w:val="18"/>
                <w:color w:val="auto"/>
                <w:w w:val="90"/>
              </w:rPr>
              <w:t>Results for the Excess and Surplus Lines segment are as follows: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40" w:type="dxa"/>
            <w:vAlign w:val="bottom"/>
            <w:gridSpan w:val="5"/>
          </w:tcPr>
          <w:p>
            <w:pPr>
              <w:jc w:val="center"/>
              <w:ind w:right="56"/>
              <w:spacing w:after="0"/>
              <w:rPr>
                <w:sz w:val="20"/>
                <w:szCs w:val="20"/>
                <w:color w:val="auto"/>
              </w:rPr>
            </w:pPr>
            <w:r>
              <w:rPr>
                <w:rFonts w:ascii="Arial" w:cs="Arial" w:eastAsia="Arial" w:hAnsi="Arial"/>
                <w:sz w:val="14"/>
                <w:szCs w:val="14"/>
                <w:b w:val="1"/>
                <w:bCs w:val="1"/>
                <w:color w:val="auto"/>
                <w:w w:val="92"/>
              </w:rPr>
              <w:t>Three Months Ended</w:t>
            </w:r>
          </w:p>
        </w:tc>
        <w:tc>
          <w:tcPr>
            <w:tcW w:w="1440" w:type="dxa"/>
            <w:vAlign w:val="bottom"/>
            <w:gridSpan w:val="4"/>
            <w:vMerge w:val="restart"/>
          </w:tcPr>
          <w:p>
            <w:pPr>
              <w:jc w:val="right"/>
              <w:ind w:right="48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320" w:type="dxa"/>
            <w:vAlign w:val="bottom"/>
            <w:gridSpan w:val="8"/>
          </w:tcPr>
          <w:p>
            <w:pPr>
              <w:jc w:val="center"/>
              <w:ind w:right="1000"/>
              <w:spacing w:after="0"/>
              <w:rPr>
                <w:sz w:val="20"/>
                <w:szCs w:val="20"/>
                <w:color w:val="auto"/>
              </w:rPr>
            </w:pPr>
            <w:r>
              <w:rPr>
                <w:rFonts w:ascii="Arial" w:cs="Arial" w:eastAsia="Arial" w:hAnsi="Arial"/>
                <w:sz w:val="14"/>
                <w:szCs w:val="14"/>
                <w:b w:val="1"/>
                <w:bCs w:val="1"/>
                <w:color w:val="auto"/>
                <w:w w:val="91"/>
              </w:rPr>
              <w:t>Nine Months Ended</w:t>
            </w:r>
          </w:p>
        </w:tc>
        <w:tc>
          <w:tcPr>
            <w:tcW w:w="9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4"/>
          </w:tcPr>
          <w:p>
            <w:pPr>
              <w:jc w:val="center"/>
              <w:ind w:left="538"/>
              <w:spacing w:after="0"/>
              <w:rPr>
                <w:sz w:val="20"/>
                <w:szCs w:val="20"/>
                <w:color w:val="auto"/>
              </w:rPr>
            </w:pPr>
            <w:r>
              <w:rPr>
                <w:rFonts w:ascii="Arial" w:cs="Arial" w:eastAsia="Arial" w:hAnsi="Arial"/>
                <w:sz w:val="14"/>
                <w:szCs w:val="14"/>
                <w:b w:val="1"/>
                <w:bCs w:val="1"/>
                <w:color w:val="auto"/>
                <w:w w:val="89"/>
              </w:rPr>
              <w:t>September 30,</w:t>
            </w:r>
          </w:p>
        </w:tc>
        <w:tc>
          <w:tcPr>
            <w:tcW w:w="740" w:type="dxa"/>
            <w:vAlign w:val="bottom"/>
          </w:tcPr>
          <w:p>
            <w:pPr>
              <w:spacing w:after="0"/>
              <w:rPr>
                <w:sz w:val="16"/>
                <w:szCs w:val="16"/>
                <w:color w:val="auto"/>
              </w:rPr>
            </w:pPr>
          </w:p>
        </w:tc>
        <w:tc>
          <w:tcPr>
            <w:tcW w:w="14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7"/>
          </w:tcPr>
          <w:p>
            <w:pPr>
              <w:jc w:val="center"/>
              <w:ind w:right="1100"/>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6"/>
          </w:tcPr>
          <w:p>
            <w:pPr>
              <w:ind w:left="220"/>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204,785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217,673</w:t>
            </w: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i w:val="1"/>
                <w:iCs w:val="1"/>
                <w:color w:val="auto"/>
              </w:rPr>
              <w:t>(5.9)%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675,702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613,045</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10.2 %</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Arial" w:cs="Arial" w:eastAsia="Arial" w:hAnsi="Arial"/>
                <w:sz w:val="18"/>
                <w:szCs w:val="18"/>
                <w:color w:val="auto"/>
              </w:rPr>
              <w:t>Net written premiums</w:t>
            </w:r>
          </w:p>
        </w:tc>
        <w:tc>
          <w:tcPr>
            <w:tcW w:w="320" w:type="dxa"/>
            <w:vAlign w:val="bottom"/>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8"/>
              <w:spacing w:after="0" w:line="198" w:lineRule="exact"/>
              <w:rPr>
                <w:sz w:val="20"/>
                <w:szCs w:val="20"/>
                <w:color w:val="auto"/>
              </w:rPr>
            </w:pPr>
            <w:r>
              <w:rPr>
                <w:rFonts w:ascii="Arial" w:cs="Arial" w:eastAsia="Arial" w:hAnsi="Arial"/>
                <w:sz w:val="18"/>
                <w:szCs w:val="18"/>
                <w:color w:val="auto"/>
              </w:rPr>
              <w:t>140,984</w:t>
            </w:r>
          </w:p>
        </w:tc>
        <w:tc>
          <w:tcPr>
            <w:tcW w:w="100" w:type="dxa"/>
            <w:vAlign w:val="bottom"/>
          </w:tcPr>
          <w:p>
            <w:pPr>
              <w:spacing w:after="0"/>
              <w:rPr>
                <w:sz w:val="17"/>
                <w:szCs w:val="17"/>
                <w:color w:val="auto"/>
              </w:rPr>
            </w:pPr>
          </w:p>
        </w:tc>
        <w:tc>
          <w:tcPr>
            <w:tcW w:w="280" w:type="dxa"/>
            <w:vAlign w:val="bottom"/>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Arial" w:cs="Arial" w:eastAsia="Arial" w:hAnsi="Arial"/>
                <w:sz w:val="18"/>
                <w:szCs w:val="18"/>
                <w:color w:val="auto"/>
              </w:rPr>
              <w:t>127,881</w:t>
            </w:r>
          </w:p>
        </w:tc>
        <w:tc>
          <w:tcPr>
            <w:tcW w:w="1440" w:type="dxa"/>
            <w:vAlign w:val="bottom"/>
            <w:gridSpan w:val="4"/>
          </w:tcPr>
          <w:p>
            <w:pPr>
              <w:jc w:val="right"/>
              <w:ind w:right="41"/>
              <w:spacing w:after="0" w:line="198" w:lineRule="exact"/>
              <w:rPr>
                <w:sz w:val="20"/>
                <w:szCs w:val="20"/>
                <w:color w:val="auto"/>
              </w:rPr>
            </w:pPr>
            <w:r>
              <w:rPr>
                <w:rFonts w:ascii="Arial" w:cs="Arial" w:eastAsia="Arial" w:hAnsi="Arial"/>
                <w:sz w:val="18"/>
                <w:szCs w:val="18"/>
                <w:i w:val="1"/>
                <w:iCs w:val="1"/>
                <w:color w:val="auto"/>
              </w:rPr>
              <w:t>10.2 %</w:t>
            </w:r>
          </w:p>
        </w:tc>
        <w:tc>
          <w:tcPr>
            <w:tcW w:w="16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49"/>
              <w:spacing w:after="0" w:line="198" w:lineRule="exact"/>
              <w:rPr>
                <w:sz w:val="20"/>
                <w:szCs w:val="20"/>
                <w:color w:val="auto"/>
              </w:rPr>
            </w:pPr>
            <w:r>
              <w:rPr>
                <w:rFonts w:ascii="Arial" w:cs="Arial" w:eastAsia="Arial" w:hAnsi="Arial"/>
                <w:sz w:val="18"/>
                <w:szCs w:val="18"/>
                <w:color w:val="auto"/>
              </w:rPr>
              <w:t>432,698</w:t>
            </w:r>
          </w:p>
        </w:tc>
        <w:tc>
          <w:tcPr>
            <w:tcW w:w="120" w:type="dxa"/>
            <w:vAlign w:val="bottom"/>
          </w:tcPr>
          <w:p>
            <w:pPr>
              <w:spacing w:after="0"/>
              <w:rPr>
                <w:sz w:val="17"/>
                <w:szCs w:val="17"/>
                <w:color w:val="auto"/>
              </w:rPr>
            </w:pPr>
          </w:p>
        </w:tc>
        <w:tc>
          <w:tcPr>
            <w:tcW w:w="300" w:type="dxa"/>
            <w:vAlign w:val="bottom"/>
          </w:tcPr>
          <w:p>
            <w:pPr>
              <w:spacing w:after="0" w:line="198"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line="198" w:lineRule="exact"/>
              <w:rPr>
                <w:sz w:val="20"/>
                <w:szCs w:val="20"/>
                <w:color w:val="auto"/>
              </w:rPr>
            </w:pPr>
            <w:r>
              <w:rPr>
                <w:rFonts w:ascii="Arial" w:cs="Arial" w:eastAsia="Arial" w:hAnsi="Arial"/>
                <w:sz w:val="18"/>
                <w:szCs w:val="18"/>
                <w:color w:val="auto"/>
              </w:rPr>
              <w:t>371,477</w:t>
            </w:r>
          </w:p>
        </w:tc>
        <w:tc>
          <w:tcPr>
            <w:tcW w:w="240" w:type="dxa"/>
            <w:vAlign w:val="bottom"/>
          </w:tcPr>
          <w:p>
            <w:pPr>
              <w:spacing w:after="0"/>
              <w:rPr>
                <w:sz w:val="17"/>
                <w:szCs w:val="17"/>
                <w:color w:val="auto"/>
              </w:rPr>
            </w:pPr>
          </w:p>
        </w:tc>
        <w:tc>
          <w:tcPr>
            <w:tcW w:w="920" w:type="dxa"/>
            <w:vAlign w:val="bottom"/>
          </w:tcPr>
          <w:p>
            <w:pPr>
              <w:jc w:val="right"/>
              <w:spacing w:after="0" w:line="198" w:lineRule="exact"/>
              <w:rPr>
                <w:sz w:val="20"/>
                <w:szCs w:val="20"/>
                <w:color w:val="auto"/>
              </w:rPr>
            </w:pPr>
            <w:r>
              <w:rPr>
                <w:rFonts w:ascii="Arial" w:cs="Arial" w:eastAsia="Arial" w:hAnsi="Arial"/>
                <w:sz w:val="18"/>
                <w:szCs w:val="18"/>
                <w:i w:val="1"/>
                <w:iCs w:val="1"/>
                <w:color w:val="auto"/>
              </w:rPr>
              <w:t>16.5 %</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139,095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119,760</w:t>
            </w:r>
          </w:p>
        </w:tc>
        <w:tc>
          <w:tcPr>
            <w:tcW w:w="1440" w:type="dxa"/>
            <w:vAlign w:val="bottom"/>
            <w:gridSpan w:val="4"/>
            <w:shd w:val="clear" w:color="auto" w:fill="CCEEFF"/>
          </w:tcPr>
          <w:p>
            <w:pPr>
              <w:jc w:val="right"/>
              <w:ind w:right="41"/>
              <w:spacing w:after="0"/>
              <w:rPr>
                <w:sz w:val="20"/>
                <w:szCs w:val="20"/>
                <w:color w:val="auto"/>
              </w:rPr>
            </w:pPr>
            <w:r>
              <w:rPr>
                <w:rFonts w:ascii="Arial" w:cs="Arial" w:eastAsia="Arial" w:hAnsi="Arial"/>
                <w:sz w:val="18"/>
                <w:szCs w:val="18"/>
                <w:i w:val="1"/>
                <w:iCs w:val="1"/>
                <w:color w:val="auto"/>
              </w:rPr>
              <w:t>16.1 %</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408,280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351,413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16.2 %</w:t>
            </w:r>
          </w:p>
        </w:tc>
        <w:tc>
          <w:tcPr>
            <w:tcW w:w="0" w:type="dxa"/>
            <w:vAlign w:val="bottom"/>
          </w:tcPr>
          <w:p>
            <w:pPr>
              <w:spacing w:after="0"/>
              <w:rPr>
                <w:sz w:val="1"/>
                <w:szCs w:val="1"/>
                <w:color w:val="auto"/>
              </w:rPr>
            </w:pPr>
          </w:p>
        </w:tc>
      </w:tr>
      <w:tr>
        <w:trPr>
          <w:trHeight w:val="173"/>
        </w:trPr>
        <w:tc>
          <w:tcPr>
            <w:tcW w:w="3140" w:type="dxa"/>
            <w:vAlign w:val="bottom"/>
          </w:tcPr>
          <w:p>
            <w:pPr>
              <w:ind w:left="20"/>
              <w:spacing w:after="0" w:line="173" w:lineRule="exact"/>
              <w:rPr>
                <w:sz w:val="20"/>
                <w:szCs w:val="20"/>
                <w:color w:val="auto"/>
              </w:rPr>
            </w:pPr>
            <w:r>
              <w:rPr>
                <w:rFonts w:ascii="Arial" w:cs="Arial" w:eastAsia="Arial" w:hAnsi="Arial"/>
                <w:sz w:val="18"/>
                <w:szCs w:val="18"/>
                <w:color w:val="auto"/>
              </w:rPr>
              <w:t>Losses and loss adjustment expenses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8"/>
                <w:szCs w:val="18"/>
                <w:color w:val="auto"/>
              </w:rPr>
              <w:t>excluding retroactive reinsurance</w:t>
            </w:r>
          </w:p>
        </w:tc>
        <w:tc>
          <w:tcPr>
            <w:tcW w:w="320" w:type="dxa"/>
            <w:vAlign w:val="bottom"/>
          </w:tcPr>
          <w:p>
            <w:pPr>
              <w:spacing w:after="0"/>
              <w:rPr>
                <w:sz w:val="20"/>
                <w:szCs w:val="20"/>
                <w:color w:val="auto"/>
              </w:rPr>
            </w:pPr>
          </w:p>
        </w:tc>
        <w:tc>
          <w:tcPr>
            <w:tcW w:w="1060" w:type="dxa"/>
            <w:vAlign w:val="bottom"/>
          </w:tcPr>
          <w:p>
            <w:pPr>
              <w:jc w:val="right"/>
              <w:ind w:right="98"/>
              <w:spacing w:after="0"/>
              <w:rPr>
                <w:sz w:val="20"/>
                <w:szCs w:val="20"/>
                <w:color w:val="auto"/>
              </w:rPr>
            </w:pPr>
            <w:r>
              <w:rPr>
                <w:rFonts w:ascii="Arial" w:cs="Arial" w:eastAsia="Arial" w:hAnsi="Arial"/>
                <w:sz w:val="18"/>
                <w:szCs w:val="18"/>
                <w:color w:val="auto"/>
              </w:rPr>
              <w:t>(96,355)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(117,214)</w:t>
            </w:r>
          </w:p>
        </w:tc>
        <w:tc>
          <w:tcPr>
            <w:tcW w:w="1440" w:type="dxa"/>
            <w:vAlign w:val="bottom"/>
            <w:gridSpan w:val="4"/>
          </w:tcPr>
          <w:p>
            <w:pPr>
              <w:jc w:val="right"/>
              <w:ind w:right="41"/>
              <w:spacing w:after="0"/>
              <w:rPr>
                <w:sz w:val="20"/>
                <w:szCs w:val="20"/>
                <w:color w:val="auto"/>
              </w:rPr>
            </w:pPr>
            <w:r>
              <w:rPr>
                <w:rFonts w:ascii="Arial" w:cs="Arial" w:eastAsia="Arial" w:hAnsi="Arial"/>
                <w:sz w:val="18"/>
                <w:szCs w:val="18"/>
                <w:i w:val="1"/>
                <w:iCs w:val="1"/>
                <w:color w:val="auto"/>
              </w:rPr>
              <w:t>(17.8)%</w:t>
            </w:r>
          </w:p>
        </w:tc>
        <w:tc>
          <w:tcPr>
            <w:tcW w:w="160" w:type="dxa"/>
            <w:vAlign w:val="bottom"/>
          </w:tcPr>
          <w:p>
            <w:pPr>
              <w:spacing w:after="0"/>
              <w:rPr>
                <w:sz w:val="20"/>
                <w:szCs w:val="20"/>
                <w:color w:val="auto"/>
              </w:rPr>
            </w:pPr>
          </w:p>
        </w:tc>
        <w:tc>
          <w:tcPr>
            <w:tcW w:w="1200" w:type="dxa"/>
            <w:vAlign w:val="bottom"/>
            <w:gridSpan w:val="3"/>
          </w:tcPr>
          <w:p>
            <w:pPr>
              <w:jc w:val="right"/>
              <w:ind w:right="89"/>
              <w:spacing w:after="0"/>
              <w:rPr>
                <w:sz w:val="20"/>
                <w:szCs w:val="20"/>
                <w:color w:val="auto"/>
              </w:rPr>
            </w:pPr>
            <w:r>
              <w:rPr>
                <w:rFonts w:ascii="Arial" w:cs="Arial" w:eastAsia="Arial" w:hAnsi="Arial"/>
                <w:sz w:val="18"/>
                <w:szCs w:val="18"/>
                <w:color w:val="auto"/>
              </w:rPr>
              <w:t>(270,464)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(428,550)</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(36.9)%</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(26,338)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(24,073)</w:t>
            </w:r>
          </w:p>
        </w:tc>
        <w:tc>
          <w:tcPr>
            <w:tcW w:w="1440" w:type="dxa"/>
            <w:vAlign w:val="bottom"/>
            <w:gridSpan w:val="4"/>
            <w:shd w:val="clear" w:color="auto" w:fill="CCEEFF"/>
          </w:tcPr>
          <w:p>
            <w:pPr>
              <w:jc w:val="right"/>
              <w:ind w:right="41"/>
              <w:spacing w:after="0"/>
              <w:rPr>
                <w:sz w:val="20"/>
                <w:szCs w:val="20"/>
                <w:color w:val="auto"/>
              </w:rPr>
            </w:pPr>
            <w:r>
              <w:rPr>
                <w:rFonts w:ascii="Arial" w:cs="Arial" w:eastAsia="Arial" w:hAnsi="Arial"/>
                <w:sz w:val="18"/>
                <w:szCs w:val="18"/>
                <w:i w:val="1"/>
                <w:iCs w:val="1"/>
                <w:color w:val="auto"/>
              </w:rPr>
              <w:t>9.4 %</w:t>
            </w: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89"/>
              <w:spacing w:after="0"/>
              <w:rPr>
                <w:sz w:val="20"/>
                <w:szCs w:val="20"/>
                <w:color w:val="auto"/>
              </w:rPr>
            </w:pPr>
            <w:r>
              <w:rPr>
                <w:rFonts w:ascii="Arial" w:cs="Arial" w:eastAsia="Arial" w:hAnsi="Arial"/>
                <w:sz w:val="18"/>
                <w:szCs w:val="18"/>
                <w:color w:val="auto"/>
              </w:rPr>
              <w:t>(77,623)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(68,419)</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13.5 %</w:t>
            </w: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Arial" w:cs="Arial" w:eastAsia="Arial" w:hAnsi="Arial"/>
                <w:sz w:val="18"/>
                <w:szCs w:val="18"/>
                <w:color w:val="auto"/>
              </w:rPr>
              <w:t xml:space="preserve">Underwriting profit (loss) </w:t>
            </w:r>
            <w:r>
              <w:rPr>
                <w:rFonts w:ascii="Arial" w:cs="Arial" w:eastAsia="Arial" w:hAnsi="Arial"/>
                <w:sz w:val="14"/>
                <w:szCs w:val="14"/>
                <w:i w:val="1"/>
                <w:iCs w:val="1"/>
                <w:color w:val="auto"/>
              </w:rPr>
              <w:t>(1)</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8"/>
                <w:szCs w:val="18"/>
                <w:color w:val="auto"/>
              </w:rPr>
              <w:t>16,402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(21,527)</w:t>
            </w:r>
          </w:p>
        </w:tc>
        <w:tc>
          <w:tcPr>
            <w:tcW w:w="180" w:type="dxa"/>
            <w:vAlign w:val="bottom"/>
            <w:tcBorders>
              <w:top w:val="single" w:sz="8" w:color="auto"/>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241"/>
              <w:spacing w:after="0"/>
              <w:rPr>
                <w:sz w:val="20"/>
                <w:szCs w:val="20"/>
                <w:color w:val="auto"/>
              </w:rPr>
            </w:pPr>
            <w:r>
              <w:rPr>
                <w:rFonts w:ascii="Arial" w:cs="Arial" w:eastAsia="Arial" w:hAnsi="Arial"/>
                <w:sz w:val="18"/>
                <w:szCs w:val="18"/>
                <w:i w:val="1"/>
                <w:iCs w:val="1"/>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3"/>
          </w:tcPr>
          <w:p>
            <w:pPr>
              <w:jc w:val="right"/>
              <w:ind w:right="149"/>
              <w:spacing w:after="0"/>
              <w:rPr>
                <w:sz w:val="20"/>
                <w:szCs w:val="20"/>
                <w:color w:val="auto"/>
              </w:rPr>
            </w:pPr>
            <w:r>
              <w:rPr>
                <w:rFonts w:ascii="Arial" w:cs="Arial" w:eastAsia="Arial" w:hAnsi="Arial"/>
                <w:sz w:val="18"/>
                <w:szCs w:val="18"/>
                <w:color w:val="auto"/>
              </w:rPr>
              <w:t>60,193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(145,556)</w:t>
            </w:r>
          </w:p>
        </w:tc>
        <w:tc>
          <w:tcPr>
            <w:tcW w:w="240" w:type="dxa"/>
            <w:vAlign w:val="bottom"/>
          </w:tcPr>
          <w:p>
            <w:pPr>
              <w:spacing w:after="0"/>
              <w:rPr>
                <w:sz w:val="19"/>
                <w:szCs w:val="19"/>
                <w:color w:val="auto"/>
              </w:rPr>
            </w:pPr>
          </w:p>
        </w:tc>
        <w:tc>
          <w:tcPr>
            <w:tcW w:w="920" w:type="dxa"/>
            <w:vAlign w:val="bottom"/>
          </w:tcPr>
          <w:p>
            <w:pPr>
              <w:jc w:val="right"/>
              <w:ind w:right="136"/>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860" cy="160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Ratios: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4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1700" w:type="dxa"/>
            <w:vAlign w:val="bottom"/>
          </w:tcPr>
          <w:p>
            <w:pPr>
              <w:jc w:val="right"/>
              <w:ind w:right="352"/>
              <w:spacing w:after="0"/>
              <w:rPr>
                <w:sz w:val="20"/>
                <w:szCs w:val="20"/>
                <w:color w:val="auto"/>
              </w:rPr>
            </w:pPr>
            <w:r>
              <w:rPr>
                <w:rFonts w:ascii="Arial" w:cs="Arial" w:eastAsia="Arial" w:hAnsi="Arial"/>
                <w:sz w:val="18"/>
                <w:szCs w:val="18"/>
                <w:color w:val="auto"/>
              </w:rPr>
              <w:t>69.3 %</w:t>
            </w:r>
          </w:p>
        </w:tc>
        <w:tc>
          <w:tcPr>
            <w:tcW w:w="2080" w:type="dxa"/>
            <w:vAlign w:val="bottom"/>
          </w:tcPr>
          <w:p>
            <w:pPr>
              <w:jc w:val="right"/>
              <w:ind w:right="972"/>
              <w:spacing w:after="0"/>
              <w:rPr>
                <w:sz w:val="20"/>
                <w:szCs w:val="20"/>
                <w:color w:val="auto"/>
              </w:rPr>
            </w:pPr>
            <w:r>
              <w:rPr>
                <w:rFonts w:ascii="Arial" w:cs="Arial" w:eastAsia="Arial" w:hAnsi="Arial"/>
                <w:sz w:val="18"/>
                <w:szCs w:val="18"/>
                <w:color w:val="auto"/>
              </w:rPr>
              <w:t>97.9 %</w:t>
            </w:r>
          </w:p>
        </w:tc>
        <w:tc>
          <w:tcPr>
            <w:tcW w:w="2020" w:type="dxa"/>
            <w:vAlign w:val="bottom"/>
          </w:tcPr>
          <w:p>
            <w:pPr>
              <w:jc w:val="right"/>
              <w:ind w:right="372"/>
              <w:spacing w:after="0"/>
              <w:rPr>
                <w:sz w:val="20"/>
                <w:szCs w:val="20"/>
                <w:color w:val="auto"/>
              </w:rPr>
            </w:pPr>
            <w:r>
              <w:rPr>
                <w:rFonts w:ascii="Arial" w:cs="Arial" w:eastAsia="Arial" w:hAnsi="Arial"/>
                <w:sz w:val="18"/>
                <w:szCs w:val="18"/>
                <w:color w:val="auto"/>
              </w:rPr>
              <w:t>66.2 %</w:t>
            </w:r>
          </w:p>
        </w:tc>
        <w:tc>
          <w:tcPr>
            <w:tcW w:w="2200" w:type="dxa"/>
            <w:vAlign w:val="bottom"/>
          </w:tcPr>
          <w:p>
            <w:pPr>
              <w:jc w:val="right"/>
              <w:ind w:right="1072"/>
              <w:spacing w:after="0"/>
              <w:rPr>
                <w:sz w:val="20"/>
                <w:szCs w:val="20"/>
                <w:color w:val="auto"/>
              </w:rPr>
            </w:pPr>
            <w:r>
              <w:rPr>
                <w:rFonts w:ascii="Arial" w:cs="Arial" w:eastAsia="Arial" w:hAnsi="Arial"/>
                <w:sz w:val="18"/>
                <w:szCs w:val="18"/>
                <w:color w:val="auto"/>
              </w:rPr>
              <w:t>122.0 %</w:t>
            </w:r>
          </w:p>
        </w:tc>
      </w:tr>
      <w:tr>
        <w:trPr>
          <w:trHeight w:val="22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ratio</w:t>
            </w:r>
          </w:p>
        </w:tc>
        <w:tc>
          <w:tcPr>
            <w:tcW w:w="17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18.9 %</w:t>
            </w:r>
          </w:p>
        </w:tc>
        <w:tc>
          <w:tcPr>
            <w:tcW w:w="208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20.1 %</w:t>
            </w:r>
          </w:p>
        </w:tc>
        <w:tc>
          <w:tcPr>
            <w:tcW w:w="2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19.1 %</w:t>
            </w:r>
          </w:p>
        </w:tc>
        <w:tc>
          <w:tcPr>
            <w:tcW w:w="220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19.4 %</w:t>
            </w:r>
          </w:p>
        </w:tc>
      </w:tr>
      <w:tr>
        <w:trPr>
          <w:trHeight w:val="225"/>
        </w:trPr>
        <w:tc>
          <w:tcPr>
            <w:tcW w:w="3240" w:type="dxa"/>
            <w:vAlign w:val="bottom"/>
          </w:tcPr>
          <w:p>
            <w:pPr>
              <w:ind w:left="140"/>
              <w:spacing w:after="0"/>
              <w:rPr>
                <w:sz w:val="20"/>
                <w:szCs w:val="20"/>
                <w:color w:val="auto"/>
              </w:rPr>
            </w:pPr>
            <w:r>
              <w:rPr>
                <w:rFonts w:ascii="Arial" w:cs="Arial" w:eastAsia="Arial" w:hAnsi="Arial"/>
                <w:sz w:val="18"/>
                <w:szCs w:val="18"/>
                <w:color w:val="auto"/>
              </w:rPr>
              <w:t>Combined ratio</w:t>
            </w:r>
          </w:p>
        </w:tc>
        <w:tc>
          <w:tcPr>
            <w:tcW w:w="1700" w:type="dxa"/>
            <w:vAlign w:val="bottom"/>
          </w:tcPr>
          <w:p>
            <w:pPr>
              <w:jc w:val="right"/>
              <w:ind w:right="352"/>
              <w:spacing w:after="0"/>
              <w:rPr>
                <w:sz w:val="20"/>
                <w:szCs w:val="20"/>
                <w:color w:val="auto"/>
              </w:rPr>
            </w:pPr>
            <w:r>
              <w:rPr>
                <w:rFonts w:ascii="Arial" w:cs="Arial" w:eastAsia="Arial" w:hAnsi="Arial"/>
                <w:sz w:val="18"/>
                <w:szCs w:val="18"/>
                <w:color w:val="auto"/>
              </w:rPr>
              <w:t>88.2 %</w:t>
            </w:r>
          </w:p>
        </w:tc>
        <w:tc>
          <w:tcPr>
            <w:tcW w:w="2080" w:type="dxa"/>
            <w:vAlign w:val="bottom"/>
          </w:tcPr>
          <w:p>
            <w:pPr>
              <w:jc w:val="right"/>
              <w:ind w:right="972"/>
              <w:spacing w:after="0"/>
              <w:rPr>
                <w:sz w:val="20"/>
                <w:szCs w:val="20"/>
                <w:color w:val="auto"/>
              </w:rPr>
            </w:pPr>
            <w:r>
              <w:rPr>
                <w:rFonts w:ascii="Arial" w:cs="Arial" w:eastAsia="Arial" w:hAnsi="Arial"/>
                <w:sz w:val="18"/>
                <w:szCs w:val="18"/>
                <w:color w:val="auto"/>
              </w:rPr>
              <w:t>118.0 %</w:t>
            </w:r>
          </w:p>
        </w:tc>
        <w:tc>
          <w:tcPr>
            <w:tcW w:w="2020" w:type="dxa"/>
            <w:vAlign w:val="bottom"/>
          </w:tcPr>
          <w:p>
            <w:pPr>
              <w:jc w:val="right"/>
              <w:ind w:right="372"/>
              <w:spacing w:after="0"/>
              <w:rPr>
                <w:sz w:val="20"/>
                <w:szCs w:val="20"/>
                <w:color w:val="auto"/>
              </w:rPr>
            </w:pPr>
            <w:r>
              <w:rPr>
                <w:rFonts w:ascii="Arial" w:cs="Arial" w:eastAsia="Arial" w:hAnsi="Arial"/>
                <w:sz w:val="18"/>
                <w:szCs w:val="18"/>
                <w:color w:val="auto"/>
              </w:rPr>
              <w:t>85.3 %</w:t>
            </w:r>
          </w:p>
        </w:tc>
        <w:tc>
          <w:tcPr>
            <w:tcW w:w="2200" w:type="dxa"/>
            <w:vAlign w:val="bottom"/>
          </w:tcPr>
          <w:p>
            <w:pPr>
              <w:jc w:val="right"/>
              <w:ind w:right="1072"/>
              <w:spacing w:after="0"/>
              <w:rPr>
                <w:sz w:val="20"/>
                <w:szCs w:val="20"/>
                <w:color w:val="auto"/>
              </w:rPr>
            </w:pPr>
            <w:r>
              <w:rPr>
                <w:rFonts w:ascii="Arial" w:cs="Arial" w:eastAsia="Arial" w:hAnsi="Arial"/>
                <w:sz w:val="18"/>
                <w:szCs w:val="18"/>
                <w:color w:val="auto"/>
              </w:rPr>
              <w:t>141.4 %</w:t>
            </w:r>
          </w:p>
        </w:tc>
      </w:tr>
      <w:tr>
        <w:trPr>
          <w:trHeight w:val="22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Accident year loss ratio</w:t>
            </w:r>
          </w:p>
        </w:tc>
        <w:tc>
          <w:tcPr>
            <w:tcW w:w="17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69.2 %</w:t>
            </w:r>
          </w:p>
        </w:tc>
        <w:tc>
          <w:tcPr>
            <w:tcW w:w="208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73.2 %</w:t>
            </w:r>
          </w:p>
        </w:tc>
        <w:tc>
          <w:tcPr>
            <w:tcW w:w="2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66.2 %</w:t>
            </w:r>
          </w:p>
        </w:tc>
        <w:tc>
          <w:tcPr>
            <w:tcW w:w="220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67.7 %</w:t>
            </w:r>
          </w:p>
        </w:tc>
      </w:tr>
      <w:tr>
        <w:trPr>
          <w:trHeight w:val="238"/>
        </w:trPr>
        <w:tc>
          <w:tcPr>
            <w:tcW w:w="3240" w:type="dxa"/>
            <w:vAlign w:val="bottom"/>
          </w:tcPr>
          <w:p>
            <w:pPr>
              <w:ind w:left="140"/>
              <w:spacing w:after="0"/>
              <w:rPr>
                <w:sz w:val="20"/>
                <w:szCs w:val="20"/>
                <w:color w:val="auto"/>
              </w:rPr>
            </w:pPr>
            <w:r>
              <w:rPr>
                <w:rFonts w:ascii="Arial" w:cs="Arial" w:eastAsia="Arial" w:hAnsi="Arial"/>
                <w:sz w:val="18"/>
                <w:szCs w:val="18"/>
                <w:color w:val="auto"/>
              </w:rPr>
              <w:t xml:space="preserve">Accident year loss ratio ex-cat </w:t>
            </w:r>
            <w:r>
              <w:rPr>
                <w:rFonts w:ascii="Arial" w:cs="Arial" w:eastAsia="Arial" w:hAnsi="Arial"/>
                <w:sz w:val="14"/>
                <w:szCs w:val="14"/>
                <w:i w:val="1"/>
                <w:iCs w:val="1"/>
                <w:color w:val="auto"/>
              </w:rPr>
              <w:t>(2)</w:t>
            </w:r>
          </w:p>
        </w:tc>
        <w:tc>
          <w:tcPr>
            <w:tcW w:w="1700" w:type="dxa"/>
            <w:vAlign w:val="bottom"/>
          </w:tcPr>
          <w:p>
            <w:pPr>
              <w:jc w:val="right"/>
              <w:ind w:right="352"/>
              <w:spacing w:after="0"/>
              <w:rPr>
                <w:sz w:val="20"/>
                <w:szCs w:val="20"/>
                <w:color w:val="auto"/>
              </w:rPr>
            </w:pPr>
            <w:r>
              <w:rPr>
                <w:rFonts w:ascii="Arial" w:cs="Arial" w:eastAsia="Arial" w:hAnsi="Arial"/>
                <w:sz w:val="18"/>
                <w:szCs w:val="18"/>
                <w:color w:val="auto"/>
              </w:rPr>
              <w:t>65.6 %</w:t>
            </w:r>
          </w:p>
        </w:tc>
        <w:tc>
          <w:tcPr>
            <w:tcW w:w="2080" w:type="dxa"/>
            <w:vAlign w:val="bottom"/>
          </w:tcPr>
          <w:p>
            <w:pPr>
              <w:jc w:val="right"/>
              <w:ind w:right="972"/>
              <w:spacing w:after="0"/>
              <w:rPr>
                <w:sz w:val="20"/>
                <w:szCs w:val="20"/>
                <w:color w:val="auto"/>
              </w:rPr>
            </w:pPr>
            <w:r>
              <w:rPr>
                <w:rFonts w:ascii="Arial" w:cs="Arial" w:eastAsia="Arial" w:hAnsi="Arial"/>
                <w:sz w:val="18"/>
                <w:szCs w:val="18"/>
                <w:color w:val="auto"/>
              </w:rPr>
              <w:t>69.0 %</w:t>
            </w:r>
          </w:p>
        </w:tc>
        <w:tc>
          <w:tcPr>
            <w:tcW w:w="2020" w:type="dxa"/>
            <w:vAlign w:val="bottom"/>
          </w:tcPr>
          <w:p>
            <w:pPr>
              <w:jc w:val="right"/>
              <w:ind w:right="372"/>
              <w:spacing w:after="0"/>
              <w:rPr>
                <w:sz w:val="20"/>
                <w:szCs w:val="20"/>
                <w:color w:val="auto"/>
              </w:rPr>
            </w:pPr>
            <w:r>
              <w:rPr>
                <w:rFonts w:ascii="Arial" w:cs="Arial" w:eastAsia="Arial" w:hAnsi="Arial"/>
                <w:sz w:val="18"/>
                <w:szCs w:val="18"/>
                <w:color w:val="auto"/>
              </w:rPr>
              <w:t>65.0 %</w:t>
            </w:r>
          </w:p>
        </w:tc>
        <w:tc>
          <w:tcPr>
            <w:tcW w:w="2200" w:type="dxa"/>
            <w:vAlign w:val="bottom"/>
          </w:tcPr>
          <w:p>
            <w:pPr>
              <w:jc w:val="right"/>
              <w:ind w:right="1072"/>
              <w:spacing w:after="0"/>
              <w:rPr>
                <w:sz w:val="20"/>
                <w:szCs w:val="20"/>
                <w:color w:val="auto"/>
              </w:rPr>
            </w:pPr>
            <w:r>
              <w:rPr>
                <w:rFonts w:ascii="Arial" w:cs="Arial" w:eastAsia="Arial" w:hAnsi="Arial"/>
                <w:sz w:val="18"/>
                <w:szCs w:val="18"/>
                <w:color w:val="auto"/>
              </w:rPr>
              <w:t>66.3 %</w:t>
            </w:r>
          </w:p>
        </w:tc>
      </w:tr>
    </w:tbl>
    <w:p>
      <w:pPr>
        <w:spacing w:after="0" w:line="174"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(Loss) is a non-GAAP Measure. See “Reconciliation of Non-GAAP Measures.”</w:t>
      </w:r>
    </w:p>
    <w:p>
      <w:pPr>
        <w:spacing w:after="0" w:line="111" w:lineRule="exact"/>
        <w:rPr>
          <w:rFonts w:ascii="Arial" w:cs="Arial" w:eastAsia="Arial" w:hAnsi="Arial"/>
          <w:sz w:val="18"/>
          <w:szCs w:val="18"/>
          <w:i w:val="1"/>
          <w:iCs w:val="1"/>
          <w:color w:val="auto"/>
        </w:rPr>
      </w:pPr>
    </w:p>
    <w:p>
      <w:pPr>
        <w:ind w:left="640" w:right="160" w:hanging="316"/>
        <w:spacing w:after="0" w:line="365" w:lineRule="auto"/>
        <w:tabs>
          <w:tab w:leader="none" w:pos="634" w:val="left"/>
        </w:tabs>
        <w:numPr>
          <w:ilvl w:val="0"/>
          <w:numId w:val="17"/>
        </w:numPr>
        <w:rPr>
          <w:rFonts w:ascii="Arial" w:cs="Arial" w:eastAsia="Arial" w:hAnsi="Arial"/>
          <w:sz w:val="15"/>
          <w:szCs w:val="15"/>
          <w:i w:val="1"/>
          <w:iCs w:val="1"/>
          <w:color w:val="auto"/>
        </w:rPr>
      </w:pPr>
      <w:r>
        <w:rPr>
          <w:rFonts w:ascii="Arial" w:cs="Arial" w:eastAsia="Arial" w:hAnsi="Arial"/>
          <w:sz w:val="15"/>
          <w:szCs w:val="15"/>
          <w:i w:val="1"/>
          <w:iCs w:val="1"/>
          <w:color w:val="auto"/>
        </w:rPr>
        <w:t>Accident year loss ratio excluding $5.0 million of net catastrophe losses related to Hurricane Ian in the three and nine months ended September 30, 2022 and $5.0 million of net catastrophe losses related to Hurricane Ida in the three and nine months ended September 30, 2021.</w:t>
      </w:r>
    </w:p>
    <w:p>
      <w:pPr>
        <w:spacing w:after="0" w:line="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The Excess and Surplus Lines segment produced an underwriting profit of $16.4 million and combined ratio of 88.2% in the three months ended September 30, 2022 compared to an underwriting loss of $21.5 million and a combined ratio of 118.0% in the three months ended September 30, 2021. The loss ratio improvement from 97.9% in the prior year to 69.3% in the current year was primarily driven by net reserve development on prior accident years which was $139,000 adverse (excluding adverse prior year development on the legacy Rasier business and the impact of retroactive reinsurance - see </w:t>
      </w:r>
      <w:r>
        <w:rPr>
          <w:rFonts w:ascii="Arial" w:cs="Arial" w:eastAsia="Arial" w:hAnsi="Arial"/>
          <w:sz w:val="17"/>
          <w:szCs w:val="17"/>
          <w:i w:val="1"/>
          <w:iCs w:val="1"/>
          <w:color w:val="auto"/>
        </w:rPr>
        <w:t>Commercial Auto Loss Portfolio Transfer</w:t>
      </w:r>
      <w:r>
        <w:rPr>
          <w:rFonts w:ascii="Arial" w:cs="Arial" w:eastAsia="Arial" w:hAnsi="Arial"/>
          <w:sz w:val="17"/>
          <w:szCs w:val="17"/>
          <w:color w:val="auto"/>
        </w:rPr>
        <w:t>) for the three months ended September 30, 2022 compared to $29.5 million or 24.7 percentage points of net adverse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in the three months ended September 30, 2021. The net adverse development in the prior year included $29.6 million recognized with the loss portfolio transfer transaction with Aleka that was effective July 1, 2021.</w:t>
      </w:r>
    </w:p>
    <w:p>
      <w:pPr>
        <w:spacing w:after="0" w:line="7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the nine months ended September 30, 2022, the segment produced an underwriting profit of $60.2 million and a combined ratio of 85.3%. This compares to an underwriting loss of $145.6 million and a combined ratio of 141.4% for the nine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months ended September 30, 2021. The loss ratio of 66.2% for the nine months ended September 30, 2022 includes $48,000 of net adverse reserve development (excluding adverse prior year development on the legacy Rasier business and the impact of retroactive reinsurance - see </w:t>
      </w:r>
      <w:r>
        <w:rPr>
          <w:rFonts w:ascii="Arial" w:cs="Arial" w:eastAsia="Arial" w:hAnsi="Arial"/>
          <w:sz w:val="17"/>
          <w:szCs w:val="17"/>
          <w:i w:val="1"/>
          <w:iCs w:val="1"/>
          <w:color w:val="auto"/>
        </w:rPr>
        <w:t>Commercial Auto Loss</w:t>
      </w:r>
      <w:r>
        <w:rPr>
          <w:rFonts w:ascii="Arial" w:cs="Arial" w:eastAsia="Arial" w:hAnsi="Arial"/>
          <w:sz w:val="17"/>
          <w:szCs w:val="17"/>
          <w:color w:val="auto"/>
        </w:rPr>
        <w:t xml:space="preserve"> </w:t>
      </w:r>
      <w:r>
        <w:rPr>
          <w:rFonts w:ascii="Arial" w:cs="Arial" w:eastAsia="Arial" w:hAnsi="Arial"/>
          <w:sz w:val="17"/>
          <w:szCs w:val="17"/>
          <w:i w:val="1"/>
          <w:iCs w:val="1"/>
          <w:color w:val="auto"/>
        </w:rPr>
        <w:t>Portfolio Transfer</w:t>
      </w:r>
      <w:r>
        <w:rPr>
          <w:rFonts w:ascii="Arial" w:cs="Arial" w:eastAsia="Arial" w:hAnsi="Arial"/>
          <w:sz w:val="17"/>
          <w:szCs w:val="17"/>
          <w:color w:val="auto"/>
        </w:rPr>
        <w:t>) in our loss estimates for prior accident years. The loss ratio of 122.0% for the nine months ended September 30, 2021 includes $190.7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net adverse reserve development (54.3 percentage points) in our loss estimates for prior accident years, including $200.1 million of net adverse reserve development on our commercial auto business that was almost entirely related to a previously canceled account that has been in runoff since 2019. The reported losses on this terminated commercial auto account meaningfully exceeded our expectations in the three months ended March 31, 2021. We had expected that reported losses would decline as the account moved further into runoff, but the continued heavy reported loss emergence in the first quarter of 2021 indicated more inherent severity than anticipated. In response, we meaningfully adjusted our actuarial methodology, resulting in a significant strengthening of reserves for this account.</w:t>
      </w:r>
    </w:p>
    <w:p>
      <w:pPr>
        <w:spacing w:after="0" w:line="7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Attractive market conditions for our Excess and Surplus Lines segment have enabled us to grow earned premiums. Net earned premiums of the Excess and Surplus Lines segment were up 16.1% and 16.2% over the corresponding three and nine month periods in the prior year, respectively, including growth in lines that have meaningful ceding commissions. The expense ratios for the Excess and Surplus Lines segment were 18.9% and 19.1% for the three and nine months ended September 30, 2022, respectively, compared to 20.1% and 19.4% for the three and nine months ended September 30, 2021.</w:t>
      </w:r>
    </w:p>
    <w:p>
      <w:pPr>
        <w:spacing w:after="0" w:line="4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Underwriting results in both three month and nine month periods include hurricane catastrophe losses in our Excess Property book. The Excess and Surplus Lines segment has a surplus share reinsurance treaty in effect that was specifically designed to cover property risks. The surplus share treaty along with facultative reinsurance helps ensure that our net retained limit per risk will be $5.0 million or less. In the three months ended September 30, 2022, the Company recorded $5.0 million of net catastrophe losses for Hurricane Ian. In the three months ended September 30, 2021, the Company recorded $5.0 million of net catastrophe losses for Hurricane Ida.</w:t>
      </w:r>
    </w:p>
    <w:p>
      <w:pPr>
        <w:spacing w:after="0" w:line="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Underwriting results in the prior year were also negatively impacted by $8.1 million of reinstatement premium, including $6.4 million triggered by one claim on a 2019 excess of loss treaty in the Excess and Surplus Lines segment. The reinstatement premium reduced net written and net earned premium in the prior year quarter and year to date and increased the underwriting loss.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Admitted Insurance Segment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Results for the Specialty Admitted Insurance segment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234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123,389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121,175</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1.8 %</w:t>
            </w: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98"/>
              </w:rPr>
              <w:t>374,066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377,400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Arial" w:cs="Arial" w:eastAsia="Arial" w:hAnsi="Arial"/>
                <w:sz w:val="18"/>
                <w:szCs w:val="18"/>
                <w:color w:val="auto"/>
              </w:rPr>
              <w:t>Net written premiums</w:t>
            </w:r>
          </w:p>
        </w:tc>
        <w:tc>
          <w:tcPr>
            <w:tcW w:w="3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8"/>
              <w:spacing w:after="0" w:line="198" w:lineRule="exact"/>
              <w:rPr>
                <w:sz w:val="20"/>
                <w:szCs w:val="20"/>
                <w:color w:val="auto"/>
              </w:rPr>
            </w:pPr>
            <w:r>
              <w:rPr>
                <w:rFonts w:ascii="Arial" w:cs="Arial" w:eastAsia="Arial" w:hAnsi="Arial"/>
                <w:sz w:val="18"/>
                <w:szCs w:val="18"/>
                <w:color w:val="auto"/>
              </w:rPr>
              <w:t>18,929</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4"/>
              <w:spacing w:after="0" w:line="198" w:lineRule="exact"/>
              <w:rPr>
                <w:sz w:val="20"/>
                <w:szCs w:val="20"/>
                <w:color w:val="auto"/>
              </w:rPr>
            </w:pPr>
            <w:r>
              <w:rPr>
                <w:rFonts w:ascii="Arial" w:cs="Arial" w:eastAsia="Arial" w:hAnsi="Arial"/>
                <w:sz w:val="18"/>
                <w:szCs w:val="18"/>
                <w:color w:val="auto"/>
              </w:rPr>
              <w:t>22,578</w:t>
            </w:r>
          </w:p>
        </w:tc>
        <w:tc>
          <w:tcPr>
            <w:tcW w:w="1260" w:type="dxa"/>
            <w:vAlign w:val="bottom"/>
          </w:tcPr>
          <w:p>
            <w:pPr>
              <w:jc w:val="right"/>
              <w:ind w:right="38"/>
              <w:spacing w:after="0" w:line="198" w:lineRule="exact"/>
              <w:rPr>
                <w:sz w:val="20"/>
                <w:szCs w:val="20"/>
                <w:color w:val="auto"/>
              </w:rPr>
            </w:pPr>
            <w:r>
              <w:rPr>
                <w:rFonts w:ascii="Arial" w:cs="Arial" w:eastAsia="Arial" w:hAnsi="Arial"/>
                <w:sz w:val="18"/>
                <w:szCs w:val="18"/>
                <w:i w:val="1"/>
                <w:iCs w:val="1"/>
                <w:color w:val="auto"/>
              </w:rPr>
              <w:t>(16.2)%</w:t>
            </w:r>
          </w:p>
        </w:tc>
        <w:tc>
          <w:tcPr>
            <w:tcW w:w="480" w:type="dxa"/>
            <w:vAlign w:val="bottom"/>
            <w:tcBorders>
              <w:bottom w:val="single" w:sz="8" w:color="auto"/>
            </w:tcBorders>
          </w:tcPr>
          <w:p>
            <w:pPr>
              <w:jc w:val="right"/>
              <w:ind w:right="29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8"/>
              <w:spacing w:after="0" w:line="198" w:lineRule="exact"/>
              <w:rPr>
                <w:sz w:val="20"/>
                <w:szCs w:val="20"/>
                <w:color w:val="auto"/>
              </w:rPr>
            </w:pPr>
            <w:r>
              <w:rPr>
                <w:rFonts w:ascii="Arial" w:cs="Arial" w:eastAsia="Arial" w:hAnsi="Arial"/>
                <w:sz w:val="18"/>
                <w:szCs w:val="18"/>
                <w:color w:val="auto"/>
              </w:rPr>
              <w:t>57,524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4"/>
              <w:spacing w:after="0" w:line="198" w:lineRule="exact"/>
              <w:rPr>
                <w:sz w:val="20"/>
                <w:szCs w:val="20"/>
                <w:color w:val="auto"/>
              </w:rPr>
            </w:pPr>
            <w:r>
              <w:rPr>
                <w:rFonts w:ascii="Arial" w:cs="Arial" w:eastAsia="Arial" w:hAnsi="Arial"/>
                <w:sz w:val="18"/>
                <w:szCs w:val="18"/>
                <w:color w:val="auto"/>
              </w:rPr>
              <w:t>66,081</w:t>
            </w:r>
          </w:p>
        </w:tc>
        <w:tc>
          <w:tcPr>
            <w:tcW w:w="1160" w:type="dxa"/>
            <w:vAlign w:val="bottom"/>
          </w:tcPr>
          <w:p>
            <w:pPr>
              <w:jc w:val="right"/>
              <w:spacing w:after="0" w:line="198" w:lineRule="exact"/>
              <w:rPr>
                <w:sz w:val="20"/>
                <w:szCs w:val="20"/>
                <w:color w:val="auto"/>
              </w:rPr>
            </w:pPr>
            <w:r>
              <w:rPr>
                <w:rFonts w:ascii="Arial" w:cs="Arial" w:eastAsia="Arial" w:hAnsi="Arial"/>
                <w:sz w:val="18"/>
                <w:szCs w:val="18"/>
                <w:i w:val="1"/>
                <w:iCs w:val="1"/>
                <w:color w:val="auto"/>
              </w:rPr>
              <w:t>(12.9)%</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17,824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19,704</w:t>
            </w: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(9.5)%</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55,283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54,656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1.1 %</w:t>
            </w:r>
          </w:p>
        </w:tc>
        <w:tc>
          <w:tcPr>
            <w:tcW w:w="0" w:type="dxa"/>
            <w:vAlign w:val="bottom"/>
          </w:tcPr>
          <w:p>
            <w:pPr>
              <w:spacing w:after="0"/>
              <w:rPr>
                <w:sz w:val="1"/>
                <w:szCs w:val="1"/>
                <w:color w:val="auto"/>
              </w:rPr>
            </w:pPr>
          </w:p>
        </w:tc>
      </w:tr>
      <w:tr>
        <w:trPr>
          <w:trHeight w:val="225"/>
        </w:trPr>
        <w:tc>
          <w:tcPr>
            <w:tcW w:w="316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20" w:type="dxa"/>
            <w:vAlign w:val="bottom"/>
          </w:tcPr>
          <w:p>
            <w:pPr>
              <w:spacing w:after="0"/>
              <w:rPr>
                <w:sz w:val="19"/>
                <w:szCs w:val="19"/>
                <w:color w:val="auto"/>
              </w:rPr>
            </w:pP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(15,377)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(15,263)</w:t>
            </w:r>
          </w:p>
        </w:tc>
        <w:tc>
          <w:tcPr>
            <w:tcW w:w="1260" w:type="dxa"/>
            <w:vAlign w:val="bottom"/>
          </w:tcPr>
          <w:p>
            <w:pPr>
              <w:jc w:val="right"/>
              <w:ind w:right="38"/>
              <w:spacing w:after="0"/>
              <w:rPr>
                <w:sz w:val="20"/>
                <w:szCs w:val="20"/>
                <w:color w:val="auto"/>
              </w:rPr>
            </w:pPr>
            <w:r>
              <w:rPr>
                <w:rFonts w:ascii="Arial" w:cs="Arial" w:eastAsia="Arial" w:hAnsi="Arial"/>
                <w:sz w:val="18"/>
                <w:szCs w:val="18"/>
                <w:i w:val="1"/>
                <w:iCs w:val="1"/>
                <w:color w:val="auto"/>
              </w:rPr>
              <w:t>0.7 %</w:t>
            </w:r>
          </w:p>
        </w:tc>
        <w:tc>
          <w:tcPr>
            <w:tcW w:w="480" w:type="dxa"/>
            <w:vAlign w:val="bottom"/>
          </w:tcPr>
          <w:p>
            <w:pPr>
              <w:spacing w:after="0"/>
              <w:rPr>
                <w:sz w:val="19"/>
                <w:szCs w:val="19"/>
                <w:color w:val="auto"/>
              </w:rPr>
            </w:pPr>
          </w:p>
        </w:tc>
        <w:tc>
          <w:tcPr>
            <w:tcW w:w="880" w:type="dxa"/>
            <w:vAlign w:val="bottom"/>
          </w:tcPr>
          <w:p>
            <w:pPr>
              <w:jc w:val="right"/>
              <w:ind w:right="98"/>
              <w:spacing w:after="0"/>
              <w:rPr>
                <w:sz w:val="20"/>
                <w:szCs w:val="20"/>
                <w:color w:val="auto"/>
              </w:rPr>
            </w:pPr>
            <w:r>
              <w:rPr>
                <w:rFonts w:ascii="Arial" w:cs="Arial" w:eastAsia="Arial" w:hAnsi="Arial"/>
                <w:sz w:val="18"/>
                <w:szCs w:val="18"/>
                <w:color w:val="auto"/>
              </w:rPr>
              <w:t>(44,029)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(39,371)</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11.8 %</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(2,162)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(1,357)</w:t>
            </w: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59.3 %</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(9,508)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(8,797)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8.1 %</w:t>
            </w:r>
          </w:p>
        </w:tc>
        <w:tc>
          <w:tcPr>
            <w:tcW w:w="0" w:type="dxa"/>
            <w:vAlign w:val="bottom"/>
          </w:tcPr>
          <w:p>
            <w:pPr>
              <w:spacing w:after="0"/>
              <w:rPr>
                <w:sz w:val="1"/>
                <w:szCs w:val="1"/>
                <w:color w:val="auto"/>
              </w:rPr>
            </w:pPr>
          </w:p>
        </w:tc>
      </w:tr>
      <w:tr>
        <w:trPr>
          <w:trHeight w:val="219"/>
        </w:trPr>
        <w:tc>
          <w:tcPr>
            <w:tcW w:w="3160" w:type="dxa"/>
            <w:vAlign w:val="bottom"/>
          </w:tcPr>
          <w:p>
            <w:pPr>
              <w:ind w:left="2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 (2)</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3,084</w:t>
            </w:r>
          </w:p>
        </w:tc>
        <w:tc>
          <w:tcPr>
            <w:tcW w:w="1260" w:type="dxa"/>
            <w:vAlign w:val="bottom"/>
          </w:tcPr>
          <w:p>
            <w:pPr>
              <w:jc w:val="right"/>
              <w:ind w:right="38"/>
              <w:spacing w:after="0"/>
              <w:rPr>
                <w:sz w:val="20"/>
                <w:szCs w:val="20"/>
                <w:color w:val="auto"/>
              </w:rPr>
            </w:pPr>
            <w:r>
              <w:rPr>
                <w:rFonts w:ascii="Arial" w:cs="Arial" w:eastAsia="Arial" w:hAnsi="Arial"/>
                <w:sz w:val="18"/>
                <w:szCs w:val="18"/>
                <w:i w:val="1"/>
                <w:iCs w:val="1"/>
                <w:color w:val="auto"/>
              </w:rPr>
              <w:t>(90.8)%</w:t>
            </w: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6,488</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(73.1)%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160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Ratios: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0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2080" w:type="dxa"/>
            <w:vAlign w:val="bottom"/>
          </w:tcPr>
          <w:p>
            <w:pPr>
              <w:jc w:val="right"/>
              <w:ind w:right="392"/>
              <w:spacing w:after="0"/>
              <w:rPr>
                <w:sz w:val="20"/>
                <w:szCs w:val="20"/>
                <w:color w:val="auto"/>
              </w:rPr>
            </w:pPr>
            <w:r>
              <w:rPr>
                <w:rFonts w:ascii="Arial" w:cs="Arial" w:eastAsia="Arial" w:hAnsi="Arial"/>
                <w:sz w:val="18"/>
                <w:szCs w:val="18"/>
                <w:color w:val="auto"/>
              </w:rPr>
              <w:t>86.3 %</w:t>
            </w:r>
          </w:p>
        </w:tc>
        <w:tc>
          <w:tcPr>
            <w:tcW w:w="2060" w:type="dxa"/>
            <w:vAlign w:val="bottom"/>
          </w:tcPr>
          <w:p>
            <w:pPr>
              <w:jc w:val="right"/>
              <w:ind w:right="972"/>
              <w:spacing w:after="0"/>
              <w:rPr>
                <w:sz w:val="20"/>
                <w:szCs w:val="20"/>
                <w:color w:val="auto"/>
              </w:rPr>
            </w:pPr>
            <w:r>
              <w:rPr>
                <w:rFonts w:ascii="Arial" w:cs="Arial" w:eastAsia="Arial" w:hAnsi="Arial"/>
                <w:sz w:val="18"/>
                <w:szCs w:val="18"/>
                <w:color w:val="auto"/>
              </w:rPr>
              <w:t>77.5 %</w:t>
            </w:r>
          </w:p>
        </w:tc>
        <w:tc>
          <w:tcPr>
            <w:tcW w:w="2040" w:type="dxa"/>
            <w:vAlign w:val="bottom"/>
          </w:tcPr>
          <w:p>
            <w:pPr>
              <w:jc w:val="right"/>
              <w:ind w:right="392"/>
              <w:spacing w:after="0"/>
              <w:rPr>
                <w:sz w:val="20"/>
                <w:szCs w:val="20"/>
                <w:color w:val="auto"/>
              </w:rPr>
            </w:pPr>
            <w:r>
              <w:rPr>
                <w:rFonts w:ascii="Arial" w:cs="Arial" w:eastAsia="Arial" w:hAnsi="Arial"/>
                <w:sz w:val="18"/>
                <w:szCs w:val="18"/>
                <w:color w:val="auto"/>
              </w:rPr>
              <w:t>79.6 %</w:t>
            </w:r>
          </w:p>
        </w:tc>
        <w:tc>
          <w:tcPr>
            <w:tcW w:w="2160" w:type="dxa"/>
            <w:vAlign w:val="bottom"/>
          </w:tcPr>
          <w:p>
            <w:pPr>
              <w:jc w:val="right"/>
              <w:ind w:right="1072"/>
              <w:spacing w:after="0"/>
              <w:rPr>
                <w:sz w:val="20"/>
                <w:szCs w:val="20"/>
                <w:color w:val="auto"/>
              </w:rPr>
            </w:pPr>
            <w:r>
              <w:rPr>
                <w:rFonts w:ascii="Arial" w:cs="Arial" w:eastAsia="Arial" w:hAnsi="Arial"/>
                <w:sz w:val="18"/>
                <w:szCs w:val="18"/>
                <w:color w:val="auto"/>
              </w:rPr>
              <w:t>72.0 %</w:t>
            </w:r>
          </w:p>
        </w:tc>
      </w:tr>
      <w:tr>
        <w:trPr>
          <w:trHeight w:val="226"/>
        </w:trPr>
        <w:tc>
          <w:tcPr>
            <w:tcW w:w="2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ratio</w:t>
            </w:r>
          </w:p>
        </w:tc>
        <w:tc>
          <w:tcPr>
            <w:tcW w:w="20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12.1 %</w:t>
            </w:r>
          </w:p>
        </w:tc>
        <w:tc>
          <w:tcPr>
            <w:tcW w:w="20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6.8 %</w:t>
            </w:r>
          </w:p>
        </w:tc>
        <w:tc>
          <w:tcPr>
            <w:tcW w:w="2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17.2 %</w:t>
            </w:r>
          </w:p>
        </w:tc>
        <w:tc>
          <w:tcPr>
            <w:tcW w:w="216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16.1 %</w:t>
            </w:r>
          </w:p>
        </w:tc>
      </w:tr>
      <w:tr>
        <w:trPr>
          <w:trHeight w:val="225"/>
        </w:trPr>
        <w:tc>
          <w:tcPr>
            <w:tcW w:w="2900" w:type="dxa"/>
            <w:vAlign w:val="bottom"/>
          </w:tcPr>
          <w:p>
            <w:pPr>
              <w:ind w:left="140"/>
              <w:spacing w:after="0"/>
              <w:rPr>
                <w:sz w:val="20"/>
                <w:szCs w:val="20"/>
                <w:color w:val="auto"/>
              </w:rPr>
            </w:pPr>
            <w:r>
              <w:rPr>
                <w:rFonts w:ascii="Arial" w:cs="Arial" w:eastAsia="Arial" w:hAnsi="Arial"/>
                <w:sz w:val="18"/>
                <w:szCs w:val="18"/>
                <w:color w:val="auto"/>
              </w:rPr>
              <w:t>Combined ratio</w:t>
            </w:r>
          </w:p>
        </w:tc>
        <w:tc>
          <w:tcPr>
            <w:tcW w:w="2080" w:type="dxa"/>
            <w:vAlign w:val="bottom"/>
          </w:tcPr>
          <w:p>
            <w:pPr>
              <w:jc w:val="right"/>
              <w:ind w:right="392"/>
              <w:spacing w:after="0"/>
              <w:rPr>
                <w:sz w:val="20"/>
                <w:szCs w:val="20"/>
                <w:color w:val="auto"/>
              </w:rPr>
            </w:pPr>
            <w:r>
              <w:rPr>
                <w:rFonts w:ascii="Arial" w:cs="Arial" w:eastAsia="Arial" w:hAnsi="Arial"/>
                <w:sz w:val="18"/>
                <w:szCs w:val="18"/>
                <w:color w:val="auto"/>
              </w:rPr>
              <w:t>98.4 %</w:t>
            </w:r>
          </w:p>
        </w:tc>
        <w:tc>
          <w:tcPr>
            <w:tcW w:w="2060" w:type="dxa"/>
            <w:vAlign w:val="bottom"/>
          </w:tcPr>
          <w:p>
            <w:pPr>
              <w:jc w:val="right"/>
              <w:ind w:right="972"/>
              <w:spacing w:after="0"/>
              <w:rPr>
                <w:sz w:val="20"/>
                <w:szCs w:val="20"/>
                <w:color w:val="auto"/>
              </w:rPr>
            </w:pPr>
            <w:r>
              <w:rPr>
                <w:rFonts w:ascii="Arial" w:cs="Arial" w:eastAsia="Arial" w:hAnsi="Arial"/>
                <w:sz w:val="18"/>
                <w:szCs w:val="18"/>
                <w:color w:val="auto"/>
              </w:rPr>
              <w:t>84.3 %</w:t>
            </w:r>
          </w:p>
        </w:tc>
        <w:tc>
          <w:tcPr>
            <w:tcW w:w="2040" w:type="dxa"/>
            <w:vAlign w:val="bottom"/>
          </w:tcPr>
          <w:p>
            <w:pPr>
              <w:jc w:val="right"/>
              <w:ind w:right="392"/>
              <w:spacing w:after="0"/>
              <w:rPr>
                <w:sz w:val="20"/>
                <w:szCs w:val="20"/>
                <w:color w:val="auto"/>
              </w:rPr>
            </w:pPr>
            <w:r>
              <w:rPr>
                <w:rFonts w:ascii="Arial" w:cs="Arial" w:eastAsia="Arial" w:hAnsi="Arial"/>
                <w:sz w:val="18"/>
                <w:szCs w:val="18"/>
                <w:color w:val="auto"/>
              </w:rPr>
              <w:t>96.8 %</w:t>
            </w:r>
          </w:p>
        </w:tc>
        <w:tc>
          <w:tcPr>
            <w:tcW w:w="2160" w:type="dxa"/>
            <w:vAlign w:val="bottom"/>
          </w:tcPr>
          <w:p>
            <w:pPr>
              <w:jc w:val="right"/>
              <w:ind w:right="1072"/>
              <w:spacing w:after="0"/>
              <w:rPr>
                <w:sz w:val="20"/>
                <w:szCs w:val="20"/>
                <w:color w:val="auto"/>
              </w:rPr>
            </w:pPr>
            <w:r>
              <w:rPr>
                <w:rFonts w:ascii="Arial" w:cs="Arial" w:eastAsia="Arial" w:hAnsi="Arial"/>
                <w:sz w:val="18"/>
                <w:szCs w:val="18"/>
                <w:color w:val="auto"/>
              </w:rPr>
              <w:t>88.1 %</w:t>
            </w:r>
          </w:p>
        </w:tc>
      </w:tr>
      <w:tr>
        <w:trPr>
          <w:trHeight w:val="226"/>
        </w:trPr>
        <w:tc>
          <w:tcPr>
            <w:tcW w:w="2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Accident year loss ratio</w:t>
            </w:r>
          </w:p>
        </w:tc>
        <w:tc>
          <w:tcPr>
            <w:tcW w:w="20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93.4 %</w:t>
            </w:r>
          </w:p>
        </w:tc>
        <w:tc>
          <w:tcPr>
            <w:tcW w:w="20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80.0 %</w:t>
            </w:r>
          </w:p>
        </w:tc>
        <w:tc>
          <w:tcPr>
            <w:tcW w:w="2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84.6 %</w:t>
            </w:r>
          </w:p>
        </w:tc>
        <w:tc>
          <w:tcPr>
            <w:tcW w:w="216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76.6 %</w:t>
            </w:r>
          </w:p>
        </w:tc>
      </w:tr>
    </w:tbl>
    <w:p>
      <w:pPr>
        <w:spacing w:after="0" w:line="186"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w:t>
      </w:r>
    </w:p>
    <w:p>
      <w:pPr>
        <w:spacing w:after="0" w:line="58" w:lineRule="exact"/>
        <w:rPr>
          <w:rFonts w:ascii="Arial" w:cs="Arial" w:eastAsia="Arial" w:hAnsi="Arial"/>
          <w:sz w:val="18"/>
          <w:szCs w:val="18"/>
          <w:i w:val="1"/>
          <w:iCs w:val="1"/>
          <w:color w:val="auto"/>
        </w:rPr>
      </w:pPr>
    </w:p>
    <w:p>
      <w:pPr>
        <w:ind w:left="640" w:hanging="316"/>
        <w:spacing w:after="0" w:line="264" w:lineRule="auto"/>
        <w:tabs>
          <w:tab w:leader="none" w:pos="634"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results include gross fee income of $5.9 million and $17.4 million for the three and nine months ended September 30, 2022, respectively ($5.6 million and $16.2 million in the respective prior year periods).</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Specialty Admitted Insurance segment generated underwriting profits of $285,000 and $3.1 million (combined ratios of 98.4% and 84.3%) in the three months ended September 30, 2022 and 2021, respectively. The loss ratios of 86.3% and 77.5% include $1.3 million and $500,000 (7.1 and 2.5 percentage points), respectively, of net favorable development in our loss estimates for prior accident years. The impact of the higher net favorable reserve development in the current year was offset by a higher current accident year loss ratio (93.4% compared to 80.0% in the prior year) which reflects current actuarial indications and higher loss trends in the business.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For the nine months ended September 30, 2022 and 2021, the segment produced underwriting profits of $1.7 million and $6.5 million (combined ratios of 96.8% and 88.1%), respectively. The loss ratios of 79.6% and 72.0% include $2.8 million and $2.5 million (5.0 and 4.6 percentage points), respectively, of net favorable development in our loss estimates for prior accident years reflecting lower loss emergence in the workers’ compensation book compared to expectations. The higher current accident year loss ratio (84.6% compared to 76.6% in the prior year) was the biggest driver of the higher overall loss ratio, and consistent with the three months ended September 30, 2022, reflects current actuarial indications and higher loss trends in the business.</w:t>
      </w:r>
    </w:p>
    <w:p>
      <w:pPr>
        <w:spacing w:after="0" w:line="4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expense ratio of the Specialty Admitted Insurance segment was 12.1% and 17.2% for the three and nine months ended September 30, 2022, respectively, compared to the prior year ratios of 6.8% and 16.1%, respectively. The segment benefited from adjustments in the prior year to the allowance for doubtful accounts, premium taxes, and assessments which together represented a 9.9 and 3.6 percentage point decrease in the segment expense ratio for the prior year quarter and year to date, respectively. Fee income in the current year increased 5.5% and 7.3% over the respective three and nine month periods in the prior year due to the growth in our fronting business. The impact of reinstatement premiums and other adjustments to tax and assessment accruals in the current quarter together represented a 6.8 and 2.4 percentage point decrease in the segment expense ratio for the current quarter and year to date,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Reinsurance Segment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Results for the Casualty Reinsurance segment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236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30,331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7,751</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291.3 %</w:t>
            </w: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68,387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109,555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Arial" w:cs="Arial" w:eastAsia="Arial" w:hAnsi="Arial"/>
                <w:sz w:val="18"/>
                <w:szCs w:val="18"/>
                <w:color w:val="auto"/>
              </w:rPr>
              <w:t>Net written premiums</w:t>
            </w:r>
          </w:p>
        </w:tc>
        <w:tc>
          <w:tcPr>
            <w:tcW w:w="3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8"/>
              <w:spacing w:after="0" w:line="198" w:lineRule="exact"/>
              <w:rPr>
                <w:sz w:val="20"/>
                <w:szCs w:val="20"/>
                <w:color w:val="auto"/>
              </w:rPr>
            </w:pPr>
            <w:r>
              <w:rPr>
                <w:rFonts w:ascii="Arial" w:cs="Arial" w:eastAsia="Arial" w:hAnsi="Arial"/>
                <w:sz w:val="18"/>
                <w:szCs w:val="18"/>
                <w:color w:val="auto"/>
              </w:rPr>
              <w:t>30,338</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4"/>
              <w:spacing w:after="0" w:line="198" w:lineRule="exact"/>
              <w:rPr>
                <w:sz w:val="20"/>
                <w:szCs w:val="20"/>
                <w:color w:val="auto"/>
              </w:rPr>
            </w:pPr>
            <w:r>
              <w:rPr>
                <w:rFonts w:ascii="Arial" w:cs="Arial" w:eastAsia="Arial" w:hAnsi="Arial"/>
                <w:sz w:val="18"/>
                <w:szCs w:val="18"/>
                <w:color w:val="auto"/>
              </w:rPr>
              <w:t>7,751</w:t>
            </w:r>
          </w:p>
        </w:tc>
        <w:tc>
          <w:tcPr>
            <w:tcW w:w="1260" w:type="dxa"/>
            <w:vAlign w:val="bottom"/>
          </w:tcPr>
          <w:p>
            <w:pPr>
              <w:jc w:val="right"/>
              <w:ind w:right="38"/>
              <w:spacing w:after="0" w:line="198" w:lineRule="exact"/>
              <w:rPr>
                <w:sz w:val="20"/>
                <w:szCs w:val="20"/>
                <w:color w:val="auto"/>
              </w:rPr>
            </w:pPr>
            <w:r>
              <w:rPr>
                <w:rFonts w:ascii="Arial" w:cs="Arial" w:eastAsia="Arial" w:hAnsi="Arial"/>
                <w:sz w:val="18"/>
                <w:szCs w:val="18"/>
                <w:i w:val="1"/>
                <w:iCs w:val="1"/>
                <w:color w:val="auto"/>
              </w:rPr>
              <w:t>291.4 %</w:t>
            </w:r>
          </w:p>
        </w:tc>
        <w:tc>
          <w:tcPr>
            <w:tcW w:w="480" w:type="dxa"/>
            <w:vAlign w:val="bottom"/>
            <w:tcBorders>
              <w:bottom w:val="single" w:sz="8" w:color="auto"/>
            </w:tcBorders>
          </w:tcPr>
          <w:p>
            <w:pPr>
              <w:jc w:val="right"/>
              <w:ind w:right="29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8"/>
              <w:spacing w:after="0" w:line="198" w:lineRule="exact"/>
              <w:rPr>
                <w:sz w:val="20"/>
                <w:szCs w:val="20"/>
                <w:color w:val="auto"/>
              </w:rPr>
            </w:pPr>
            <w:r>
              <w:rPr>
                <w:rFonts w:ascii="Arial" w:cs="Arial" w:eastAsia="Arial" w:hAnsi="Arial"/>
                <w:sz w:val="18"/>
                <w:szCs w:val="18"/>
                <w:color w:val="auto"/>
              </w:rPr>
              <w:t>70,579</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14"/>
              <w:spacing w:after="0" w:line="198" w:lineRule="exact"/>
              <w:rPr>
                <w:sz w:val="20"/>
                <w:szCs w:val="20"/>
                <w:color w:val="auto"/>
              </w:rPr>
            </w:pPr>
            <w:r>
              <w:rPr>
                <w:rFonts w:ascii="Arial" w:cs="Arial" w:eastAsia="Arial" w:hAnsi="Arial"/>
                <w:sz w:val="18"/>
                <w:szCs w:val="18"/>
                <w:color w:val="auto"/>
              </w:rPr>
              <w:t>88,855</w:t>
            </w:r>
          </w:p>
        </w:tc>
        <w:tc>
          <w:tcPr>
            <w:tcW w:w="1160" w:type="dxa"/>
            <w:vAlign w:val="bottom"/>
          </w:tcPr>
          <w:p>
            <w:pPr>
              <w:jc w:val="right"/>
              <w:spacing w:after="0" w:line="198" w:lineRule="exact"/>
              <w:rPr>
                <w:sz w:val="20"/>
                <w:szCs w:val="20"/>
                <w:color w:val="auto"/>
              </w:rPr>
            </w:pPr>
            <w:r>
              <w:rPr>
                <w:rFonts w:ascii="Arial" w:cs="Arial" w:eastAsia="Arial" w:hAnsi="Arial"/>
                <w:sz w:val="18"/>
                <w:szCs w:val="18"/>
                <w:i w:val="1"/>
                <w:iCs w:val="1"/>
                <w:color w:val="auto"/>
              </w:rPr>
              <w:t>(20.6)%</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33,270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31,144</w:t>
            </w: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6.8 %</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98"/>
              </w:rPr>
              <w:t>102,712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97,837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5.0 %</w:t>
            </w:r>
          </w:p>
        </w:tc>
        <w:tc>
          <w:tcPr>
            <w:tcW w:w="0" w:type="dxa"/>
            <w:vAlign w:val="bottom"/>
          </w:tcPr>
          <w:p>
            <w:pPr>
              <w:spacing w:after="0"/>
              <w:rPr>
                <w:sz w:val="1"/>
                <w:szCs w:val="1"/>
                <w:color w:val="auto"/>
              </w:rPr>
            </w:pPr>
          </w:p>
        </w:tc>
      </w:tr>
      <w:tr>
        <w:trPr>
          <w:trHeight w:val="225"/>
        </w:trPr>
        <w:tc>
          <w:tcPr>
            <w:tcW w:w="316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20" w:type="dxa"/>
            <w:vAlign w:val="bottom"/>
          </w:tcPr>
          <w:p>
            <w:pPr>
              <w:spacing w:after="0"/>
              <w:rPr>
                <w:sz w:val="19"/>
                <w:szCs w:val="19"/>
                <w:color w:val="auto"/>
              </w:rPr>
            </w:pP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(20,503)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(33,601)</w:t>
            </w:r>
          </w:p>
        </w:tc>
        <w:tc>
          <w:tcPr>
            <w:tcW w:w="1260" w:type="dxa"/>
            <w:vAlign w:val="bottom"/>
          </w:tcPr>
          <w:p>
            <w:pPr>
              <w:jc w:val="right"/>
              <w:ind w:right="38"/>
              <w:spacing w:after="0"/>
              <w:rPr>
                <w:sz w:val="20"/>
                <w:szCs w:val="20"/>
                <w:color w:val="auto"/>
              </w:rPr>
            </w:pPr>
            <w:r>
              <w:rPr>
                <w:rFonts w:ascii="Arial" w:cs="Arial" w:eastAsia="Arial" w:hAnsi="Arial"/>
                <w:sz w:val="18"/>
                <w:szCs w:val="18"/>
                <w:i w:val="1"/>
                <w:iCs w:val="1"/>
                <w:color w:val="auto"/>
              </w:rPr>
              <w:t>(39.0)%</w:t>
            </w:r>
          </w:p>
        </w:tc>
        <w:tc>
          <w:tcPr>
            <w:tcW w:w="480" w:type="dxa"/>
            <w:vAlign w:val="bottom"/>
          </w:tcPr>
          <w:p>
            <w:pPr>
              <w:spacing w:after="0"/>
              <w:rPr>
                <w:sz w:val="19"/>
                <w:szCs w:val="19"/>
                <w:color w:val="auto"/>
              </w:rPr>
            </w:pPr>
          </w:p>
        </w:tc>
        <w:tc>
          <w:tcPr>
            <w:tcW w:w="880" w:type="dxa"/>
            <w:vAlign w:val="bottom"/>
          </w:tcPr>
          <w:p>
            <w:pPr>
              <w:jc w:val="right"/>
              <w:ind w:right="78"/>
              <w:spacing w:after="0"/>
              <w:rPr>
                <w:sz w:val="20"/>
                <w:szCs w:val="20"/>
                <w:color w:val="auto"/>
              </w:rPr>
            </w:pPr>
            <w:r>
              <w:rPr>
                <w:rFonts w:ascii="Arial" w:cs="Arial" w:eastAsia="Arial" w:hAnsi="Arial"/>
                <w:sz w:val="18"/>
                <w:szCs w:val="18"/>
                <w:color w:val="auto"/>
              </w:rPr>
              <w:t>(74,719)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(81,657)</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(8.5)%</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(9,723)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(9,454)</w:t>
            </w: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2.8 %</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(31,727)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(33,037)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(4.0)%</w:t>
            </w:r>
          </w:p>
        </w:tc>
        <w:tc>
          <w:tcPr>
            <w:tcW w:w="0" w:type="dxa"/>
            <w:vAlign w:val="bottom"/>
          </w:tcPr>
          <w:p>
            <w:pPr>
              <w:spacing w:after="0"/>
              <w:rPr>
                <w:sz w:val="1"/>
                <w:szCs w:val="1"/>
                <w:color w:val="auto"/>
              </w:rPr>
            </w:pPr>
          </w:p>
        </w:tc>
      </w:tr>
      <w:tr>
        <w:trPr>
          <w:trHeight w:val="219"/>
        </w:trPr>
        <w:tc>
          <w:tcPr>
            <w:tcW w:w="3160" w:type="dxa"/>
            <w:vAlign w:val="bottom"/>
          </w:tcPr>
          <w:p>
            <w:pPr>
              <w:ind w:left="20"/>
              <w:spacing w:after="0"/>
              <w:rPr>
                <w:sz w:val="20"/>
                <w:szCs w:val="20"/>
                <w:color w:val="auto"/>
              </w:rPr>
            </w:pPr>
            <w:r>
              <w:rPr>
                <w:rFonts w:ascii="Arial" w:cs="Arial" w:eastAsia="Arial" w:hAnsi="Arial"/>
                <w:sz w:val="18"/>
                <w:szCs w:val="18"/>
                <w:color w:val="auto"/>
              </w:rPr>
              <w:t xml:space="preserve">Underwriting profit (loss) </w:t>
            </w:r>
            <w:r>
              <w:rPr>
                <w:rFonts w:ascii="Arial" w:cs="Arial" w:eastAsia="Arial" w:hAnsi="Arial"/>
                <w:sz w:val="14"/>
                <w:szCs w:val="14"/>
                <w:i w:val="1"/>
                <w:iCs w:val="1"/>
                <w:color w:val="auto"/>
              </w:rPr>
              <w:t>(1)</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(11,911)</w:t>
            </w:r>
          </w:p>
        </w:tc>
        <w:tc>
          <w:tcPr>
            <w:tcW w:w="1260" w:type="dxa"/>
            <w:vAlign w:val="bottom"/>
          </w:tcPr>
          <w:p>
            <w:pPr>
              <w:jc w:val="right"/>
              <w:ind w:right="238"/>
              <w:spacing w:after="0"/>
              <w:rPr>
                <w:sz w:val="20"/>
                <w:szCs w:val="20"/>
                <w:color w:val="auto"/>
              </w:rPr>
            </w:pPr>
            <w:r>
              <w:rPr>
                <w:rFonts w:ascii="Arial" w:cs="Arial" w:eastAsia="Arial" w:hAnsi="Arial"/>
                <w:sz w:val="18"/>
                <w:szCs w:val="18"/>
                <w:i w:val="1"/>
                <w:iCs w:val="1"/>
                <w:color w:val="auto"/>
              </w:rPr>
              <w:t>—</w:t>
            </w: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(3,734)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(16,857)</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(77.8)%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860" cy="160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Ratios: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4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2100" w:type="dxa"/>
            <w:vAlign w:val="bottom"/>
          </w:tcPr>
          <w:p>
            <w:pPr>
              <w:jc w:val="right"/>
              <w:ind w:right="352"/>
              <w:spacing w:after="0"/>
              <w:rPr>
                <w:sz w:val="20"/>
                <w:szCs w:val="20"/>
                <w:color w:val="auto"/>
              </w:rPr>
            </w:pPr>
            <w:r>
              <w:rPr>
                <w:rFonts w:ascii="Arial" w:cs="Arial" w:eastAsia="Arial" w:hAnsi="Arial"/>
                <w:sz w:val="18"/>
                <w:szCs w:val="18"/>
                <w:color w:val="auto"/>
              </w:rPr>
              <w:t>61.6 %</w:t>
            </w:r>
          </w:p>
        </w:tc>
        <w:tc>
          <w:tcPr>
            <w:tcW w:w="2040" w:type="dxa"/>
            <w:vAlign w:val="bottom"/>
          </w:tcPr>
          <w:p>
            <w:pPr>
              <w:jc w:val="right"/>
              <w:ind w:right="932"/>
              <w:spacing w:after="0"/>
              <w:rPr>
                <w:sz w:val="20"/>
                <w:szCs w:val="20"/>
                <w:color w:val="auto"/>
              </w:rPr>
            </w:pPr>
            <w:r>
              <w:rPr>
                <w:rFonts w:ascii="Arial" w:cs="Arial" w:eastAsia="Arial" w:hAnsi="Arial"/>
                <w:sz w:val="18"/>
                <w:szCs w:val="18"/>
                <w:color w:val="auto"/>
              </w:rPr>
              <w:t>107.9 %</w:t>
            </w:r>
          </w:p>
        </w:tc>
        <w:tc>
          <w:tcPr>
            <w:tcW w:w="2060" w:type="dxa"/>
            <w:vAlign w:val="bottom"/>
          </w:tcPr>
          <w:p>
            <w:pPr>
              <w:jc w:val="right"/>
              <w:ind w:right="372"/>
              <w:spacing w:after="0"/>
              <w:rPr>
                <w:sz w:val="20"/>
                <w:szCs w:val="20"/>
                <w:color w:val="auto"/>
              </w:rPr>
            </w:pPr>
            <w:r>
              <w:rPr>
                <w:rFonts w:ascii="Arial" w:cs="Arial" w:eastAsia="Arial" w:hAnsi="Arial"/>
                <w:sz w:val="18"/>
                <w:szCs w:val="18"/>
                <w:color w:val="auto"/>
              </w:rPr>
              <w:t>72.7 %</w:t>
            </w:r>
          </w:p>
        </w:tc>
        <w:tc>
          <w:tcPr>
            <w:tcW w:w="2200" w:type="dxa"/>
            <w:vAlign w:val="bottom"/>
          </w:tcPr>
          <w:p>
            <w:pPr>
              <w:jc w:val="right"/>
              <w:ind w:right="1072"/>
              <w:spacing w:after="0"/>
              <w:rPr>
                <w:sz w:val="20"/>
                <w:szCs w:val="20"/>
                <w:color w:val="auto"/>
              </w:rPr>
            </w:pPr>
            <w:r>
              <w:rPr>
                <w:rFonts w:ascii="Arial" w:cs="Arial" w:eastAsia="Arial" w:hAnsi="Arial"/>
                <w:sz w:val="18"/>
                <w:szCs w:val="18"/>
                <w:color w:val="auto"/>
              </w:rPr>
              <w:t>83.5 %</w:t>
            </w:r>
          </w:p>
        </w:tc>
      </w:tr>
      <w:tr>
        <w:trPr>
          <w:trHeight w:val="226"/>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ratio</w:t>
            </w:r>
          </w:p>
        </w:tc>
        <w:tc>
          <w:tcPr>
            <w:tcW w:w="21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29.3 %</w:t>
            </w:r>
          </w:p>
        </w:tc>
        <w:tc>
          <w:tcPr>
            <w:tcW w:w="204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rPr>
              <w:t>30.3 %</w:t>
            </w:r>
          </w:p>
        </w:tc>
        <w:tc>
          <w:tcPr>
            <w:tcW w:w="20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30.9 %</w:t>
            </w:r>
          </w:p>
        </w:tc>
        <w:tc>
          <w:tcPr>
            <w:tcW w:w="220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33.7 %</w:t>
            </w:r>
          </w:p>
        </w:tc>
      </w:tr>
      <w:tr>
        <w:trPr>
          <w:trHeight w:val="225"/>
        </w:trPr>
        <w:tc>
          <w:tcPr>
            <w:tcW w:w="284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2100" w:type="dxa"/>
            <w:vAlign w:val="bottom"/>
          </w:tcPr>
          <w:p>
            <w:pPr>
              <w:jc w:val="right"/>
              <w:ind w:right="352"/>
              <w:spacing w:after="0"/>
              <w:rPr>
                <w:sz w:val="20"/>
                <w:szCs w:val="20"/>
                <w:color w:val="auto"/>
              </w:rPr>
            </w:pPr>
            <w:r>
              <w:rPr>
                <w:rFonts w:ascii="Arial" w:cs="Arial" w:eastAsia="Arial" w:hAnsi="Arial"/>
                <w:sz w:val="18"/>
                <w:szCs w:val="18"/>
                <w:color w:val="auto"/>
              </w:rPr>
              <w:t>90.9 %</w:t>
            </w:r>
          </w:p>
        </w:tc>
        <w:tc>
          <w:tcPr>
            <w:tcW w:w="2040" w:type="dxa"/>
            <w:vAlign w:val="bottom"/>
          </w:tcPr>
          <w:p>
            <w:pPr>
              <w:jc w:val="right"/>
              <w:ind w:right="932"/>
              <w:spacing w:after="0"/>
              <w:rPr>
                <w:sz w:val="20"/>
                <w:szCs w:val="20"/>
                <w:color w:val="auto"/>
              </w:rPr>
            </w:pPr>
            <w:r>
              <w:rPr>
                <w:rFonts w:ascii="Arial" w:cs="Arial" w:eastAsia="Arial" w:hAnsi="Arial"/>
                <w:sz w:val="18"/>
                <w:szCs w:val="18"/>
                <w:color w:val="auto"/>
              </w:rPr>
              <w:t>138.2 %</w:t>
            </w:r>
          </w:p>
        </w:tc>
        <w:tc>
          <w:tcPr>
            <w:tcW w:w="2060" w:type="dxa"/>
            <w:vAlign w:val="bottom"/>
          </w:tcPr>
          <w:p>
            <w:pPr>
              <w:jc w:val="right"/>
              <w:ind w:right="372"/>
              <w:spacing w:after="0"/>
              <w:rPr>
                <w:sz w:val="20"/>
                <w:szCs w:val="20"/>
                <w:color w:val="auto"/>
              </w:rPr>
            </w:pPr>
            <w:r>
              <w:rPr>
                <w:rFonts w:ascii="Arial" w:cs="Arial" w:eastAsia="Arial" w:hAnsi="Arial"/>
                <w:sz w:val="18"/>
                <w:szCs w:val="18"/>
                <w:color w:val="auto"/>
              </w:rPr>
              <w:t>103.6 %</w:t>
            </w:r>
          </w:p>
        </w:tc>
        <w:tc>
          <w:tcPr>
            <w:tcW w:w="2200" w:type="dxa"/>
            <w:vAlign w:val="bottom"/>
          </w:tcPr>
          <w:p>
            <w:pPr>
              <w:jc w:val="right"/>
              <w:ind w:right="1072"/>
              <w:spacing w:after="0"/>
              <w:rPr>
                <w:sz w:val="20"/>
                <w:szCs w:val="20"/>
                <w:color w:val="auto"/>
              </w:rPr>
            </w:pPr>
            <w:r>
              <w:rPr>
                <w:rFonts w:ascii="Arial" w:cs="Arial" w:eastAsia="Arial" w:hAnsi="Arial"/>
                <w:sz w:val="18"/>
                <w:szCs w:val="18"/>
                <w:color w:val="auto"/>
              </w:rPr>
              <w:t>117.2 %</w:t>
            </w:r>
          </w:p>
        </w:tc>
      </w:tr>
      <w:tr>
        <w:trPr>
          <w:trHeight w:val="226"/>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Accident year loss ratio</w:t>
            </w:r>
          </w:p>
        </w:tc>
        <w:tc>
          <w:tcPr>
            <w:tcW w:w="21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61.6 %</w:t>
            </w:r>
          </w:p>
        </w:tc>
        <w:tc>
          <w:tcPr>
            <w:tcW w:w="204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rPr>
              <w:t>59.5 %</w:t>
            </w:r>
          </w:p>
        </w:tc>
        <w:tc>
          <w:tcPr>
            <w:tcW w:w="20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66.1 %</w:t>
            </w:r>
          </w:p>
        </w:tc>
        <w:tc>
          <w:tcPr>
            <w:tcW w:w="220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60.4 %</w:t>
            </w: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(1) Underwriting Profit (Loss) is a non-GAAP Measure. See “Reconciliation of Non-GAAP Measures.”</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The Casualty Reinsurance segment produced an underwriting profit of $3.0 million and a combined ratio of 90.9% for the three months ended September 30, 2022 compared to an underwriting loss of $11.9 million and a combined ratio of 138.2% for the three months ended September 30, 2021. The loss ratio improved from 107.9% in the prior three month period to 61.6% in the current year, driven mainly by the impact of $15.1 million or 48.4 percentage points of net adverse development in our loss estimates for prior accident years in the three months ended September 30, 2021. As outlined in the </w:t>
      </w:r>
      <w:r>
        <w:rPr>
          <w:rFonts w:ascii="Arial" w:cs="Arial" w:eastAsia="Arial" w:hAnsi="Arial"/>
          <w:sz w:val="15"/>
          <w:szCs w:val="15"/>
          <w:i w:val="1"/>
          <w:iCs w:val="1"/>
          <w:color w:val="auto"/>
        </w:rPr>
        <w:t>“Strategic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Actions” </w:t>
      </w:r>
      <w:r>
        <w:rPr>
          <w:rFonts w:ascii="Arial" w:cs="Arial" w:eastAsia="Arial" w:hAnsi="Arial"/>
          <w:sz w:val="15"/>
          <w:szCs w:val="15"/>
          <w:color w:val="auto"/>
        </w:rPr>
        <w:t>above, on February 23, 2022, JRG Re entered into the Retrocession Agreement to reinsure the majority of the Casualty Reinsurance segment's</w:t>
      </w:r>
      <w:r>
        <w:rPr>
          <w:rFonts w:ascii="Arial" w:cs="Arial" w:eastAsia="Arial" w:hAnsi="Arial"/>
          <w:sz w:val="15"/>
          <w:szCs w:val="15"/>
          <w:i w:val="1"/>
          <w:iCs w:val="1"/>
          <w:color w:val="auto"/>
        </w:rPr>
        <w:t xml:space="preserve"> </w:t>
      </w:r>
      <w:r>
        <w:rPr>
          <w:rFonts w:ascii="Arial" w:cs="Arial" w:eastAsia="Arial" w:hAnsi="Arial"/>
          <w:sz w:val="15"/>
          <w:szCs w:val="15"/>
          <w:color w:val="auto"/>
        </w:rPr>
        <w:t>reserves. No prior accident year reserve development was recognized for this segment in the three months ended September 30, 2022.</w:t>
      </w:r>
    </w:p>
    <w:p>
      <w:pPr>
        <w:spacing w:after="0" w:line="4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For the nine months ended September 30, 2022 and 2021, the segment had underwriting losses of $3.7 million and $16.9 million (combined ratios of 103.6% and 117.2%), respectively. The loss ratio of 72.7% for the nine months ended September 30, 2022 includes losses of $11.5 million or 11.2 points (including $6.8 million or 6.6 points of net adverse reserve development on prior accident years and $4.7 million of current accident year losses) recognized in the three months ended March 31, 2022 associated with the Retrocession Agreement. The loss ratio of 83.5% for the nine months ended September 30, 2021 includes $22.6 million or 23.1 percentage points of net adverse development in our loss estimates for prior accident years. The higher year to date current accident year loss ratio (66.1% for the nine months ended September 30, 2022 compared to 60.4% in the prior year period) primarily reflects the $4.7 million or 4.6 points of current accident year losses associated with the Retrocession Agreement and changes in the mix of business.</w:t>
      </w:r>
    </w:p>
    <w:p>
      <w:pPr>
        <w:spacing w:after="0" w:line="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Casualty Reinsurance segment focuses on proportional reinsurance which requires larger ceding commissions resulting in a higher commission expense than in our other segments. The expense ratios of the Casualty Reinsurance segment were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29.3% and 30.9% for the three and nine months ended September 30, 2022, respectively, compared to 30.3% and 33.7% in the corresponding prior year periods. The lower current year expense ratios reflects higher net earned premiums (increases of 6.8% and 5.0% versus the corresponding three and nine month prior year periods) and lower commissions due to the mix of business and commission slides which decreased the expense ratio by 4.4 and 2.4 points in the three and nine months ended September 30, 2022, respectively, compared to a decrease of 2.5 and an increase of 0.6 points in the three and nine months ended September 30, 2021. General and administrative expenses were also lower for the three and nine months ended September 30, 2022 driven primarily by lower compensation and related expenses.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 Segment</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Other operating expenses for the Corporate and Other segment include personnel costs associated with the Bermuda and U.S. holding companies, professional fees, and various other corporate expenses that were not reimbursed by our subsidiaries, including costs associated with our internal quota share, rating agencies and strategic initiatives. The expenses are included in our calculation of consolidated underwriting profit, and in our consolidated expense ratio and combined ratio.</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Total operating expenses of the Corporate and Other segment were $8.4 million and $25.2 million for the three and nine months ended September 30, 2022, respectively, compared to $7.3 million and $23.3 million for the three and nine months ended September 30, 2021. The higher current year expenses as compared to the respective three and nine month periods in the prior year were largely driven by higher compensation expenses due to the hiring of additional employees.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Results</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Net investment income was $17.3 million and $48.3 million for the three and nine months ended September 30, 2022, respectively, compared to $15.3 million and $44.7 million for the same periods in the prior year. The Company's private investments generated losses of $424,000 and income of $2.0 million for the three and nine months ended September 30, 2022, respectively, compared to income of $1.8 million and $2.9 million in the respective prior year periods. Excluding private investments, our net investment income for the three and nine months ended September 30, 2022 increased 31.1% and 10.8% from the prior year, respectively, principally due to higher yields on fixed maturities and bank loan participations. The average duration of our portfolio excluding restricted cash equivalents was 4.2 years at September 30, 2022.</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Major categories of the Company’s net investment income are summarized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2640" w:type="dxa"/>
            <w:vAlign w:val="bottom"/>
            <w:gridSpan w:val="6"/>
          </w:tcPr>
          <w:p>
            <w:pPr>
              <w:ind w:left="60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4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80" w:type="dxa"/>
            <w:vAlign w:val="bottom"/>
            <w:gridSpan w:val="8"/>
          </w:tcPr>
          <w:p>
            <w:pPr>
              <w:jc w:val="center"/>
              <w:ind w:right="108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6"/>
                <w:szCs w:val="16"/>
                <w:color w:val="auto"/>
              </w:rPr>
            </w:pPr>
          </w:p>
        </w:tc>
        <w:tc>
          <w:tcPr>
            <w:tcW w:w="1720" w:type="dxa"/>
            <w:vAlign w:val="bottom"/>
            <w:gridSpan w:val="5"/>
          </w:tcPr>
          <w:p>
            <w:pPr>
              <w:ind w:left="780"/>
              <w:spacing w:after="0"/>
              <w:rPr>
                <w:sz w:val="20"/>
                <w:szCs w:val="20"/>
                <w:color w:val="auto"/>
              </w:rPr>
            </w:pPr>
            <w:r>
              <w:rPr>
                <w:rFonts w:ascii="Arial" w:cs="Arial" w:eastAsia="Arial" w:hAnsi="Arial"/>
                <w:sz w:val="14"/>
                <w:szCs w:val="14"/>
                <w:b w:val="1"/>
                <w:bCs w:val="1"/>
                <w:color w:val="auto"/>
                <w:w w:val="96"/>
              </w:rPr>
              <w:t>September 30,</w:t>
            </w:r>
          </w:p>
        </w:tc>
        <w:tc>
          <w:tcPr>
            <w:tcW w:w="920" w:type="dxa"/>
            <w:vAlign w:val="bottom"/>
          </w:tcPr>
          <w:p>
            <w:pPr>
              <w:spacing w:after="0"/>
              <w:rPr>
                <w:sz w:val="16"/>
                <w:szCs w:val="16"/>
                <w:color w:val="auto"/>
              </w:rPr>
            </w:pPr>
          </w:p>
        </w:tc>
      </w:tr>
      <w:tr>
        <w:trPr>
          <w:trHeight w:val="191"/>
        </w:trPr>
        <w:tc>
          <w:tcPr>
            <w:tcW w:w="4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189"/>
        </w:trPr>
        <w:tc>
          <w:tcPr>
            <w:tcW w:w="4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9"/>
          </w:tcPr>
          <w:p>
            <w:pPr>
              <w:ind w:left="740"/>
              <w:spacing w:after="0"/>
              <w:rPr>
                <w:sz w:val="20"/>
                <w:szCs w:val="20"/>
                <w:color w:val="auto"/>
              </w:rPr>
            </w:pPr>
            <w:r>
              <w:rPr>
                <w:rFonts w:ascii="Arial" w:cs="Arial" w:eastAsia="Arial" w:hAnsi="Arial"/>
                <w:sz w:val="14"/>
                <w:szCs w:val="14"/>
                <w:b w:val="1"/>
                <w:bCs w:val="1"/>
                <w:i w:val="1"/>
                <w:iCs w:val="1"/>
                <w:color w:val="auto"/>
              </w:rPr>
              <w:t>($ in thousands)</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12,267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10,437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34,878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32,683</w:t>
            </w:r>
          </w:p>
        </w:tc>
      </w:tr>
      <w:tr>
        <w:trPr>
          <w:trHeight w:val="225"/>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Bank loan participations</w:t>
            </w:r>
          </w:p>
        </w:tc>
        <w:tc>
          <w:tcPr>
            <w:tcW w:w="10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3,370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8,432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8,230</w:t>
            </w:r>
          </w:p>
        </w:tc>
      </w:tr>
      <w:tr>
        <w:trPr>
          <w:trHeight w:val="22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r>
      <w:tr>
        <w:trPr>
          <w:trHeight w:val="225"/>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Other invested assets: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5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Renewable energy investments</w:t>
            </w: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25"/>
        </w:trPr>
        <w:tc>
          <w:tcPr>
            <w:tcW w:w="54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private investments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color w:val="auto"/>
                <w:w w:val="91"/>
              </w:rPr>
              <w:t>(1,082)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r>
      <w:tr>
        <w:trPr>
          <w:trHeight w:val="219"/>
        </w:trPr>
        <w:tc>
          <w:tcPr>
            <w:tcW w:w="4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r>
      <w:tr>
        <w:trPr>
          <w:trHeight w:val="173"/>
        </w:trPr>
        <w:tc>
          <w:tcPr>
            <w:tcW w:w="542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Cash, cash equivalents, restricted cash equivalents and short-term</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7"/>
        </w:trPr>
        <w:tc>
          <w:tcPr>
            <w:tcW w:w="5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1,687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2,067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19"/>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18,290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47,709</w:t>
            </w:r>
          </w:p>
        </w:tc>
      </w:tr>
      <w:tr>
        <w:trPr>
          <w:trHeight w:val="225"/>
        </w:trPr>
        <w:tc>
          <w:tcPr>
            <w:tcW w:w="5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color w:val="auto"/>
                <w:w w:val="91"/>
              </w:rPr>
              <w:t>(3,024)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r>
      <w:tr>
        <w:trPr>
          <w:trHeight w:val="244"/>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17,306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15,289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48,278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83"/>
        </w:trPr>
        <w:tc>
          <w:tcPr>
            <w:tcW w:w="5520" w:type="dxa"/>
            <w:vAlign w:val="bottom"/>
            <w:gridSpan w:val="3"/>
          </w:tcPr>
          <w:p>
            <w:pPr>
              <w:jc w:val="right"/>
              <w:spacing w:after="0"/>
              <w:rPr>
                <w:sz w:val="20"/>
                <w:szCs w:val="20"/>
                <w:color w:val="auto"/>
              </w:rPr>
            </w:pPr>
            <w:r>
              <w:rPr>
                <w:rFonts w:ascii="Arial" w:cs="Arial" w:eastAsia="Arial" w:hAnsi="Arial"/>
                <w:sz w:val="18"/>
                <w:szCs w:val="18"/>
                <w:color w:val="auto"/>
                <w:w w:val="94"/>
              </w:rPr>
              <w:t>The following table summarizes our annualized gross investment returns: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6"/>
        </w:trPr>
        <w:tc>
          <w:tcPr>
            <w:tcW w:w="4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gridSpan w:val="5"/>
          </w:tcPr>
          <w:p>
            <w:pPr>
              <w:jc w:val="center"/>
              <w:ind w:left="197"/>
              <w:spacing w:after="0"/>
              <w:rPr>
                <w:sz w:val="20"/>
                <w:szCs w:val="20"/>
                <w:color w:val="auto"/>
              </w:rPr>
            </w:pPr>
            <w:r>
              <w:rPr>
                <w:rFonts w:ascii="Arial" w:cs="Arial" w:eastAsia="Arial" w:hAnsi="Arial"/>
                <w:sz w:val="14"/>
                <w:szCs w:val="14"/>
                <w:b w:val="1"/>
                <w:bCs w:val="1"/>
                <w:color w:val="auto"/>
                <w:w w:val="92"/>
              </w:rPr>
              <w:t>Three Months Ended</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gridSpan w:val="5"/>
          </w:tcPr>
          <w:p>
            <w:pPr>
              <w:ind w:left="480"/>
              <w:spacing w:after="0"/>
              <w:rPr>
                <w:sz w:val="20"/>
                <w:szCs w:val="20"/>
                <w:color w:val="auto"/>
              </w:rPr>
            </w:pPr>
            <w:r>
              <w:rPr>
                <w:rFonts w:ascii="Arial" w:cs="Arial" w:eastAsia="Arial" w:hAnsi="Arial"/>
                <w:sz w:val="14"/>
                <w:szCs w:val="14"/>
                <w:b w:val="1"/>
                <w:bCs w:val="1"/>
                <w:color w:val="auto"/>
                <w:w w:val="93"/>
              </w:rPr>
              <w:t>Nine Months Ended</w:t>
            </w:r>
          </w:p>
        </w:tc>
        <w:tc>
          <w:tcPr>
            <w:tcW w:w="920" w:type="dxa"/>
            <w:vAlign w:val="bottom"/>
          </w:tcPr>
          <w:p>
            <w:pPr>
              <w:spacing w:after="0"/>
              <w:rPr>
                <w:sz w:val="23"/>
                <w:szCs w:val="23"/>
                <w:color w:val="auto"/>
              </w:rPr>
            </w:pPr>
          </w:p>
        </w:tc>
      </w:tr>
      <w:tr>
        <w:trPr>
          <w:trHeight w:val="192"/>
        </w:trPr>
        <w:tc>
          <w:tcPr>
            <w:tcW w:w="49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left="417"/>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2"/>
        </w:trPr>
        <w:tc>
          <w:tcPr>
            <w:tcW w:w="49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w w:val="83"/>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83"/>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89"/>
              </w:rPr>
              <w:t>2021</w:t>
            </w:r>
          </w:p>
        </w:tc>
      </w:tr>
      <w:tr>
        <w:trPr>
          <w:trHeight w:val="225"/>
        </w:trPr>
        <w:tc>
          <w:tcPr>
            <w:tcW w:w="4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Cash and invested assets</w:t>
            </w:r>
          </w:p>
        </w:tc>
        <w:tc>
          <w:tcPr>
            <w:tcW w:w="100" w:type="dxa"/>
            <w:vAlign w:val="bottom"/>
          </w:tcPr>
          <w:p>
            <w:pPr>
              <w:spacing w:after="0"/>
              <w:rPr>
                <w:sz w:val="19"/>
                <w:szCs w:val="19"/>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w w:val="91"/>
              </w:rPr>
              <w:t>3.0 %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ind w:left="580"/>
              <w:spacing w:after="0"/>
              <w:rPr>
                <w:sz w:val="20"/>
                <w:szCs w:val="20"/>
                <w:color w:val="auto"/>
              </w:rPr>
            </w:pPr>
            <w:r>
              <w:rPr>
                <w:rFonts w:ascii="Arial" w:cs="Arial" w:eastAsia="Arial" w:hAnsi="Arial"/>
                <w:sz w:val="18"/>
                <w:szCs w:val="18"/>
                <w:color w:val="auto"/>
                <w:w w:val="91"/>
              </w:rPr>
              <w:t>2.8 %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2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3.3 %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1"/>
              </w:rPr>
              <w:t>2.9 %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bl>
    <w:p>
      <w:pPr>
        <w:spacing w:after="0" w:line="17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Of our total cash and invested assets of $2,363.6 million at September 30, 2022 (excluding restricted cash equivalents), $187.5 million represents the cash and cash equivalents portion of the portfolio. The majority of the portfolio, or $1,639.2</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million, is comprised of fixed maturity securities that are classified as available-for-sale and carried at fair value with unrealized gains and losses on these securities reported, net of applicable taxes, as a separate component of accumulated comprehensive (loss) income. In the nine months ended September 30, 2022, the fair values of our fixed maturity securities were negatively impacted by a heightened inflationary environment and rate actions of the Federal Reserve, which led to higher interest rates and lower fair values of our fixed maturity securities. Unrealized losses on fixed maturities recognized in other comprehensive (loss) income resulted in a $205.2 million reduction in accumulated other comprehensive (loss) income in the nine months ended September 30, 2022.</w:t>
      </w:r>
    </w:p>
    <w:p>
      <w:pPr>
        <w:spacing w:after="0" w:line="9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Also included in our investments are $160.3 million of bank loan participations, $118.1 million of equity securities, $208.9 million of short-term investments, and $49.5 million of other invested assets.</w:t>
      </w:r>
    </w:p>
    <w:p>
      <w:pPr>
        <w:spacing w:after="0" w:line="7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facilities, and similar loans and investments. </w:t>
      </w:r>
      <w:r>
        <w:rPr>
          <w:rFonts w:ascii="Arial" w:cs="Arial" w:eastAsia="Arial" w:hAnsi="Arial"/>
          <w:sz w:val="18"/>
          <w:szCs w:val="18"/>
          <w:color w:val="231F20"/>
        </w:rPr>
        <w:t>Bank loan participations are measured at fair value pursuant to the Company's election of the fair</w:t>
      </w:r>
      <w:r>
        <w:rPr>
          <w:rFonts w:ascii="Arial" w:cs="Arial" w:eastAsia="Arial" w:hAnsi="Arial"/>
          <w:sz w:val="18"/>
          <w:szCs w:val="18"/>
          <w:color w:val="auto"/>
        </w:rPr>
        <w:t xml:space="preserve"> </w:t>
      </w:r>
      <w:r>
        <w:rPr>
          <w:rFonts w:ascii="Arial" w:cs="Arial" w:eastAsia="Arial" w:hAnsi="Arial"/>
          <w:sz w:val="18"/>
          <w:szCs w:val="18"/>
          <w:color w:val="231F20"/>
        </w:rPr>
        <w:t xml:space="preserve">value option, and changes in unrealized gains and losses in bank loan participations are reported in our income statement as net realized and unrealized gains (losses) on investments. </w:t>
      </w:r>
      <w:r>
        <w:rPr>
          <w:rFonts w:ascii="Arial" w:cs="Arial" w:eastAsia="Arial" w:hAnsi="Arial"/>
          <w:sz w:val="18"/>
          <w:szCs w:val="18"/>
          <w:color w:val="000000"/>
        </w:rPr>
        <w:t>At September 30, 2022 and December 31, 2021, the fair market value of these securities was $160.3 million and $156.0 million,</w:t>
      </w:r>
      <w:r>
        <w:rPr>
          <w:rFonts w:ascii="Arial" w:cs="Arial" w:eastAsia="Arial" w:hAnsi="Arial"/>
          <w:sz w:val="18"/>
          <w:szCs w:val="18"/>
          <w:color w:val="231F20"/>
        </w:rPr>
        <w:t xml:space="preserve"> </w:t>
      </w:r>
      <w:r>
        <w:rPr>
          <w:rFonts w:ascii="Arial" w:cs="Arial" w:eastAsia="Arial" w:hAnsi="Arial"/>
          <w:sz w:val="18"/>
          <w:szCs w:val="18"/>
          <w:color w:val="000000"/>
        </w:rPr>
        <w:t>respectively.</w:t>
      </w:r>
    </w:p>
    <w:p>
      <w:pPr>
        <w:spacing w:after="0" w:line="9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nine months ended September 30, 2022, the Company recognized net realized and unrealized investment losses of $29.9 million ($7.8 million of net realized and unrealized investment losses for the three months ended September 30, 2022), including $13.8 million of net unrealized losses on bank loan participations, $16.0 million of net unrealized losses for the change in the fair value of equity securities, $284,000 of net realized investment gains on the sale of fixed maturity securities, $376,000 of net realized investment losses on the sale of bank loan participations, and $47,000 of net realized investment gains on the sale of equity securities.</w:t>
      </w:r>
    </w:p>
    <w:p>
      <w:pPr>
        <w:spacing w:after="0" w:line="8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nine months ended September 30, 2021, the Company recognized net realized and unrealized investment gains of $13.7 million ($4.0 million of net realized and unrealized investment gains for the three months ended September 30, 2021), including $6.6 million of net unrealized gains on bank loan participations, $3.8 million of net unrealized gains for the change in the fair value of equity securities, $4.3 million of net realized investment gains on the sale of fixed maturity securities, $645,000 of net realized investment losses on the sale of bank loan participations, and $386,000 of net realized investment losses on the sale of equity securities.</w:t>
      </w:r>
    </w:p>
    <w:p>
      <w:pPr>
        <w:spacing w:after="0" w:line="8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In conjunction with its outside investment managers, the Company performs quarterly reviews of all securities within its investment portfolio to determine whether any impairment has occurred. Management concluded that none of its fixed maturity securities were impaired at September 30, 2022 or December 31, 2021. At September 30, 2022, 99.8% of the Company’s fixed maturity security portfolio was rated “BBB-” or better (“investment grade”) by Standard &amp; Poor’s or received an equivalent rating from another nationally recognized rating agency. </w:t>
      </w:r>
      <w:r>
        <w:rPr>
          <w:rFonts w:ascii="Arial" w:cs="Arial" w:eastAsia="Arial" w:hAnsi="Arial"/>
          <w:sz w:val="18"/>
          <w:szCs w:val="18"/>
          <w:color w:val="231F20"/>
        </w:rPr>
        <w:t>Management does not intend to sell available-for-sale</w:t>
      </w:r>
      <w:r>
        <w:rPr>
          <w:rFonts w:ascii="Arial" w:cs="Arial" w:eastAsia="Arial" w:hAnsi="Arial"/>
          <w:sz w:val="18"/>
          <w:szCs w:val="18"/>
          <w:color w:val="auto"/>
        </w:rPr>
        <w:t xml:space="preserve"> </w:t>
      </w:r>
      <w:r>
        <w:rPr>
          <w:rFonts w:ascii="Arial" w:cs="Arial" w:eastAsia="Arial" w:hAnsi="Arial"/>
          <w:sz w:val="18"/>
          <w:szCs w:val="18"/>
          <w:color w:val="231F20"/>
        </w:rPr>
        <w:t>securities in an unrealized loss position, and it is not “more likely than not” that the Company will be required to sell these securities before a recovery in their value to their amortized cost basis occurs.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amortized cost and fair value of our available-for-sale fixed maturity securities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September 30, 2022</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w w:val="95"/>
              </w:rPr>
              <w:t>December 31, 2021</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3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00"/>
              <w:spacing w:after="0" w:line="130" w:lineRule="exact"/>
              <w:rPr>
                <w:sz w:val="20"/>
                <w:szCs w:val="20"/>
                <w:color w:val="auto"/>
              </w:rPr>
            </w:pPr>
            <w:r>
              <w:rPr>
                <w:rFonts w:ascii="Arial" w:cs="Arial" w:eastAsia="Arial" w:hAnsi="Arial"/>
                <w:sz w:val="14"/>
                <w:szCs w:val="14"/>
                <w:b w:val="1"/>
                <w:bCs w:val="1"/>
                <w:color w:val="auto"/>
                <w:w w:val="89"/>
              </w:rPr>
              <w:t>Cost or</w:t>
            </w: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Fair</w:t>
            </w:r>
          </w:p>
        </w:tc>
        <w:tc>
          <w:tcPr>
            <w:tcW w:w="13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93"/>
              </w:rPr>
              <w:t>Cost or</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2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3"/>
              </w:rPr>
              <w:t>Cost</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5"/>
          </w:tcPr>
          <w:p>
            <w:pPr>
              <w:ind w:left="88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Fixed maturity securities, available-for-sale:</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30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377,410</w:t>
            </w:r>
          </w:p>
        </w:tc>
        <w:tc>
          <w:tcPr>
            <w:tcW w:w="12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320,897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19.6 %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323,773</w:t>
            </w:r>
          </w:p>
        </w:tc>
        <w:tc>
          <w:tcPr>
            <w:tcW w:w="100" w:type="dxa"/>
            <w:vAlign w:val="bottom"/>
          </w:tcPr>
          <w:p>
            <w:pPr>
              <w:spacing w:after="0"/>
              <w:rPr>
                <w:sz w:val="19"/>
                <w:szCs w:val="19"/>
                <w:color w:val="auto"/>
              </w:rPr>
            </w:pPr>
          </w:p>
        </w:tc>
        <w:tc>
          <w:tcPr>
            <w:tcW w:w="260" w:type="dxa"/>
            <w:vAlign w:val="bottom"/>
          </w:tcPr>
          <w:p>
            <w:pPr>
              <w:jc w:val="right"/>
              <w:ind w:right="58"/>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333,717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19.9 %</w:t>
            </w: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348,927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246,631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14.7 %</w:t>
            </w:r>
          </w:p>
        </w:tc>
        <w:tc>
          <w:tcPr>
            <w:tcW w:w="0" w:type="dxa"/>
            <w:vAlign w:val="bottom"/>
          </w:tcPr>
          <w:p>
            <w:pPr>
              <w:spacing w:after="0"/>
              <w:rPr>
                <w:sz w:val="1"/>
                <w:szCs w:val="1"/>
                <w:color w:val="auto"/>
              </w:rPr>
            </w:pPr>
          </w:p>
        </w:tc>
      </w:tr>
      <w:tr>
        <w:trPr>
          <w:trHeight w:val="225"/>
        </w:trPr>
        <w:tc>
          <w:tcPr>
            <w:tcW w:w="330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669,209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593,957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36.2 %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711,930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732,335</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43.7 %</w:t>
            </w: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Commercial mortgage and asset-backed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303,845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18.2 %</w:t>
            </w:r>
          </w:p>
        </w:tc>
        <w:tc>
          <w:tcPr>
            <w:tcW w:w="0" w:type="dxa"/>
            <w:vAlign w:val="bottom"/>
          </w:tcPr>
          <w:p>
            <w:pPr>
              <w:spacing w:after="0"/>
              <w:rPr>
                <w:sz w:val="1"/>
                <w:szCs w:val="1"/>
                <w:color w:val="auto"/>
              </w:rPr>
            </w:pPr>
          </w:p>
        </w:tc>
      </w:tr>
      <w:tr>
        <w:trPr>
          <w:trHeight w:val="173"/>
        </w:trPr>
        <w:tc>
          <w:tcPr>
            <w:tcW w:w="3300" w:type="dxa"/>
            <w:vAlign w:val="bottom"/>
          </w:tcPr>
          <w:p>
            <w:pPr>
              <w:ind w:left="180"/>
              <w:spacing w:after="0" w:line="173" w:lineRule="exact"/>
              <w:rPr>
                <w:sz w:val="20"/>
                <w:szCs w:val="20"/>
                <w:color w:val="auto"/>
              </w:rPr>
            </w:pPr>
            <w:r>
              <w:rPr>
                <w:rFonts w:ascii="Arial" w:cs="Arial" w:eastAsia="Arial" w:hAnsi="Arial"/>
                <w:sz w:val="18"/>
                <w:szCs w:val="18"/>
                <w:color w:val="auto"/>
                <w:w w:val="97"/>
              </w:rPr>
              <w:t>U.S. Treasury securities and obligations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guaranteed by the U.S. government</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76,309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71,622</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4.4 %</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60,329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60,390</w:t>
            </w: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3.5 %</w:t>
            </w:r>
          </w:p>
        </w:tc>
        <w:tc>
          <w:tcPr>
            <w:tcW w:w="0" w:type="dxa"/>
            <w:vAlign w:val="bottom"/>
          </w:tcPr>
          <w:p>
            <w:pPr>
              <w:spacing w:after="0"/>
              <w:rPr>
                <w:sz w:val="1"/>
                <w:szCs w:val="1"/>
                <w:color w:val="auto"/>
              </w:rPr>
            </w:pPr>
          </w:p>
        </w:tc>
      </w:tr>
      <w:tr>
        <w:trPr>
          <w:trHeight w:val="154"/>
        </w:trPr>
        <w:tc>
          <w:tcPr>
            <w:tcW w:w="330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9"/>
              </w:rPr>
              <w:t>Total fixed maturity securities, available-for-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1,839,336</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1,639,248</w:t>
            </w:r>
          </w:p>
        </w:tc>
        <w:tc>
          <w:tcPr>
            <w:tcW w:w="1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1,643,865</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1,677,561</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0" w:type="dxa"/>
            <w:vAlign w:val="bottom"/>
          </w:tcPr>
          <w:p>
            <w:pPr>
              <w:spacing w:after="0"/>
              <w:rPr>
                <w:sz w:val="1"/>
                <w:szCs w:val="1"/>
                <w:color w:val="auto"/>
              </w:rPr>
            </w:pPr>
          </w:p>
        </w:tc>
      </w:tr>
      <w:tr>
        <w:trPr>
          <w:trHeight w:val="231"/>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The following table sets forth the composition of the Company’s portfolio of available-for-sale fixed maturity securities by rating as of </w:t>
      </w:r>
      <w:r>
        <w:rPr>
          <w:rFonts w:ascii="Arial" w:cs="Arial" w:eastAsia="Arial" w:hAnsi="Arial"/>
          <w:sz w:val="15"/>
          <w:szCs w:val="15"/>
          <w:color w:val="231F20"/>
        </w:rPr>
        <w:t>September 30,</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231F20"/>
        </w:rPr>
        <w:t>2022</w:t>
      </w:r>
      <w:r>
        <w:rPr>
          <w:rFonts w:ascii="Arial" w:cs="Arial" w:eastAsia="Arial" w:hAnsi="Arial"/>
          <w:sz w:val="18"/>
          <w:szCs w:val="18"/>
          <w:color w:val="000000"/>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Standard &amp; Poor’s or Equivalent Designation</w:t>
            </w:r>
          </w:p>
        </w:tc>
        <w:tc>
          <w:tcPr>
            <w:tcW w:w="20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 of Total</w:t>
            </w:r>
          </w:p>
        </w:tc>
      </w:tr>
      <w:tr>
        <w:trPr>
          <w:trHeight w:val="24"/>
        </w:trPr>
        <w:tc>
          <w:tcPr>
            <w:tcW w:w="8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183"/>
        </w:trPr>
        <w:tc>
          <w:tcPr>
            <w:tcW w:w="8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3"/>
          </w:tcPr>
          <w:p>
            <w:pPr>
              <w:jc w:val="right"/>
              <w:ind w:right="774"/>
              <w:spacing w:after="0"/>
              <w:rPr>
                <w:sz w:val="20"/>
                <w:szCs w:val="20"/>
                <w:color w:val="auto"/>
              </w:rPr>
            </w:pPr>
            <w:r>
              <w:rPr>
                <w:rFonts w:ascii="Arial" w:cs="Arial" w:eastAsia="Arial" w:hAnsi="Arial"/>
                <w:sz w:val="14"/>
                <w:szCs w:val="14"/>
                <w:b w:val="1"/>
                <w:bCs w:val="1"/>
                <w:i w:val="1"/>
                <w:iCs w:val="1"/>
                <w:color w:val="auto"/>
              </w:rPr>
              <w:t>($ in thousands)</w:t>
            </w:r>
          </w:p>
        </w:tc>
      </w:tr>
      <w:tr>
        <w:trPr>
          <w:trHeight w:val="23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368,400</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AA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687,406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41.9 %</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432,792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26.4 %</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BBB</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148,074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9.0 %</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 BBB and unrated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19"/>
        </w:trPr>
        <w:tc>
          <w:tcPr>
            <w:tcW w:w="85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1,639,248</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amortized cost and fair value of our available-for-sale investments in fixed maturity securities summarized by contractual maturity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w w:val="93"/>
              </w:rPr>
              <w:t>September 30, 2022</w:t>
            </w:r>
          </w:p>
        </w:tc>
        <w:tc>
          <w:tcPr>
            <w:tcW w:w="1320" w:type="dxa"/>
            <w:vAlign w:val="bottom"/>
          </w:tcPr>
          <w:p>
            <w:pPr>
              <w:spacing w:after="0"/>
              <w:rPr>
                <w:sz w:val="15"/>
                <w:szCs w:val="15"/>
                <w:color w:val="auto"/>
              </w:rPr>
            </w:pPr>
          </w:p>
        </w:tc>
      </w:tr>
      <w:tr>
        <w:trPr>
          <w:trHeight w:val="24"/>
        </w:trPr>
        <w:tc>
          <w:tcPr>
            <w:tcW w:w="7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30"/>
        </w:trPr>
        <w:tc>
          <w:tcPr>
            <w:tcW w:w="7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0" w:lineRule="exact"/>
              <w:rPr>
                <w:sz w:val="20"/>
                <w:szCs w:val="20"/>
                <w:color w:val="auto"/>
              </w:rPr>
            </w:pPr>
            <w:r>
              <w:rPr>
                <w:rFonts w:ascii="Arial" w:cs="Arial" w:eastAsia="Arial" w:hAnsi="Arial"/>
                <w:sz w:val="14"/>
                <w:szCs w:val="14"/>
                <w:b w:val="1"/>
                <w:bCs w:val="1"/>
                <w:color w:val="auto"/>
                <w:w w:val="96"/>
              </w:rPr>
              <w:t>Amortized</w:t>
            </w:r>
          </w:p>
        </w:tc>
        <w:tc>
          <w:tcPr>
            <w:tcW w:w="320" w:type="dxa"/>
            <w:vAlign w:val="bottom"/>
          </w:tcPr>
          <w:p>
            <w:pPr>
              <w:spacing w:after="0"/>
              <w:rPr>
                <w:sz w:val="11"/>
                <w:szCs w:val="11"/>
                <w:color w:val="auto"/>
              </w:rPr>
            </w:pPr>
          </w:p>
        </w:tc>
        <w:tc>
          <w:tcPr>
            <w:tcW w:w="1000" w:type="dxa"/>
            <w:vAlign w:val="bottom"/>
            <w:gridSpan w:val="2"/>
          </w:tcPr>
          <w:p>
            <w:pPr>
              <w:jc w:val="center"/>
              <w:ind w:right="420"/>
              <w:spacing w:after="0" w:line="130" w:lineRule="exact"/>
              <w:rPr>
                <w:sz w:val="20"/>
                <w:szCs w:val="20"/>
                <w:color w:val="auto"/>
              </w:rPr>
            </w:pPr>
            <w:r>
              <w:rPr>
                <w:rFonts w:ascii="Arial" w:cs="Arial" w:eastAsia="Arial" w:hAnsi="Arial"/>
                <w:sz w:val="14"/>
                <w:szCs w:val="14"/>
                <w:b w:val="1"/>
                <w:bCs w:val="1"/>
                <w:color w:val="auto"/>
              </w:rPr>
              <w:t>Fair</w:t>
            </w:r>
          </w:p>
        </w:tc>
        <w:tc>
          <w:tcPr>
            <w:tcW w:w="1320" w:type="dxa"/>
            <w:vAlign w:val="bottom"/>
          </w:tcPr>
          <w:p>
            <w:pPr>
              <w:jc w:val="right"/>
              <w:ind w:right="436"/>
              <w:spacing w:after="0" w:line="130" w:lineRule="exact"/>
              <w:rPr>
                <w:sz w:val="20"/>
                <w:szCs w:val="20"/>
                <w:color w:val="auto"/>
              </w:rPr>
            </w:pPr>
            <w:r>
              <w:rPr>
                <w:rFonts w:ascii="Arial" w:cs="Arial" w:eastAsia="Arial" w:hAnsi="Arial"/>
                <w:sz w:val="14"/>
                <w:szCs w:val="14"/>
                <w:b w:val="1"/>
                <w:bCs w:val="1"/>
                <w:color w:val="auto"/>
              </w:rPr>
              <w:t>% of</w:t>
            </w:r>
          </w:p>
        </w:tc>
      </w:tr>
      <w:tr>
        <w:trPr>
          <w:trHeight w:val="189"/>
        </w:trPr>
        <w:tc>
          <w:tcPr>
            <w:tcW w:w="7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Total Value</w:t>
            </w:r>
          </w:p>
        </w:tc>
      </w:tr>
      <w:tr>
        <w:trPr>
          <w:trHeight w:val="188"/>
        </w:trPr>
        <w:tc>
          <w:tcPr>
            <w:tcW w:w="7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320" w:type="dxa"/>
            <w:vAlign w:val="bottom"/>
          </w:tcPr>
          <w:p>
            <w:pPr>
              <w:spacing w:after="0"/>
              <w:rPr>
                <w:sz w:val="16"/>
                <w:szCs w:val="16"/>
                <w:color w:val="auto"/>
              </w:rPr>
            </w:pPr>
          </w:p>
        </w:tc>
      </w:tr>
      <w:tr>
        <w:trPr>
          <w:trHeight w:val="23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5"/>
        </w:trPr>
        <w:tc>
          <w:tcPr>
            <w:tcW w:w="7220" w:type="dxa"/>
            <w:vAlign w:val="bottom"/>
          </w:tcPr>
          <w:p>
            <w:pPr>
              <w:ind w:left="140"/>
              <w:spacing w:after="0"/>
              <w:rPr>
                <w:sz w:val="20"/>
                <w:szCs w:val="20"/>
                <w:color w:val="auto"/>
              </w:rPr>
            </w:pPr>
            <w:r>
              <w:rPr>
                <w:rFonts w:ascii="Arial" w:cs="Arial" w:eastAsia="Arial" w:hAnsi="Arial"/>
                <w:sz w:val="18"/>
                <w:szCs w:val="18"/>
                <w:color w:val="auto"/>
              </w:rPr>
              <w:t>One year or less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50,179</w:t>
            </w:r>
          </w:p>
        </w:tc>
        <w:tc>
          <w:tcPr>
            <w:tcW w:w="100" w:type="dxa"/>
            <w:vAlign w:val="bottom"/>
          </w:tcPr>
          <w:p>
            <w:pPr>
              <w:spacing w:after="0"/>
              <w:rPr>
                <w:sz w:val="19"/>
                <w:szCs w:val="19"/>
                <w:color w:val="auto"/>
              </w:rPr>
            </w:pPr>
          </w:p>
        </w:tc>
        <w:tc>
          <w:tcPr>
            <w:tcW w:w="320" w:type="dxa"/>
            <w:vAlign w:val="bottom"/>
          </w:tcPr>
          <w:p>
            <w:pPr>
              <w:jc w:val="right"/>
              <w:ind w:right="14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48,892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3.0 %</w:t>
            </w:r>
          </w:p>
        </w:tc>
      </w:tr>
      <w:tr>
        <w:trPr>
          <w:trHeight w:val="226"/>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one year through five years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409,673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25.0 %</w:t>
            </w:r>
          </w:p>
        </w:tc>
      </w:tr>
      <w:tr>
        <w:trPr>
          <w:trHeight w:val="225"/>
        </w:trPr>
        <w:tc>
          <w:tcPr>
            <w:tcW w:w="7220" w:type="dxa"/>
            <w:vAlign w:val="bottom"/>
          </w:tcPr>
          <w:p>
            <w:pPr>
              <w:ind w:left="140"/>
              <w:spacing w:after="0"/>
              <w:rPr>
                <w:sz w:val="20"/>
                <w:szCs w:val="20"/>
                <w:color w:val="auto"/>
              </w:rPr>
            </w:pPr>
            <w:r>
              <w:rPr>
                <w:rFonts w:ascii="Arial" w:cs="Arial" w:eastAsia="Arial" w:hAnsi="Arial"/>
                <w:sz w:val="18"/>
                <w:szCs w:val="18"/>
                <w:color w:val="auto"/>
              </w:rPr>
              <w:t>After five years through ten years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351,577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300,364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18.3 %</w:t>
            </w:r>
          </w:p>
        </w:tc>
      </w:tr>
      <w:tr>
        <w:trPr>
          <w:trHeight w:val="226"/>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ten years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227,547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13.9 %</w:t>
            </w:r>
          </w:p>
        </w:tc>
      </w:tr>
      <w:tr>
        <w:trPr>
          <w:trHeight w:val="225"/>
        </w:trPr>
        <w:tc>
          <w:tcPr>
            <w:tcW w:w="7220" w:type="dxa"/>
            <w:vAlign w:val="bottom"/>
          </w:tcPr>
          <w:p>
            <w:pPr>
              <w:ind w:left="140"/>
              <w:spacing w:after="0"/>
              <w:rPr>
                <w:sz w:val="20"/>
                <w:szCs w:val="20"/>
                <w:color w:val="auto"/>
              </w:rPr>
            </w:pPr>
            <w:r>
              <w:rPr>
                <w:rFonts w:ascii="Arial" w:cs="Arial" w:eastAsia="Arial" w:hAnsi="Arial"/>
                <w:sz w:val="18"/>
                <w:szCs w:val="18"/>
                <w:color w:val="auto"/>
              </w:rPr>
              <w:t>Residential mortgage-backed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388,386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348,927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21.3 %</w:t>
            </w:r>
          </w:p>
        </w:tc>
      </w:tr>
      <w:tr>
        <w:trPr>
          <w:trHeight w:val="225"/>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 and asset-backed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303,845</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18.5 %</w:t>
            </w:r>
          </w:p>
        </w:tc>
      </w:tr>
      <w:tr>
        <w:trPr>
          <w:trHeight w:val="219"/>
        </w:trPr>
        <w:tc>
          <w:tcPr>
            <w:tcW w:w="72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1,839,336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1,639,248</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100.0 %</w:t>
            </w:r>
          </w:p>
        </w:tc>
      </w:tr>
      <w:tr>
        <w:trPr>
          <w:trHeight w:val="20"/>
        </w:trPr>
        <w:tc>
          <w:tcPr>
            <w:tcW w:w="7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Other income and expense primarily consists of non-operating income of $247,000 and non-operating expenses of $100,000 for the three and nine </w:t>
      </w:r>
      <w:r>
        <w:rPr>
          <w:rFonts w:ascii="Arial" w:cs="Arial" w:eastAsia="Arial" w:hAnsi="Arial"/>
          <w:sz w:val="15"/>
          <w:szCs w:val="15"/>
          <w:color w:val="231F20"/>
        </w:rPr>
        <w:t>months</w:t>
      </w:r>
      <w:r>
        <w:rPr>
          <w:rFonts w:ascii="Arial" w:cs="Arial" w:eastAsia="Arial" w:hAnsi="Arial"/>
          <w:sz w:val="15"/>
          <w:szCs w:val="15"/>
          <w:color w:val="auto"/>
        </w:rPr>
        <w:t xml:space="preserve"> </w:t>
      </w:r>
      <w:r>
        <w:rPr>
          <w:rFonts w:ascii="Arial" w:cs="Arial" w:eastAsia="Arial" w:hAnsi="Arial"/>
          <w:sz w:val="15"/>
          <w:szCs w:val="15"/>
          <w:color w:val="231F20"/>
        </w:rPr>
        <w:t xml:space="preserve">ended September 30, 2022, respectively, </w:t>
      </w:r>
      <w:r>
        <w:rPr>
          <w:rFonts w:ascii="Arial" w:cs="Arial" w:eastAsia="Arial" w:hAnsi="Arial"/>
          <w:sz w:val="15"/>
          <w:szCs w:val="15"/>
          <w:color w:val="000000"/>
        </w:rPr>
        <w:t>and non-operating expenses of $625,000 and $2.0 million for the three and nine</w:t>
      </w:r>
      <w:r>
        <w:rPr>
          <w:rFonts w:ascii="Arial" w:cs="Arial" w:eastAsia="Arial" w:hAnsi="Arial"/>
          <w:sz w:val="15"/>
          <w:szCs w:val="15"/>
          <w:color w:val="231F20"/>
        </w:rPr>
        <w:t xml:space="preserve"> months ended </w:t>
      </w:r>
      <w:r>
        <w:rPr>
          <w:rFonts w:ascii="Arial" w:cs="Arial" w:eastAsia="Arial" w:hAnsi="Arial"/>
          <w:sz w:val="15"/>
          <w:szCs w:val="15"/>
          <w:color w:val="000000"/>
        </w:rPr>
        <w:t>September 30, 2021,</w:t>
      </w:r>
      <w:r>
        <w:rPr>
          <w:rFonts w:ascii="Arial" w:cs="Arial" w:eastAsia="Arial" w:hAnsi="Arial"/>
          <w:sz w:val="15"/>
          <w:szCs w:val="15"/>
          <w:color w:val="231F20"/>
        </w:rPr>
        <w:t xml:space="preserve"> </w:t>
      </w:r>
      <w:r>
        <w:rPr>
          <w:rFonts w:ascii="Arial" w:cs="Arial" w:eastAsia="Arial" w:hAnsi="Arial"/>
          <w:sz w:val="15"/>
          <w:szCs w:val="15"/>
          <w:color w:val="000000"/>
        </w:rPr>
        <w:t xml:space="preserve">respectively. The non-operating income for the three months ended </w:t>
      </w:r>
      <w:r>
        <w:rPr>
          <w:rFonts w:ascii="Arial" w:cs="Arial" w:eastAsia="Arial" w:hAnsi="Arial"/>
          <w:sz w:val="15"/>
          <w:szCs w:val="15"/>
          <w:color w:val="231F20"/>
        </w:rPr>
        <w:t>September 30, 2022 includes a $430,000 broker fee rebate associated with the</w:t>
      </w:r>
      <w:r>
        <w:rPr>
          <w:rFonts w:ascii="Arial" w:cs="Arial" w:eastAsia="Arial" w:hAnsi="Arial"/>
          <w:sz w:val="15"/>
          <w:szCs w:val="15"/>
          <w:color w:val="000000"/>
        </w:rPr>
        <w:t xml:space="preserve"> </w:t>
      </w:r>
      <w:r>
        <w:rPr>
          <w:rFonts w:ascii="Arial" w:cs="Arial" w:eastAsia="Arial" w:hAnsi="Arial"/>
          <w:sz w:val="15"/>
          <w:szCs w:val="15"/>
          <w:color w:val="231F20"/>
        </w:rPr>
        <w:t xml:space="preserve">Retrocession Agreement in the Casualty Reinsurance segment. Non-operating expenses </w:t>
      </w:r>
      <w:r>
        <w:rPr>
          <w:rFonts w:ascii="Arial" w:cs="Arial" w:eastAsia="Arial" w:hAnsi="Arial"/>
          <w:sz w:val="15"/>
          <w:szCs w:val="15"/>
          <w:color w:val="000000"/>
        </w:rPr>
        <w:t>include legal fees related to a purported class action lawsuit, legal and</w:t>
      </w:r>
      <w:r>
        <w:rPr>
          <w:rFonts w:ascii="Arial" w:cs="Arial" w:eastAsia="Arial" w:hAnsi="Arial"/>
          <w:sz w:val="15"/>
          <w:szCs w:val="15"/>
          <w:color w:val="231F20"/>
        </w:rPr>
        <w:t xml:space="preserve"> </w:t>
      </w:r>
      <w:r>
        <w:rPr>
          <w:rFonts w:ascii="Arial" w:cs="Arial" w:eastAsia="Arial" w:hAnsi="Arial"/>
          <w:sz w:val="15"/>
          <w:szCs w:val="15"/>
          <w:color w:val="000000"/>
        </w:rPr>
        <w:t>other professional fees related to the Company's May 2021 common share offering and various strategic initiatives, and employee severance costs.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Interest expense was $5.0 million and $2.2 million for the three months ended September 30, 2022 and 2021, respectively ($11.3 million and $6.7 million for the nine months ended September 30, 2022 and 2021, respectively). Interest expense for the three months and nine months ended September 30, 2022 includes $1.2 million and $2.6 million of crediting fees on the Funds Withheld Account balance under the Retrocession Agreement. The impact of rising interest rates on our variable rate senior and trust preferred debt also contributed to the higher current year interest expense. See “—Liquidity and Capital Resources—Sources and Uses of Funds” for more information regarding our senior bank debt facilities and trust preferred securities.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recorded $90,000 of amortization of intangible assets in each of the three months ended September 30, 2022 and 2021 ($272,000 in each of the nine months ended September 30, 2022 and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1" w:lineRule="exact"/>
        <w:rPr>
          <w:sz w:val="20"/>
          <w:szCs w:val="20"/>
          <w:color w:val="auto"/>
        </w:rPr>
      </w:pPr>
    </w:p>
    <w:p>
      <w:pPr>
        <w:jc w:val="both"/>
        <w:ind w:firstLine="358"/>
        <w:spacing w:after="0" w:line="303" w:lineRule="auto"/>
        <w:rPr>
          <w:sz w:val="20"/>
          <w:szCs w:val="20"/>
          <w:color w:val="auto"/>
        </w:rPr>
      </w:pPr>
      <w:r>
        <w:rPr>
          <w:rFonts w:ascii="Arial" w:cs="Arial" w:eastAsia="Arial" w:hAnsi="Arial"/>
          <w:sz w:val="15"/>
          <w:szCs w:val="15"/>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For the nine months ended September 30, 2022, our effective tax rate was 30.9%. The effective rate exceeded the 21.0% U.S. statutory rate due to a projected annual loss in Bermuda that does not provide a tax benefit and certain discreet items including excess tax expenses associated with vested restricted share units (“RSUs”) in the nine months ended September 30, 2022. The Company had a pre-tax loss of $129.6 million for the nine months ended September 30, 2021 and recorded a U.S. federal income tax benefit of $23.1 million. The pre-tax loss was largely driven by the $210.8 million of net adverse reserve development on prior accident years, including $190.7 million of net adverse development from the Excess and Surplus Lines segment that was primarily related to a former commercial auto account. For the nine months ended September 30, 2021, our U.S. federal income tax benefit was 17.8% of the loss before taxes.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 indicator of reserve strength that we monitor closely is the percentage of our gross and net loss reserves that are comprised of incurred but not reported (“IBNR”) reserves.</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gross reserve for losses and loss adjustment expenses at September 30, 2022 was $2,786.7 million. Of this amount, 61.0% relates to amounts that are IBNR. This amount was 59.6% at December 31, 2021. The Company’s gross reserves for losses and loss adjustment expenses by segment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00" w:type="dxa"/>
            <w:vAlign w:val="bottom"/>
            <w:gridSpan w:val="6"/>
          </w:tcPr>
          <w:p>
            <w:pPr>
              <w:jc w:val="center"/>
              <w:ind w:left="538"/>
              <w:spacing w:after="0"/>
              <w:rPr>
                <w:sz w:val="20"/>
                <w:szCs w:val="20"/>
                <w:color w:val="auto"/>
              </w:rPr>
            </w:pPr>
            <w:r>
              <w:rPr>
                <w:rFonts w:ascii="Arial" w:cs="Arial" w:eastAsia="Arial" w:hAnsi="Arial"/>
                <w:sz w:val="14"/>
                <w:szCs w:val="14"/>
                <w:b w:val="1"/>
                <w:bCs w:val="1"/>
                <w:color w:val="auto"/>
                <w:w w:val="88"/>
              </w:rPr>
              <w:t>Gross Reserves at September 30, 2022</w:t>
            </w:r>
          </w:p>
        </w:tc>
        <w:tc>
          <w:tcPr>
            <w:tcW w:w="920" w:type="dxa"/>
            <w:vAlign w:val="bottom"/>
          </w:tcPr>
          <w:p>
            <w:pPr>
              <w:spacing w:after="0"/>
              <w:rPr>
                <w:sz w:val="15"/>
                <w:szCs w:val="15"/>
                <w:color w:val="auto"/>
              </w:rPr>
            </w:pPr>
          </w:p>
        </w:tc>
      </w:tr>
      <w:tr>
        <w:trPr>
          <w:trHeight w:val="24"/>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6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IBNR</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189"/>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607,079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1,015,398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1,622,477</w:t>
            </w:r>
          </w:p>
        </w:tc>
      </w:tr>
      <w:tr>
        <w:trPr>
          <w:trHeight w:val="225"/>
        </w:trPr>
        <w:tc>
          <w:tcPr>
            <w:tcW w:w="684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337,642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737,727</w:t>
            </w:r>
          </w:p>
        </w:tc>
      </w:tr>
      <w:tr>
        <w:trPr>
          <w:trHeight w:val="225"/>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285,312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426,496</w:t>
            </w:r>
          </w:p>
        </w:tc>
      </w:tr>
      <w:tr>
        <w:trPr>
          <w:trHeight w:val="219"/>
        </w:trPr>
        <w:tc>
          <w:tcPr>
            <w:tcW w:w="68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1,085,905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1,700,795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2,786,700</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September 30, 2022, the amount of net reserves (prior to the $621,000 allowance for uncollectible reinsurance recoverables) of $1,201.2 million that related to IBNR was 64.8%. This amount was 64.4% at December 31, 2021. The Company’s net reserves for losses and loss adjustment expenses by segment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6"/>
          </w:tcPr>
          <w:p>
            <w:pPr>
              <w:jc w:val="center"/>
              <w:ind w:left="558"/>
              <w:spacing w:after="0"/>
              <w:rPr>
                <w:sz w:val="20"/>
                <w:szCs w:val="20"/>
                <w:color w:val="auto"/>
              </w:rPr>
            </w:pPr>
            <w:r>
              <w:rPr>
                <w:rFonts w:ascii="Arial" w:cs="Arial" w:eastAsia="Arial" w:hAnsi="Arial"/>
                <w:sz w:val="14"/>
                <w:szCs w:val="14"/>
                <w:b w:val="1"/>
                <w:bCs w:val="1"/>
                <w:color w:val="auto"/>
                <w:w w:val="89"/>
              </w:rPr>
              <w:t>Net Reserves at September 30, 2022</w:t>
            </w:r>
          </w:p>
        </w:tc>
        <w:tc>
          <w:tcPr>
            <w:tcW w:w="960" w:type="dxa"/>
            <w:vAlign w:val="bottom"/>
          </w:tcPr>
          <w:p>
            <w:pPr>
              <w:spacing w:after="0"/>
              <w:rPr>
                <w:sz w:val="15"/>
                <w:szCs w:val="15"/>
                <w:color w:val="auto"/>
              </w:rPr>
            </w:pPr>
          </w:p>
        </w:tc>
      </w:tr>
      <w:tr>
        <w:trPr>
          <w:trHeight w:val="24"/>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9"/>
              </w:rPr>
              <w:t>IBNR</w:t>
            </w: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Total</w:t>
            </w:r>
          </w:p>
        </w:tc>
      </w:tr>
      <w:tr>
        <w:trPr>
          <w:trHeight w:val="189"/>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5"/>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618,822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944,574</w:t>
            </w:r>
          </w:p>
        </w:tc>
      </w:tr>
      <w:tr>
        <w:trPr>
          <w:trHeight w:val="225"/>
        </w:trPr>
        <w:tc>
          <w:tcPr>
            <w:tcW w:w="686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62,024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107,834</w:t>
            </w:r>
          </w:p>
        </w:tc>
      </w:tr>
      <w:tr>
        <w:trPr>
          <w:trHeight w:val="225"/>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148,835</w:t>
            </w:r>
          </w:p>
        </w:tc>
      </w:tr>
      <w:tr>
        <w:trPr>
          <w:trHeight w:val="219"/>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777,861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1,201,243</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1" w:lineRule="exact"/>
        <w:rPr>
          <w:sz w:val="20"/>
          <w:szCs w:val="20"/>
          <w:color w:val="auto"/>
        </w:rPr>
      </w:pPr>
    </w:p>
    <w:p>
      <w:pPr>
        <w:jc w:val="both"/>
        <w:ind w:firstLine="358"/>
        <w:spacing w:after="0" w:line="250" w:lineRule="auto"/>
        <w:rPr>
          <w:sz w:val="20"/>
          <w:szCs w:val="20"/>
          <w:color w:val="auto"/>
        </w:rPr>
      </w:pPr>
      <w:r>
        <w:rPr>
          <w:rFonts w:ascii="Arial" w:cs="Arial" w:eastAsia="Arial" w:hAnsi="Arial"/>
          <w:sz w:val="18"/>
          <w:szCs w:val="18"/>
          <w:color w:val="auto"/>
        </w:rPr>
        <w:t>Our sources of funds consist primarily of premiums written, investment income, reinsurance recoveries, proceeds from sales and redemptions of investments, borrowings on our credit facilities, and the issuance of common and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or reinsurance contract means that substantial and unpredictable payments may need to be made within relatively short periods of time.</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4"/>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5"/>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6"/>
              </w:rPr>
              <w:t>2021</w:t>
            </w:r>
          </w:p>
        </w:tc>
      </w:tr>
      <w:tr>
        <w:trPr>
          <w:trHeight w:val="189"/>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60" w:type="dxa"/>
            <w:vAlign w:val="bottom"/>
          </w:tcPr>
          <w:p>
            <w:pPr>
              <w:spacing w:after="0"/>
              <w:rPr>
                <w:sz w:val="16"/>
                <w:szCs w:val="16"/>
                <w:color w:val="auto"/>
              </w:rPr>
            </w:pPr>
          </w:p>
        </w:tc>
      </w:tr>
      <w:tr>
        <w:trPr>
          <w:trHeight w:val="23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provided by (used in):</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Operating activities (excluding restricted cash equivalents)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167,649</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(211,394)</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111,759</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91,953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157,926</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cash and cash equivalents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58,291</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restricted cash equivalents (operating activities)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(849,920)</w:t>
            </w:r>
          </w:p>
        </w:tc>
      </w:tr>
      <w:tr>
        <w:trPr>
          <w:trHeight w:val="24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 equivalents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(791,629)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Cash provided by operating activities excluding restricted cash equivalents of $167.6 million for the nine months ended September 30, 2022 was driven by the growth in our U.S. segments and the collection of premiums receivable at a quicker rate than payments of loss and loss adjustment expenses. Cash used in operating activities excluding restricted cash equivalents of $211.4 million for the nine months ended September 30, 2021 primarily reflects the outflow of funds to effect the Commercial Auto LPT in the third quarter.</w:t>
      </w:r>
    </w:p>
    <w:p>
      <w:pPr>
        <w:spacing w:after="0" w:line="8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Cash used in investing activities of $262.2 million for the nine months ended September 30, 2022 reflects our efforts to enhance the yield in our investment portfolio by investing available cash and cash equivalents into higher yielding investments. Cash provided by investing activities of $111.8 million for the nine months ended September 30, 2021 was primarily due to the investments sold/funds withdrawn from our investment portfolio to effect the Commercial Auto LPT in the third quarter. Cash and cash equivalents (excluding restricted cash equivalents) comprised 7.9% and 9.7% of total cash and invested assets at September 30, 2022 and 2021, respectively.</w:t>
      </w:r>
    </w:p>
    <w:p>
      <w:pPr>
        <w:spacing w:after="0" w:line="8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Cash provided by financing activities of $92.0 million for the nine months ended September 30, 2022 includes $144.9 million of net proceeds (after expenses) from the issuance and sale of 150,000 Series A Preferred Shares on March 1, 2022. The proceeds were used for general corporate purposes and to repay $40.0 million of loans outstanding on the 2017 Facility (as defined below) on March 28, 2022. Financing activities for the nine months ended September 30, 2022 also include $5.9 million of dividends paid to common shareholders and $6.1 million of dividends paid on the Series A Preferred Shares.</w:t>
      </w:r>
    </w:p>
    <w:p>
      <w:pPr>
        <w:spacing w:after="0" w:line="40"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7"/>
          <w:szCs w:val="17"/>
          <w:color w:val="auto"/>
        </w:rPr>
        <w:t>Cash provided by financing activities of $157.9 million for the nine months ended September 30, 2021 includes $192.1 million of net proceeds (before expenses) from a public offering of our common shares that closed on May 10, 2021. The proceeds were used for general corporate purposes. Financing activities for the nine months ended September 30, 2021 also includes $32.0 million of dividends paid to common shareholders.</w:t>
      </w:r>
    </w:p>
    <w:p>
      <w:pPr>
        <w:spacing w:after="0" w:line="6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 xml:space="preserve">The change in restricted cash equivalents for the nine months ended September 30, 2021 primarily reflects restricted cash equivalents returned to a former insured, per the terms of a collateral trust. See </w:t>
      </w:r>
      <w:r>
        <w:rPr>
          <w:rFonts w:ascii="Arial" w:cs="Arial" w:eastAsia="Arial" w:hAnsi="Arial"/>
          <w:sz w:val="15"/>
          <w:szCs w:val="15"/>
          <w:i w:val="1"/>
          <w:iCs w:val="1"/>
          <w:color w:val="auto"/>
        </w:rPr>
        <w:t>Amounts Recoverable from an Indemnifying Party and Reinsurer on Legacy Commercial Auto Book</w:t>
      </w:r>
      <w:r>
        <w:rPr>
          <w:rFonts w:ascii="Arial" w:cs="Arial" w:eastAsia="Arial" w:hAnsi="Arial"/>
          <w:sz w:val="15"/>
          <w:szCs w:val="15"/>
          <w:color w:val="auto"/>
        </w:rPr>
        <w:t xml:space="preserve"> below.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1"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85"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5"/>
          <w:szCs w:val="15"/>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“Business Regulation—U.S. Insurance Regulation—State Regulation” in our Annual Report on Form 10-K for the year ended December 31, 2021 filed with the SEC on March 1, 2022 for additional information. The maximum amount of dividends available to the U.S. holding company from our U.S. insurance subsidiaries during 2022 without regulatory approval is $27.2 million.</w:t>
      </w:r>
    </w:p>
    <w:p>
      <w:pPr>
        <w:spacing w:after="0" w:line="51" w:lineRule="exact"/>
        <w:rPr>
          <w:sz w:val="20"/>
          <w:szCs w:val="20"/>
          <w:color w:val="auto"/>
        </w:rPr>
      </w:pPr>
    </w:p>
    <w:p>
      <w:pPr>
        <w:jc w:val="both"/>
        <w:ind w:firstLine="358"/>
        <w:spacing w:after="0" w:line="265" w:lineRule="auto"/>
        <w:rPr>
          <w:sz w:val="20"/>
          <w:szCs w:val="20"/>
          <w:color w:val="auto"/>
        </w:rPr>
      </w:pPr>
      <w:r>
        <w:rPr>
          <w:rFonts w:ascii="Arial" w:cs="Arial" w:eastAsia="Arial" w:hAnsi="Arial"/>
          <w:sz w:val="17"/>
          <w:szCs w:val="17"/>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(as shown on its previous financial year's statutory balance sheet). See Item 1- “Business Regulation- Bermuda Insurance Regulation- Restrictions on Dividends and Distributions” in our Annual Report on Form 10-K for the year ended December 31, 2021 filed with the SEC on March 1, 2022 for additional information. Based on that calculation, the maximum combined amount of dividends and return of capital available to us from our Bermuda insurers without regulatory approval in 2022 is calculated to be approximately $129.7 million. However, any dividend payment is contingent upon continued compliance with Bermuda regulatory requirements, including but not limited to the enhanced solvency requirement calculations.</w:t>
      </w:r>
    </w:p>
    <w:p>
      <w:pPr>
        <w:spacing w:after="0" w:line="75"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Holders of the Series A Preferred Shares are entitled to a dividend at the initial rate of 7% of the Liquidation Preference per annum, paid in cash, in-kind in common shares or in Series A Preferred Shares, at our election. On the five-year anniversary of the Closing Date, and each five-year anniversary thereafter, the dividend rate will reset to a rate equal to the five-year U.S. treasury rate plus 5.2%. Dividends accrue quarterly and are payable on March 31, June 30, September 30 and December 31 of each year. Cash dividends of $6.1 million have been paid on the Series A Preferred Shares from the date the Series A Preferred Shares were issued (March 1, 2022) through September 30, 2022.</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September 30, 2022, the Bermuda holding company had $2.0 million of cash and cash equivalents. The U.S. holding company had $18.9 million of cash and invested assets, comprised of cash and cash equivalents of $5.0 million, short-term investments of $7.0 million, and other invested assets of $6.9 million, which are not subject to regulatory restrictions. Additionally, our U.K. intermediate holding company had no invested assets and cash of less than ten thousand dollars at September 30, 2022.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has a $315.0 million senior revolving credit facility (as amended or amended and restated, the “2013 Facility”). The 2013 Facility is comprised of the following at September 30, 2022:</w:t>
      </w:r>
    </w:p>
    <w:p>
      <w:pPr>
        <w:spacing w:after="0" w:line="75" w:lineRule="exact"/>
        <w:rPr>
          <w:sz w:val="20"/>
          <w:szCs w:val="20"/>
          <w:color w:val="auto"/>
        </w:rPr>
      </w:pPr>
    </w:p>
    <w:p>
      <w:pPr>
        <w:jc w:val="both"/>
        <w:ind w:left="640" w:hanging="316"/>
        <w:spacing w:after="0" w:line="25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$102.5 million secured revolving facility used by JRG Re to issue letters of credit for the benefit of third-party reinsureds. This portion of our credit facility is secured by our investment securities. At September 30, 2022, the Company had $40.5 million of letters of credit issued under the secured facility.</w:t>
      </w:r>
    </w:p>
    <w:p>
      <w:pPr>
        <w:spacing w:after="0" w:line="82"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$212.5 million unsecured revolving facility to meet the working capital needs of the Company. All unpaid principal on the revolver is due at maturity. Interest accrues quarterly and is payable in arrears at 3-month LIBOR plus a margin which is currently 1.5% and is subject to change according to terms in the credit agreement. At September 30, 2022, the Company had a drawn balance of $185.8 million outstanding on the unsecured revolver.</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September 30, 2022.</w:t>
      </w:r>
    </w:p>
    <w:p>
      <w:pPr>
        <w:spacing w:after="0" w:line="7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with which we are in compliance at September 30, 2022. The loans and letters of credit made or issued under the revolving line of credit of the 2017 Facility may be used to finance the borrowers' general corporate purposes. The 2017 Facility has been amended from time to time since its inception in 2017, including on November 8, 2019 when the Company entered into a First Amendment to Credit Agreement which, among other things, lowered the applicable interest rate and modified certain negative covenants to be less restrictive. Interest accrues quarterly and is payable in arrears at variable rates which are subject to change according to terms in the credit agreement. At September 30, 2022, unsecured loans of $21.5 million and secured letters of credit totaling $22.6 million were outstanding on the 2017 Facility. During the three months ended March 31, 2022, the Company repaid $40.0 million of loans that were outstanding under the 2017 Facility.</w:t>
      </w:r>
    </w:p>
    <w:p>
      <w:pPr>
        <w:spacing w:after="0" w:line="5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On May 26,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September 30, 2022, and which, among other things, restrict our ability to assume senior indebtedness secured by our U.S. holding company’s common stock or its subsidiaries’ capital stock or to issue shares of its subsidiaries’ capital stock.</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 outstanding at September 30, 2022 (including the Company’s repurchases of a portion of these trust preferred securities):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Franklin</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James River</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James River</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James River</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Holdings II</w:t>
            </w:r>
          </w:p>
        </w:tc>
        <w:tc>
          <w:tcPr>
            <w:tcW w:w="0" w:type="dxa"/>
            <w:vAlign w:val="bottom"/>
          </w:tcPr>
          <w:p>
            <w:pPr>
              <w:spacing w:after="0"/>
              <w:rPr>
                <w:sz w:val="1"/>
                <w:szCs w:val="1"/>
                <w:color w:val="auto"/>
              </w:rPr>
            </w:pPr>
          </w:p>
        </w:tc>
      </w:tr>
      <w:tr>
        <w:trPr>
          <w:trHeight w:val="136"/>
        </w:trPr>
        <w:tc>
          <w:tcPr>
            <w:tcW w:w="30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58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1"/>
              </w:rPr>
              <w:t>(Bermuda)</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Capital</w:t>
            </w:r>
          </w:p>
        </w:tc>
        <w:tc>
          <w:tcPr>
            <w:tcW w:w="1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Capital</w:t>
            </w: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Capital</w:t>
            </w:r>
          </w:p>
        </w:tc>
        <w:tc>
          <w:tcPr>
            <w:tcW w:w="1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Capital</w:t>
            </w: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93"/>
        </w:trPr>
        <w:tc>
          <w:tcPr>
            <w:tcW w:w="304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Trust I</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Trust II</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III</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Trust IV</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Trust I</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 in thousands)</w:t>
            </w:r>
          </w:p>
        </w:tc>
        <w:tc>
          <w:tcPr>
            <w:tcW w:w="17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Issue date</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May 26, 2004</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December 15, 2004</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June 15, 2006</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December 11, 2007</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January 10, 2008</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4"/>
                <w:szCs w:val="14"/>
                <w:color w:val="auto"/>
              </w:rPr>
              <w:t>Principal amount of trust preferred securities</w:t>
            </w:r>
          </w:p>
        </w:tc>
        <w:tc>
          <w:tcPr>
            <w:tcW w:w="1520" w:type="dxa"/>
            <w:vAlign w:val="bottom"/>
          </w:tcPr>
          <w:p>
            <w:pPr>
              <w:jc w:val="center"/>
              <w:spacing w:after="0"/>
              <w:rPr>
                <w:sz w:val="20"/>
                <w:szCs w:val="20"/>
                <w:color w:val="auto"/>
              </w:rPr>
            </w:pPr>
            <w:r>
              <w:rPr>
                <w:rFonts w:ascii="Arial" w:cs="Arial" w:eastAsia="Arial" w:hAnsi="Arial"/>
                <w:sz w:val="14"/>
                <w:szCs w:val="14"/>
                <w:color w:val="auto"/>
                <w:w w:val="88"/>
              </w:rPr>
              <w:t>$7,000</w:t>
            </w:r>
          </w:p>
        </w:tc>
        <w:tc>
          <w:tcPr>
            <w:tcW w:w="1780" w:type="dxa"/>
            <w:vAlign w:val="bottom"/>
          </w:tcPr>
          <w:p>
            <w:pPr>
              <w:jc w:val="center"/>
              <w:spacing w:after="0"/>
              <w:rPr>
                <w:sz w:val="20"/>
                <w:szCs w:val="20"/>
                <w:color w:val="auto"/>
              </w:rPr>
            </w:pPr>
            <w:r>
              <w:rPr>
                <w:rFonts w:ascii="Arial" w:cs="Arial" w:eastAsia="Arial" w:hAnsi="Arial"/>
                <w:sz w:val="14"/>
                <w:szCs w:val="14"/>
                <w:color w:val="auto"/>
                <w:w w:val="90"/>
              </w:rPr>
              <w:t>$15,000</w:t>
            </w:r>
          </w:p>
        </w:tc>
        <w:tc>
          <w:tcPr>
            <w:tcW w:w="1580" w:type="dxa"/>
            <w:vAlign w:val="bottom"/>
          </w:tcPr>
          <w:p>
            <w:pPr>
              <w:jc w:val="center"/>
              <w:spacing w:after="0"/>
              <w:rPr>
                <w:sz w:val="20"/>
                <w:szCs w:val="20"/>
                <w:color w:val="auto"/>
              </w:rPr>
            </w:pPr>
            <w:r>
              <w:rPr>
                <w:rFonts w:ascii="Arial" w:cs="Arial" w:eastAsia="Arial" w:hAnsi="Arial"/>
                <w:sz w:val="14"/>
                <w:szCs w:val="14"/>
                <w:color w:val="auto"/>
                <w:w w:val="90"/>
              </w:rPr>
              <w:t>$20,000</w:t>
            </w: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$54,000</w:t>
            </w:r>
          </w:p>
        </w:tc>
        <w:tc>
          <w:tcPr>
            <w:tcW w:w="1580" w:type="dxa"/>
            <w:vAlign w:val="bottom"/>
          </w:tcPr>
          <w:p>
            <w:pPr>
              <w:jc w:val="center"/>
              <w:spacing w:after="0"/>
              <w:rPr>
                <w:sz w:val="20"/>
                <w:szCs w:val="20"/>
                <w:color w:val="auto"/>
              </w:rPr>
            </w:pPr>
            <w:r>
              <w:rPr>
                <w:rFonts w:ascii="Arial" w:cs="Arial" w:eastAsia="Arial" w:hAnsi="Arial"/>
                <w:sz w:val="14"/>
                <w:szCs w:val="14"/>
                <w:color w:val="auto"/>
                <w:w w:val="86"/>
              </w:rPr>
              <w:t>$30,000</w:t>
            </w:r>
          </w:p>
        </w:tc>
        <w:tc>
          <w:tcPr>
            <w:tcW w:w="0" w:type="dxa"/>
            <w:vAlign w:val="bottom"/>
          </w:tcPr>
          <w:p>
            <w:pPr>
              <w:spacing w:after="0"/>
              <w:rPr>
                <w:sz w:val="1"/>
                <w:szCs w:val="1"/>
                <w:color w:val="auto"/>
              </w:rPr>
            </w:pPr>
          </w:p>
        </w:tc>
      </w:tr>
      <w:tr>
        <w:trPr>
          <w:trHeight w:val="208"/>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amount of junior subordinated debt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$7,217</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$15,464</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$20,619</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$55,670</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$30,928</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line="141" w:lineRule="exact"/>
              <w:rPr>
                <w:sz w:val="20"/>
                <w:szCs w:val="20"/>
                <w:color w:val="auto"/>
              </w:rPr>
            </w:pPr>
            <w:r>
              <w:rPr>
                <w:rFonts w:ascii="Arial" w:cs="Arial" w:eastAsia="Arial" w:hAnsi="Arial"/>
                <w:sz w:val="14"/>
                <w:szCs w:val="14"/>
                <w:color w:val="auto"/>
                <w:w w:val="96"/>
              </w:rPr>
              <w:t>Carrying amount of junior subordinated debt net of</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88"/>
              </w:rPr>
              <w:t>$7,217</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0"/>
              </w:rPr>
              <w:t>$15,464</w:t>
            </w: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w w:val="90"/>
              </w:rPr>
              <w:t>$20,619</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0"/>
              </w:rPr>
              <w:t>$44,827</w:t>
            </w: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w w:val="86"/>
              </w:rPr>
              <w:t>$15,928</w:t>
            </w:r>
          </w:p>
        </w:tc>
        <w:tc>
          <w:tcPr>
            <w:tcW w:w="0" w:type="dxa"/>
            <w:vAlign w:val="bottom"/>
          </w:tcPr>
          <w:p>
            <w:pPr>
              <w:spacing w:after="0"/>
              <w:rPr>
                <w:sz w:val="1"/>
                <w:szCs w:val="1"/>
                <w:color w:val="auto"/>
              </w:rPr>
            </w:pPr>
          </w:p>
        </w:tc>
      </w:tr>
      <w:tr>
        <w:trPr>
          <w:trHeight w:val="185"/>
        </w:trPr>
        <w:tc>
          <w:tcPr>
            <w:tcW w:w="3040" w:type="dxa"/>
            <w:vAlign w:val="bottom"/>
          </w:tcPr>
          <w:p>
            <w:pPr>
              <w:ind w:left="180"/>
              <w:spacing w:after="0"/>
              <w:rPr>
                <w:sz w:val="20"/>
                <w:szCs w:val="20"/>
                <w:color w:val="auto"/>
              </w:rPr>
            </w:pPr>
            <w:r>
              <w:rPr>
                <w:rFonts w:ascii="Arial" w:cs="Arial" w:eastAsia="Arial" w:hAnsi="Arial"/>
                <w:sz w:val="14"/>
                <w:szCs w:val="14"/>
                <w:color w:val="auto"/>
              </w:rPr>
              <w:t>repurchases</w:t>
            </w:r>
          </w:p>
        </w:tc>
        <w:tc>
          <w:tcPr>
            <w:tcW w:w="152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04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rPr>
              <w:t>Maturity date of junior subordinated debt, unless</w:t>
            </w: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May 24, 2034</w:t>
            </w:r>
          </w:p>
        </w:tc>
        <w:tc>
          <w:tcPr>
            <w:tcW w:w="1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December 15, 2034</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7"/>
              </w:rPr>
              <w:t>June 15, 2036</w:t>
            </w:r>
          </w:p>
        </w:tc>
        <w:tc>
          <w:tcPr>
            <w:tcW w:w="1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December 15, 2037</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March 15, 2038</w:t>
            </w:r>
          </w:p>
        </w:tc>
        <w:tc>
          <w:tcPr>
            <w:tcW w:w="0" w:type="dxa"/>
            <w:vAlign w:val="bottom"/>
          </w:tcPr>
          <w:p>
            <w:pPr>
              <w:spacing w:after="0"/>
              <w:rPr>
                <w:sz w:val="1"/>
                <w:szCs w:val="1"/>
                <w:color w:val="auto"/>
              </w:rPr>
            </w:pPr>
          </w:p>
        </w:tc>
      </w:tr>
      <w:tr>
        <w:trPr>
          <w:trHeight w:val="191"/>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accelerated earlier</w:t>
            </w:r>
          </w:p>
        </w:tc>
        <w:tc>
          <w:tcPr>
            <w:tcW w:w="1520" w:type="dxa"/>
            <w:vAlign w:val="bottom"/>
            <w:vMerge w:val="continue"/>
            <w:shd w:val="clear" w:color="auto" w:fill="CCEEFF"/>
          </w:tcPr>
          <w:p>
            <w:pPr>
              <w:spacing w:after="0"/>
              <w:rPr>
                <w:sz w:val="16"/>
                <w:szCs w:val="16"/>
                <w:color w:val="auto"/>
              </w:rPr>
            </w:pPr>
          </w:p>
        </w:tc>
        <w:tc>
          <w:tcPr>
            <w:tcW w:w="1780" w:type="dxa"/>
            <w:vAlign w:val="bottom"/>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1720" w:type="dxa"/>
            <w:vAlign w:val="bottom"/>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4"/>
                <w:szCs w:val="14"/>
                <w:color w:val="auto"/>
              </w:rPr>
              <w:t>Trust common stock</w:t>
            </w: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$217</w:t>
            </w:r>
          </w:p>
        </w:tc>
        <w:tc>
          <w:tcPr>
            <w:tcW w:w="1780" w:type="dxa"/>
            <w:vAlign w:val="bottom"/>
          </w:tcPr>
          <w:p>
            <w:pPr>
              <w:jc w:val="center"/>
              <w:spacing w:after="0"/>
              <w:rPr>
                <w:sz w:val="20"/>
                <w:szCs w:val="20"/>
                <w:color w:val="auto"/>
              </w:rPr>
            </w:pPr>
            <w:r>
              <w:rPr>
                <w:rFonts w:ascii="Arial" w:cs="Arial" w:eastAsia="Arial" w:hAnsi="Arial"/>
                <w:sz w:val="14"/>
                <w:szCs w:val="14"/>
                <w:color w:val="auto"/>
                <w:w w:val="89"/>
              </w:rPr>
              <w:t>$464</w:t>
            </w: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$619</w:t>
            </w:r>
          </w:p>
        </w:tc>
        <w:tc>
          <w:tcPr>
            <w:tcW w:w="1720" w:type="dxa"/>
            <w:vAlign w:val="bottom"/>
          </w:tcPr>
          <w:p>
            <w:pPr>
              <w:jc w:val="center"/>
              <w:spacing w:after="0"/>
              <w:rPr>
                <w:sz w:val="20"/>
                <w:szCs w:val="20"/>
                <w:color w:val="auto"/>
              </w:rPr>
            </w:pPr>
            <w:r>
              <w:rPr>
                <w:rFonts w:ascii="Arial" w:cs="Arial" w:eastAsia="Arial" w:hAnsi="Arial"/>
                <w:sz w:val="14"/>
                <w:szCs w:val="14"/>
                <w:color w:val="auto"/>
                <w:w w:val="88"/>
              </w:rPr>
              <w:t>$1,670</w:t>
            </w: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$928</w:t>
            </w:r>
          </w:p>
        </w:tc>
        <w:tc>
          <w:tcPr>
            <w:tcW w:w="0" w:type="dxa"/>
            <w:vAlign w:val="bottom"/>
          </w:tcPr>
          <w:p>
            <w:pPr>
              <w:spacing w:after="0"/>
              <w:rPr>
                <w:sz w:val="1"/>
                <w:szCs w:val="1"/>
                <w:color w:val="auto"/>
              </w:rPr>
            </w:pPr>
          </w:p>
        </w:tc>
      </w:tr>
      <w:tr>
        <w:trPr>
          <w:trHeight w:val="150"/>
        </w:trPr>
        <w:tc>
          <w:tcPr>
            <w:tcW w:w="304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Interest rate, per annum</w:t>
            </w:r>
          </w:p>
        </w:tc>
        <w:tc>
          <w:tcPr>
            <w:tcW w:w="152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color w:val="auto"/>
                <w:w w:val="94"/>
              </w:rPr>
              <w:t>Three-Month</w:t>
            </w:r>
          </w:p>
        </w:tc>
        <w:tc>
          <w:tcPr>
            <w:tcW w:w="178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color w:val="auto"/>
                <w:w w:val="92"/>
              </w:rPr>
              <w:t>Three-Month</w:t>
            </w:r>
          </w:p>
        </w:tc>
        <w:tc>
          <w:tcPr>
            <w:tcW w:w="158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color w:val="auto"/>
                <w:w w:val="92"/>
              </w:rPr>
              <w:t>Three-Month</w:t>
            </w:r>
          </w:p>
        </w:tc>
        <w:tc>
          <w:tcPr>
            <w:tcW w:w="172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color w:val="auto"/>
                <w:w w:val="94"/>
              </w:rPr>
              <w:t>Three-Month</w:t>
            </w:r>
          </w:p>
        </w:tc>
        <w:tc>
          <w:tcPr>
            <w:tcW w:w="158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color w:val="auto"/>
                <w:w w:val="94"/>
              </w:rPr>
              <w:t>Three-Month</w:t>
            </w:r>
          </w:p>
        </w:tc>
        <w:tc>
          <w:tcPr>
            <w:tcW w:w="0" w:type="dxa"/>
            <w:vAlign w:val="bottom"/>
          </w:tcPr>
          <w:p>
            <w:pPr>
              <w:spacing w:after="0"/>
              <w:rPr>
                <w:sz w:val="1"/>
                <w:szCs w:val="1"/>
                <w:color w:val="auto"/>
              </w:rPr>
            </w:pPr>
          </w:p>
        </w:tc>
      </w:tr>
      <w:tr>
        <w:trPr>
          <w:trHeight w:val="138"/>
        </w:trPr>
        <w:tc>
          <w:tcPr>
            <w:tcW w:w="3040" w:type="dxa"/>
            <w:vAlign w:val="bottom"/>
            <w:shd w:val="clear" w:color="auto" w:fill="CCEEFF"/>
          </w:tcPr>
          <w:p>
            <w:pPr>
              <w:spacing w:after="0"/>
              <w:rPr>
                <w:sz w:val="11"/>
                <w:szCs w:val="11"/>
                <w:color w:val="auto"/>
              </w:rPr>
            </w:pP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7"/>
              </w:rPr>
              <w:t>LIBOR plus</w:t>
            </w:r>
          </w:p>
        </w:tc>
        <w:tc>
          <w:tcPr>
            <w:tcW w:w="17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7"/>
              </w:rPr>
              <w:t>LIBOR plus</w:t>
            </w: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7"/>
              </w:rPr>
              <w:t>LIBOR plus</w:t>
            </w:r>
          </w:p>
        </w:tc>
        <w:tc>
          <w:tcPr>
            <w:tcW w:w="17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7"/>
              </w:rPr>
              <w:t>LIBOR plus</w:t>
            </w: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LIBOR plus</w:t>
            </w:r>
          </w:p>
        </w:tc>
        <w:tc>
          <w:tcPr>
            <w:tcW w:w="0" w:type="dxa"/>
            <w:vAlign w:val="bottom"/>
          </w:tcPr>
          <w:p>
            <w:pPr>
              <w:spacing w:after="0"/>
              <w:rPr>
                <w:sz w:val="1"/>
                <w:szCs w:val="1"/>
                <w:color w:val="auto"/>
              </w:rPr>
            </w:pPr>
          </w:p>
        </w:tc>
      </w:tr>
      <w:tr>
        <w:trPr>
          <w:trHeight w:val="199"/>
        </w:trPr>
        <w:tc>
          <w:tcPr>
            <w:tcW w:w="304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4.0%</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3.4%</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3.0%</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3.1%</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4.0%</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of the junior subordinated debt is currently redeemable at 100.0% of the unpaid principal amount at our option.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junior subordinated debt contains certain covenants with which we are in compliance as of September 30, 2022.</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At September 30, 2022 and December 31, 2021, the Company's leverage ratio was 22.8% and 31.1%, respectively. The leverage ratio is defined in our senior credit agreements as the ratio of adjusted consolidated debt to total capital. Adjusted consolidated debt treats trust preferred securities as equity capital up to 15% of total capital. The Series A Preferred Shares represent equity capital for purposes of the leverage ratio calculation under the credit agreements. Total capital is defined as total debt plus tangible equity excluding accumulated other comprehensive income. The maximum leverage ratio permitted by the agreements is 35.0%. We believe having debt as part of our capital structure allows us to generate a higher return on equity and greater book value per share results than we could by using equity capital alone.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Reinsurance</w:t>
      </w:r>
    </w:p>
    <w:p>
      <w:pPr>
        <w:spacing w:after="0" w:line="11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three months ended September 30, 2022 and 2021, our net premium retention was 53.1% and 45.6%, respectively.</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Excess and Surplus Lines segment’s net retention after reinsurance as of September 30, 2022: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Line of Business</w:t>
            </w:r>
          </w:p>
        </w:tc>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Company Retention</w:t>
            </w:r>
          </w:p>
        </w:tc>
      </w:tr>
      <w:tr>
        <w:trPr>
          <w:trHeight w:val="24"/>
        </w:trPr>
        <w:tc>
          <w:tcPr>
            <w:tcW w:w="37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r>
      <w:tr>
        <w:trPr>
          <w:trHeight w:val="218"/>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Casualty</w:t>
            </w:r>
          </w:p>
        </w:tc>
        <w:tc>
          <w:tcPr>
            <w:tcW w:w="7080" w:type="dxa"/>
            <w:vAlign w:val="bottom"/>
          </w:tcPr>
          <w:p>
            <w:pPr>
              <w:spacing w:after="0"/>
              <w:rPr>
                <w:sz w:val="18"/>
                <w:szCs w:val="18"/>
                <w:color w:val="auto"/>
              </w:rPr>
            </w:pPr>
          </w:p>
        </w:tc>
      </w:tr>
      <w:tr>
        <w:trPr>
          <w:trHeight w:val="174"/>
        </w:trPr>
        <w:tc>
          <w:tcPr>
            <w:tcW w:w="4120" w:type="dxa"/>
            <w:vAlign w:val="bottom"/>
            <w:gridSpan w:val="2"/>
            <w:shd w:val="clear" w:color="auto" w:fill="CCEEFF"/>
          </w:tcPr>
          <w:p>
            <w:pPr>
              <w:ind w:left="180"/>
              <w:spacing w:after="0" w:line="174" w:lineRule="exact"/>
              <w:rPr>
                <w:sz w:val="20"/>
                <w:szCs w:val="20"/>
                <w:color w:val="auto"/>
              </w:rPr>
            </w:pPr>
            <w:r>
              <w:rPr>
                <w:rFonts w:ascii="Arial" w:cs="Arial" w:eastAsia="Arial" w:hAnsi="Arial"/>
                <w:sz w:val="18"/>
                <w:szCs w:val="18"/>
                <w:color w:val="auto"/>
              </w:rPr>
              <w:t>Primary Specialty Casualty, including</w:t>
            </w:r>
          </w:p>
        </w:tc>
        <w:tc>
          <w:tcPr>
            <w:tcW w:w="7080" w:type="dxa"/>
            <w:vAlign w:val="bottom"/>
            <w:shd w:val="clear" w:color="auto" w:fill="CCEEFF"/>
          </w:tcPr>
          <w:p>
            <w:pPr>
              <w:spacing w:after="0"/>
              <w:rPr>
                <w:sz w:val="15"/>
                <w:szCs w:val="15"/>
                <w:color w:val="auto"/>
              </w:rPr>
            </w:pPr>
          </w:p>
        </w:tc>
      </w:tr>
      <w:tr>
        <w:trPr>
          <w:trHeight w:val="238"/>
        </w:trPr>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Professional Liability</w:t>
            </w:r>
          </w:p>
        </w:tc>
        <w:tc>
          <w:tcPr>
            <w:tcW w:w="7080" w:type="dxa"/>
            <w:vAlign w:val="bottom"/>
            <w:shd w:val="clear" w:color="auto" w:fill="CCEEFF"/>
          </w:tcPr>
          <w:p>
            <w:pPr>
              <w:ind w:left="20"/>
              <w:spacing w:after="0" w:line="238" w:lineRule="exact"/>
              <w:rPr>
                <w:sz w:val="20"/>
                <w:szCs w:val="20"/>
                <w:color w:val="auto"/>
              </w:rPr>
            </w:pPr>
            <w:r>
              <w:rPr>
                <w:rFonts w:ascii="Arial" w:cs="Arial" w:eastAsia="Arial" w:hAnsi="Arial"/>
                <w:sz w:val="18"/>
                <w:szCs w:val="18"/>
                <w:color w:val="auto"/>
              </w:rPr>
              <w:t>Up to $1.0 million per occurrence, subject to a $1.0 million aggregate deductible.</w:t>
            </w:r>
            <w:r>
              <w:rPr>
                <w:rFonts w:ascii="Arial" w:cs="Arial" w:eastAsia="Arial" w:hAnsi="Arial"/>
                <w:sz w:val="22"/>
                <w:szCs w:val="22"/>
                <w:color w:val="auto"/>
                <w:vertAlign w:val="superscript"/>
              </w:rPr>
              <w:t>(1)</w:t>
            </w:r>
          </w:p>
        </w:tc>
      </w:tr>
      <w:tr>
        <w:trPr>
          <w:trHeight w:val="225"/>
        </w:trPr>
        <w:tc>
          <w:tcPr>
            <w:tcW w:w="4120" w:type="dxa"/>
            <w:vAlign w:val="bottom"/>
            <w:gridSpan w:val="2"/>
          </w:tcPr>
          <w:p>
            <w:pPr>
              <w:ind w:left="140"/>
              <w:spacing w:after="0"/>
              <w:rPr>
                <w:sz w:val="20"/>
                <w:szCs w:val="20"/>
                <w:color w:val="auto"/>
              </w:rPr>
            </w:pPr>
            <w:r>
              <w:rPr>
                <w:rFonts w:ascii="Arial" w:cs="Arial" w:eastAsia="Arial" w:hAnsi="Arial"/>
                <w:sz w:val="18"/>
                <w:szCs w:val="18"/>
                <w:color w:val="auto"/>
              </w:rPr>
              <w:t>Primary Casualty</w:t>
            </w:r>
          </w:p>
        </w:tc>
        <w:tc>
          <w:tcPr>
            <w:tcW w:w="7080" w:type="dxa"/>
            <w:vAlign w:val="bottom"/>
          </w:tcPr>
          <w:p>
            <w:pPr>
              <w:ind w:left="20"/>
              <w:spacing w:after="0" w:line="225" w:lineRule="exact"/>
              <w:rPr>
                <w:sz w:val="20"/>
                <w:szCs w:val="20"/>
                <w:color w:val="auto"/>
              </w:rPr>
            </w:pPr>
            <w:r>
              <w:rPr>
                <w:rFonts w:ascii="Arial" w:cs="Arial" w:eastAsia="Arial" w:hAnsi="Arial"/>
                <w:sz w:val="18"/>
                <w:szCs w:val="18"/>
                <w:color w:val="auto"/>
              </w:rPr>
              <w:t>Up to $2.0 million per occurrence.</w:t>
            </w:r>
            <w:r>
              <w:rPr>
                <w:rFonts w:ascii="Arial" w:cs="Arial" w:eastAsia="Arial" w:hAnsi="Arial"/>
                <w:sz w:val="22"/>
                <w:szCs w:val="22"/>
                <w:color w:val="auto"/>
                <w:vertAlign w:val="superscript"/>
              </w:rPr>
              <w:t>(2)</w:t>
            </w:r>
          </w:p>
        </w:tc>
      </w:tr>
      <w:tr>
        <w:trPr>
          <w:trHeight w:val="225"/>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Excess Casualty</w:t>
            </w:r>
          </w:p>
        </w:tc>
        <w:tc>
          <w:tcPr>
            <w:tcW w:w="70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Up to $2.0 million per occurrence.</w:t>
            </w:r>
            <w:r>
              <w:rPr>
                <w:rFonts w:ascii="Arial" w:cs="Arial" w:eastAsia="Arial" w:hAnsi="Arial"/>
                <w:sz w:val="22"/>
                <w:szCs w:val="22"/>
                <w:color w:val="auto"/>
                <w:vertAlign w:val="superscript"/>
              </w:rPr>
              <w:t>(3)</w:t>
            </w:r>
          </w:p>
        </w:tc>
      </w:tr>
      <w:tr>
        <w:trPr>
          <w:trHeight w:val="30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Property</w:t>
            </w:r>
          </w:p>
        </w:tc>
        <w:tc>
          <w:tcPr>
            <w:tcW w:w="7080" w:type="dxa"/>
            <w:vAlign w:val="bottom"/>
          </w:tcPr>
          <w:p>
            <w:pPr>
              <w:ind w:left="20"/>
              <w:spacing w:after="0"/>
              <w:rPr>
                <w:sz w:val="20"/>
                <w:szCs w:val="20"/>
                <w:color w:val="auto"/>
              </w:rPr>
            </w:pPr>
            <w:r>
              <w:rPr>
                <w:rFonts w:ascii="Arial" w:cs="Arial" w:eastAsia="Arial" w:hAnsi="Arial"/>
                <w:sz w:val="18"/>
                <w:szCs w:val="18"/>
                <w:color w:val="auto"/>
              </w:rPr>
              <w:t>Up to $5.0 million per event.</w:t>
            </w:r>
            <w:r>
              <w:rPr>
                <w:rFonts w:ascii="Arial" w:cs="Arial" w:eastAsia="Arial" w:hAnsi="Arial"/>
                <w:sz w:val="22"/>
                <w:szCs w:val="22"/>
                <w:color w:val="auto"/>
                <w:vertAlign w:val="superscript"/>
              </w:rPr>
              <w:t>(4)</w:t>
            </w:r>
          </w:p>
        </w:tc>
      </w:tr>
    </w:tbl>
    <w:p>
      <w:pPr>
        <w:spacing w:after="0" w:line="112" w:lineRule="exact"/>
        <w:rPr>
          <w:sz w:val="20"/>
          <w:szCs w:val="20"/>
          <w:color w:val="auto"/>
        </w:rPr>
      </w:pPr>
    </w:p>
    <w:p>
      <w:pPr>
        <w:ind w:left="380" w:hanging="374"/>
        <w:spacing w:after="0"/>
        <w:tabs>
          <w:tab w:leader="none" w:pos="3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Except for Life Sciences quota share carve out, which is up to $2.0 million per occurrence.</w:t>
      </w:r>
    </w:p>
    <w:p>
      <w:pPr>
        <w:spacing w:after="0" w:line="16" w:lineRule="exact"/>
        <w:rPr>
          <w:rFonts w:ascii="Arial" w:cs="Arial" w:eastAsia="Arial" w:hAnsi="Arial"/>
          <w:sz w:val="18"/>
          <w:szCs w:val="18"/>
          <w:i w:val="1"/>
          <w:iCs w:val="1"/>
          <w:color w:val="auto"/>
        </w:rPr>
      </w:pPr>
    </w:p>
    <w:p>
      <w:pPr>
        <w:ind w:left="380" w:hanging="374"/>
        <w:spacing w:after="0"/>
        <w:tabs>
          <w:tab w:leader="none" w:pos="3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Total exposure to any one claim is generally $1.0 million.</w:t>
      </w:r>
    </w:p>
    <w:p>
      <w:pPr>
        <w:spacing w:after="0" w:line="5" w:lineRule="exact"/>
        <w:rPr>
          <w:rFonts w:ascii="Arial" w:cs="Arial" w:eastAsia="Arial" w:hAnsi="Arial"/>
          <w:sz w:val="18"/>
          <w:szCs w:val="18"/>
          <w:i w:val="1"/>
          <w:iCs w:val="1"/>
          <w:color w:val="auto"/>
        </w:rPr>
      </w:pPr>
    </w:p>
    <w:p>
      <w:pPr>
        <w:ind w:left="380" w:hanging="374"/>
        <w:spacing w:after="0"/>
        <w:tabs>
          <w:tab w:leader="none" w:pos="38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For policies with an occurrence limit up to $10.0 million, the excess casualty treaty is set such that our retention is no more than $2.0 million.</w:t>
      </w:r>
    </w:p>
    <w:p>
      <w:pPr>
        <w:spacing w:after="0" w:line="16" w:lineRule="exact"/>
        <w:rPr>
          <w:rFonts w:ascii="Arial" w:cs="Arial" w:eastAsia="Arial" w:hAnsi="Arial"/>
          <w:sz w:val="17"/>
          <w:szCs w:val="17"/>
          <w:i w:val="1"/>
          <w:iCs w:val="1"/>
          <w:color w:val="auto"/>
        </w:rPr>
      </w:pPr>
    </w:p>
    <w:p>
      <w:pPr>
        <w:ind w:left="380" w:hanging="374"/>
        <w:spacing w:after="0"/>
        <w:tabs>
          <w:tab w:leader="none" w:pos="3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property catastrophe reinsurance treaty has a limit of $55.0 million with one reinstatement.</w:t>
      </w:r>
    </w:p>
    <w:p>
      <w:pPr>
        <w:spacing w:after="0" w:line="100" w:lineRule="exact"/>
        <w:rPr>
          <w:sz w:val="20"/>
          <w:szCs w:val="20"/>
          <w:color w:val="auto"/>
        </w:rPr>
      </w:pPr>
    </w:p>
    <w:p>
      <w:pPr>
        <w:jc w:val="both"/>
        <w:ind w:firstLine="358"/>
        <w:spacing w:after="0" w:line="330" w:lineRule="auto"/>
        <w:rPr>
          <w:sz w:val="20"/>
          <w:szCs w:val="20"/>
          <w:color w:val="auto"/>
        </w:rPr>
      </w:pPr>
      <w:r>
        <w:rPr>
          <w:rFonts w:ascii="Arial" w:cs="Arial" w:eastAsia="Arial" w:hAnsi="Arial"/>
          <w:sz w:val="15"/>
          <w:szCs w:val="15"/>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31" w:lineRule="exact"/>
        <w:rPr>
          <w:sz w:val="20"/>
          <w:szCs w:val="20"/>
          <w:color w:val="auto"/>
        </w:rPr>
      </w:pPr>
    </w:p>
    <w:p>
      <w:pPr>
        <w:jc w:val="both"/>
        <w:ind w:firstLine="358"/>
        <w:spacing w:after="0" w:line="277" w:lineRule="auto"/>
        <w:rPr>
          <w:sz w:val="20"/>
          <w:szCs w:val="20"/>
          <w:color w:val="auto"/>
        </w:rPr>
      </w:pPr>
      <w:r>
        <w:rPr>
          <w:rFonts w:ascii="Arial" w:cs="Arial" w:eastAsia="Arial" w:hAnsi="Arial"/>
          <w:sz w:val="17"/>
          <w:szCs w:val="17"/>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65"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Based upon the modeling of our Excess and Surplus Lines and Specialty Admitted segments, it would take an event at the 1 in 1000 year PML to exhaust our $60.0 million property catastrophe reinsurance. In the event of a catastrophe loss exhausting our $60.0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spacing w:after="0" w:line="85"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On September 27, 2021, James River entered into the Commercial Auto LPT with Aleka to reinsure substantially all of the Excess and Surplus Lines segment’s legacy portfolio of commercial auto policies previously issued to Rasier. See “</w:t>
      </w:r>
      <w:r>
        <w:rPr>
          <w:rFonts w:ascii="Arial" w:cs="Arial" w:eastAsia="Arial" w:hAnsi="Arial"/>
          <w:sz w:val="18"/>
          <w:szCs w:val="18"/>
          <w:i w:val="1"/>
          <w:iCs w:val="1"/>
          <w:color w:val="auto"/>
        </w:rPr>
        <w:t>Amounts Recoverable from an Indemnifying Party and Reinsurer on</w:t>
      </w:r>
      <w:r>
        <w:rPr>
          <w:rFonts w:ascii="Arial" w:cs="Arial" w:eastAsia="Arial" w:hAnsi="Arial"/>
          <w:sz w:val="18"/>
          <w:szCs w:val="18"/>
          <w:color w:val="auto"/>
        </w:rPr>
        <w:t xml:space="preserve"> </w:t>
      </w:r>
      <w:r>
        <w:rPr>
          <w:rFonts w:ascii="Arial" w:cs="Arial" w:eastAsia="Arial" w:hAnsi="Arial"/>
          <w:sz w:val="18"/>
          <w:szCs w:val="18"/>
          <w:i w:val="1"/>
          <w:iCs w:val="1"/>
          <w:color w:val="auto"/>
        </w:rPr>
        <w:t>the Legacy Commercial Auto Book</w:t>
      </w:r>
      <w:r>
        <w:rPr>
          <w:rFonts w:ascii="Arial" w:cs="Arial" w:eastAsia="Arial" w:hAnsi="Arial"/>
          <w:sz w:val="18"/>
          <w:szCs w:val="18"/>
          <w:color w:val="auto"/>
        </w:rPr>
        <w:t>” below for further information on this reinsurance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Specialty Admitted Insurance segment’s ceded reinsurance in place as of September 30, 2022: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gridSpan w:val="2"/>
          </w:tcPr>
          <w:p>
            <w:pPr>
              <w:ind w:left="1200"/>
              <w:spacing w:after="0"/>
              <w:rPr>
                <w:sz w:val="20"/>
                <w:szCs w:val="20"/>
                <w:color w:val="auto"/>
              </w:rPr>
            </w:pPr>
            <w:r>
              <w:rPr>
                <w:rFonts w:ascii="Arial" w:cs="Arial" w:eastAsia="Arial" w:hAnsi="Arial"/>
                <w:sz w:val="14"/>
                <w:szCs w:val="14"/>
                <w:b w:val="1"/>
                <w:bCs w:val="1"/>
                <w:color w:val="auto"/>
              </w:rPr>
              <w:t>Line of Business</w:t>
            </w:r>
          </w:p>
        </w:tc>
        <w:tc>
          <w:tcPr>
            <w:tcW w:w="7420" w:type="dxa"/>
            <w:vAlign w:val="bottom"/>
          </w:tcPr>
          <w:p>
            <w:pPr>
              <w:ind w:left="3420"/>
              <w:spacing w:after="0"/>
              <w:rPr>
                <w:sz w:val="20"/>
                <w:szCs w:val="20"/>
                <w:color w:val="auto"/>
              </w:rPr>
            </w:pPr>
            <w:r>
              <w:rPr>
                <w:rFonts w:ascii="Arial" w:cs="Arial" w:eastAsia="Arial" w:hAnsi="Arial"/>
                <w:sz w:val="14"/>
                <w:szCs w:val="14"/>
                <w:b w:val="1"/>
                <w:bCs w:val="1"/>
                <w:color w:val="auto"/>
              </w:rPr>
              <w:t>Coverage</w:t>
            </w:r>
          </w:p>
        </w:tc>
      </w:tr>
      <w:tr>
        <w:trPr>
          <w:trHeight w:val="24"/>
        </w:trPr>
        <w:tc>
          <w:tcPr>
            <w:tcW w:w="33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r>
      <w:tr>
        <w:trPr>
          <w:trHeight w:val="218"/>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Casualty</w:t>
            </w:r>
          </w:p>
        </w:tc>
        <w:tc>
          <w:tcPr>
            <w:tcW w:w="7420" w:type="dxa"/>
            <w:vAlign w:val="bottom"/>
          </w:tcPr>
          <w:p>
            <w:pPr>
              <w:spacing w:after="0"/>
              <w:rPr>
                <w:sz w:val="18"/>
                <w:szCs w:val="18"/>
                <w:color w:val="auto"/>
              </w:rPr>
            </w:pPr>
          </w:p>
        </w:tc>
      </w:tr>
      <w:tr>
        <w:trPr>
          <w:trHeight w:val="174"/>
        </w:trPr>
        <w:tc>
          <w:tcPr>
            <w:tcW w:w="3780" w:type="dxa"/>
            <w:vAlign w:val="bottom"/>
            <w:gridSpan w:val="2"/>
            <w:shd w:val="clear" w:color="auto" w:fill="CCEEFF"/>
          </w:tcPr>
          <w:p>
            <w:pPr>
              <w:ind w:left="340"/>
              <w:spacing w:after="0" w:line="174" w:lineRule="exact"/>
              <w:rPr>
                <w:sz w:val="20"/>
                <w:szCs w:val="20"/>
                <w:color w:val="auto"/>
              </w:rPr>
            </w:pPr>
            <w:r>
              <w:rPr>
                <w:rFonts w:ascii="Arial" w:cs="Arial" w:eastAsia="Arial" w:hAnsi="Arial"/>
                <w:sz w:val="18"/>
                <w:szCs w:val="18"/>
                <w:color w:val="auto"/>
              </w:rPr>
              <w:t>Workers’ Compensation</w:t>
            </w:r>
          </w:p>
        </w:tc>
        <w:tc>
          <w:tcPr>
            <w:tcW w:w="742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Quota share coverage for 65.5% of the first $1.0 million.</w:t>
            </w:r>
            <w:r>
              <w:rPr>
                <w:rFonts w:ascii="Arial" w:cs="Arial" w:eastAsia="Arial" w:hAnsi="Arial"/>
                <w:sz w:val="20"/>
                <w:szCs w:val="20"/>
                <w:color w:val="auto"/>
                <w:vertAlign w:val="superscript"/>
              </w:rPr>
              <w:t>(1)(2)</w:t>
            </w:r>
          </w:p>
        </w:tc>
      </w:tr>
      <w:tr>
        <w:trPr>
          <w:trHeight w:val="238"/>
        </w:trPr>
        <w:tc>
          <w:tcPr>
            <w:tcW w:w="3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20" w:type="dxa"/>
            <w:vAlign w:val="bottom"/>
            <w:shd w:val="clear" w:color="auto" w:fill="CCEEFF"/>
          </w:tcPr>
          <w:p>
            <w:pPr>
              <w:ind w:left="20"/>
              <w:spacing w:after="0" w:line="238" w:lineRule="exact"/>
              <w:rPr>
                <w:sz w:val="20"/>
                <w:szCs w:val="20"/>
                <w:color w:val="auto"/>
              </w:rPr>
            </w:pPr>
            <w:r>
              <w:rPr>
                <w:rFonts w:ascii="Arial" w:cs="Arial" w:eastAsia="Arial" w:hAnsi="Arial"/>
                <w:sz w:val="18"/>
                <w:szCs w:val="18"/>
                <w:color w:val="auto"/>
              </w:rPr>
              <w:t>Excess of loss coverage for $29.0 million in excess of $1.0 million.</w:t>
            </w:r>
            <w:r>
              <w:rPr>
                <w:rFonts w:ascii="Arial" w:cs="Arial" w:eastAsia="Arial" w:hAnsi="Arial"/>
                <w:sz w:val="22"/>
                <w:szCs w:val="22"/>
                <w:color w:val="auto"/>
                <w:vertAlign w:val="superscript"/>
              </w:rPr>
              <w:t>(1)(2)</w:t>
            </w:r>
          </w:p>
        </w:tc>
      </w:tr>
      <w:tr>
        <w:trPr>
          <w:trHeight w:val="173"/>
        </w:trPr>
        <w:tc>
          <w:tcPr>
            <w:tcW w:w="378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Auto Programs</w:t>
            </w:r>
          </w:p>
        </w:tc>
        <w:tc>
          <w:tcPr>
            <w:tcW w:w="7420" w:type="dxa"/>
            <w:vAlign w:val="bottom"/>
          </w:tcPr>
          <w:p>
            <w:pPr>
              <w:ind w:left="20"/>
              <w:spacing w:after="0" w:line="173" w:lineRule="exact"/>
              <w:rPr>
                <w:sz w:val="20"/>
                <w:szCs w:val="20"/>
                <w:color w:val="auto"/>
              </w:rPr>
            </w:pPr>
            <w:r>
              <w:rPr>
                <w:rFonts w:ascii="Arial" w:cs="Arial" w:eastAsia="Arial" w:hAnsi="Arial"/>
                <w:sz w:val="18"/>
                <w:szCs w:val="18"/>
                <w:color w:val="auto"/>
                <w:w w:val="91"/>
              </w:rPr>
              <w:t>Quota share coverage for 70-90% of limits up to $1.5 million liability and $7.5 million physical damage</w:t>
            </w:r>
          </w:p>
        </w:tc>
      </w:tr>
      <w:tr>
        <w:trPr>
          <w:trHeight w:val="230"/>
        </w:trPr>
        <w:tc>
          <w:tcPr>
            <w:tcW w:w="3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per occurrence.</w:t>
            </w:r>
          </w:p>
        </w:tc>
      </w:tr>
      <w:tr>
        <w:trPr>
          <w:trHeight w:val="180"/>
        </w:trPr>
        <w:tc>
          <w:tcPr>
            <w:tcW w:w="378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8"/>
                <w:szCs w:val="18"/>
                <w:color w:val="auto"/>
              </w:rPr>
              <w:t>General Liability &amp; Professional Liability –</w:t>
            </w:r>
          </w:p>
        </w:tc>
        <w:tc>
          <w:tcPr>
            <w:tcW w:w="74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Quota share coverage for 65%-100% of limits up to $3.0 million per occurrence.</w:t>
            </w:r>
          </w:p>
        </w:tc>
      </w:tr>
      <w:tr>
        <w:trPr>
          <w:trHeight w:val="238"/>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Programs</w:t>
            </w:r>
          </w:p>
        </w:tc>
        <w:tc>
          <w:tcPr>
            <w:tcW w:w="7420" w:type="dxa"/>
            <w:vAlign w:val="bottom"/>
            <w:shd w:val="clear" w:color="auto" w:fill="CCEEFF"/>
          </w:tcPr>
          <w:p>
            <w:pPr>
              <w:spacing w:after="0"/>
              <w:rPr>
                <w:sz w:val="20"/>
                <w:szCs w:val="20"/>
                <w:color w:val="auto"/>
              </w:rPr>
            </w:pPr>
          </w:p>
        </w:tc>
      </w:tr>
      <w:tr>
        <w:trPr>
          <w:trHeight w:val="173"/>
        </w:trPr>
        <w:tc>
          <w:tcPr>
            <w:tcW w:w="3780" w:type="dxa"/>
            <w:vAlign w:val="bottom"/>
            <w:gridSpan w:val="2"/>
          </w:tcPr>
          <w:p>
            <w:pPr>
              <w:ind w:left="140"/>
              <w:spacing w:after="0" w:line="173" w:lineRule="exact"/>
              <w:rPr>
                <w:sz w:val="20"/>
                <w:szCs w:val="20"/>
                <w:color w:val="auto"/>
              </w:rPr>
            </w:pPr>
            <w:r>
              <w:rPr>
                <w:rFonts w:ascii="Arial" w:cs="Arial" w:eastAsia="Arial" w:hAnsi="Arial"/>
                <w:sz w:val="18"/>
                <w:szCs w:val="18"/>
                <w:color w:val="auto"/>
              </w:rPr>
              <w:t>Umbrella and Excess Casualty - Programs</w:t>
            </w:r>
          </w:p>
        </w:tc>
        <w:tc>
          <w:tcPr>
            <w:tcW w:w="7420" w:type="dxa"/>
            <w:vAlign w:val="bottom"/>
          </w:tcPr>
          <w:p>
            <w:pPr>
              <w:ind w:left="20"/>
              <w:spacing w:after="0" w:line="173" w:lineRule="exact"/>
              <w:rPr>
                <w:sz w:val="20"/>
                <w:szCs w:val="20"/>
                <w:color w:val="auto"/>
              </w:rPr>
            </w:pPr>
            <w:r>
              <w:rPr>
                <w:rFonts w:ascii="Arial" w:cs="Arial" w:eastAsia="Arial" w:hAnsi="Arial"/>
                <w:sz w:val="18"/>
                <w:szCs w:val="18"/>
                <w:color w:val="auto"/>
                <w:w w:val="90"/>
              </w:rPr>
              <w:t>Quota share coverage for at least 65% of limits up to $10.0 million per occurrence, and 75% of excess</w:t>
            </w:r>
          </w:p>
        </w:tc>
      </w:tr>
      <w:tr>
        <w:trPr>
          <w:trHeight w:val="230"/>
        </w:trPr>
        <w:tc>
          <w:tcPr>
            <w:tcW w:w="3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of loss coverage for $5.0 million in excess of $10.0 million.</w:t>
            </w:r>
          </w:p>
        </w:tc>
      </w:tr>
      <w:tr>
        <w:trPr>
          <w:trHeight w:val="232"/>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7420" w:type="dxa"/>
            <w:vAlign w:val="bottom"/>
            <w:shd w:val="clear" w:color="auto" w:fill="CCEEFF"/>
          </w:tcPr>
          <w:p>
            <w:pPr>
              <w:spacing w:after="0"/>
              <w:rPr>
                <w:sz w:val="20"/>
                <w:szCs w:val="20"/>
                <w:color w:val="auto"/>
              </w:rPr>
            </w:pPr>
          </w:p>
        </w:tc>
      </w:tr>
      <w:tr>
        <w:trPr>
          <w:trHeight w:val="225"/>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Property within Package - Programs</w:t>
            </w:r>
          </w:p>
        </w:tc>
        <w:tc>
          <w:tcPr>
            <w:tcW w:w="7420" w:type="dxa"/>
            <w:vAlign w:val="bottom"/>
          </w:tcPr>
          <w:p>
            <w:pPr>
              <w:ind w:left="20"/>
              <w:spacing w:after="0"/>
              <w:rPr>
                <w:sz w:val="20"/>
                <w:szCs w:val="20"/>
                <w:color w:val="auto"/>
              </w:rPr>
            </w:pPr>
            <w:r>
              <w:rPr>
                <w:rFonts w:ascii="Arial" w:cs="Arial" w:eastAsia="Arial" w:hAnsi="Arial"/>
                <w:sz w:val="18"/>
                <w:szCs w:val="18"/>
                <w:color w:val="auto"/>
              </w:rPr>
              <w:t>Quota share coverage for 100% of limits up to $40.0 million per occurrence.</w:t>
            </w:r>
          </w:p>
        </w:tc>
      </w:tr>
      <w:tr>
        <w:trPr>
          <w:trHeight w:val="226"/>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Excess Property</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Quota share coverage for 100% of limits up to $16.9 million.</w:t>
            </w:r>
          </w:p>
        </w:tc>
      </w:tr>
      <w:tr>
        <w:trPr>
          <w:trHeight w:val="225"/>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Catastrophe Coverage</w:t>
            </w:r>
          </w:p>
        </w:tc>
        <w:tc>
          <w:tcPr>
            <w:tcW w:w="7420" w:type="dxa"/>
            <w:vAlign w:val="bottom"/>
          </w:tcPr>
          <w:p>
            <w:pPr>
              <w:ind w:left="20"/>
              <w:spacing w:after="0"/>
              <w:rPr>
                <w:sz w:val="20"/>
                <w:szCs w:val="20"/>
                <w:color w:val="auto"/>
              </w:rPr>
            </w:pPr>
            <w:r>
              <w:rPr>
                <w:rFonts w:ascii="Arial" w:cs="Arial" w:eastAsia="Arial" w:hAnsi="Arial"/>
                <w:sz w:val="18"/>
                <w:szCs w:val="18"/>
                <w:color w:val="auto"/>
              </w:rPr>
              <w:t>Excess of Loss coverage for $59.0 million in excess of $1.0 million per occurrence.</w:t>
            </w:r>
          </w:p>
        </w:tc>
      </w:tr>
      <w:tr>
        <w:trPr>
          <w:trHeight w:val="213"/>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Aviation Programs</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Quota share coverage for 80% of limits up to $20 million liability and $2.5 million hull per occurrence,</w:t>
            </w:r>
          </w:p>
        </w:tc>
      </w:tr>
      <w:tr>
        <w:trPr>
          <w:trHeight w:val="212"/>
        </w:trPr>
        <w:tc>
          <w:tcPr>
            <w:tcW w:w="3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each aircraft; and excess of loss coverage for up to $8.7M excess of $300 thousand of our 20% share of</w:t>
            </w:r>
          </w:p>
        </w:tc>
      </w:tr>
      <w:tr>
        <w:trPr>
          <w:trHeight w:val="238"/>
        </w:trPr>
        <w:tc>
          <w:tcPr>
            <w:tcW w:w="3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quota share each occurrence.</w:t>
            </w:r>
          </w:p>
        </w:tc>
      </w:tr>
    </w:tbl>
    <w:p>
      <w:pPr>
        <w:spacing w:after="0" w:line="80" w:lineRule="exact"/>
        <w:rPr>
          <w:sz w:val="20"/>
          <w:szCs w:val="20"/>
          <w:color w:val="auto"/>
        </w:rPr>
      </w:pPr>
    </w:p>
    <w:p>
      <w:pPr>
        <w:ind w:left="320" w:hanging="314"/>
        <w:spacing w:after="0" w:line="264" w:lineRule="auto"/>
        <w:tabs>
          <w:tab w:leader="none" w:pos="39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84% of the first $1.0 million per occurrence and excess of loss coverage for $49.0 million in excess of $1.0 million per occurrence.</w:t>
      </w:r>
    </w:p>
    <w:p>
      <w:pPr>
        <w:spacing w:after="0" w:line="21" w:lineRule="exact"/>
        <w:rPr>
          <w:rFonts w:ascii="Arial" w:cs="Arial" w:eastAsia="Arial" w:hAnsi="Arial"/>
          <w:sz w:val="18"/>
          <w:szCs w:val="18"/>
          <w:i w:val="1"/>
          <w:iCs w:val="1"/>
          <w:color w:val="auto"/>
        </w:rPr>
      </w:pPr>
    </w:p>
    <w:p>
      <w:pPr>
        <w:ind w:left="380" w:hanging="374"/>
        <w:spacing w:after="0"/>
        <w:tabs>
          <w:tab w:leader="none" w:pos="3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any residual market pools.</w:t>
      </w:r>
    </w:p>
    <w:p>
      <w:pPr>
        <w:spacing w:after="0" w:line="111" w:lineRule="exact"/>
        <w:rPr>
          <w:sz w:val="20"/>
          <w:szCs w:val="20"/>
          <w:color w:val="auto"/>
        </w:rPr>
      </w:pPr>
    </w:p>
    <w:p>
      <w:pPr>
        <w:jc w:val="both"/>
        <w:ind w:firstLine="358"/>
        <w:spacing w:after="0" w:line="271" w:lineRule="auto"/>
        <w:rPr>
          <w:sz w:val="20"/>
          <w:szCs w:val="20"/>
          <w:color w:val="auto"/>
        </w:rPr>
      </w:pPr>
      <w:r>
        <w:rPr>
          <w:rFonts w:ascii="Arial" w:cs="Arial" w:eastAsia="Arial" w:hAnsi="Arial"/>
          <w:sz w:val="17"/>
          <w:szCs w:val="17"/>
          <w:color w:val="auto"/>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$59.0 million in excess of $1.0 million per occurrence to manage its property exposure to an approximate 1 in 1,000 year PML.</w:t>
      </w:r>
    </w:p>
    <w:p>
      <w:pPr>
        <w:spacing w:after="0" w:line="71"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In our Casualty Reinsurance segment, we also have limited property catastrophe exposure on treaties in run-off, primarily through auto physical damage coverage. In the aggregate, we believe our pre-tax group-wide PML from a 1 in 1,000 year property catastrophe event would not exceed 2.5% of shareholders’ equity, inclusive of reinstatement premiums payable.</w:t>
      </w:r>
    </w:p>
    <w:p>
      <w:pPr>
        <w:spacing w:after="0" w:line="82" w:lineRule="exact"/>
        <w:rPr>
          <w:sz w:val="20"/>
          <w:szCs w:val="20"/>
          <w:color w:val="auto"/>
        </w:rPr>
      </w:pPr>
    </w:p>
    <w:p>
      <w:pPr>
        <w:jc w:val="both"/>
        <w:ind w:firstLine="358"/>
        <w:spacing w:after="0" w:line="365" w:lineRule="auto"/>
        <w:rPr>
          <w:sz w:val="20"/>
          <w:szCs w:val="20"/>
          <w:color w:val="auto"/>
        </w:rPr>
      </w:pPr>
      <w:r>
        <w:rPr>
          <w:rFonts w:ascii="Arial" w:cs="Arial" w:eastAsia="Arial" w:hAnsi="Arial"/>
          <w:sz w:val="15"/>
          <w:szCs w:val="15"/>
          <w:color w:val="auto"/>
        </w:rPr>
        <w:t>On February 23, 2022, JRG Re entered into the Retrocession Agreement with FRL to reinsure the majority of the segment risk, which closed on March 31, 2022. See “</w:t>
      </w:r>
      <w:r>
        <w:rPr>
          <w:rFonts w:ascii="Arial" w:cs="Arial" w:eastAsia="Arial" w:hAnsi="Arial"/>
          <w:sz w:val="15"/>
          <w:szCs w:val="15"/>
          <w:i w:val="1"/>
          <w:iCs w:val="1"/>
          <w:color w:val="auto"/>
        </w:rPr>
        <w:t>Strategic Actions – Loss Portfolio Transfer Retrocession Agreement”</w:t>
      </w:r>
      <w:r>
        <w:rPr>
          <w:rFonts w:ascii="Arial" w:cs="Arial" w:eastAsia="Arial" w:hAnsi="Arial"/>
          <w:sz w:val="15"/>
          <w:szCs w:val="15"/>
          <w:color w:val="auto"/>
        </w:rPr>
        <w:t xml:space="preserve"> above for further information on this retrocession agreement.</w:t>
      </w:r>
    </w:p>
    <w:p>
      <w:pPr>
        <w:spacing w:after="0" w:line="5"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We also had a contingency clash reinsurance treaty to cover both the Excess and Surplus Lines and Specialty Admitted Insurance segments in the event of a claim incident involving more than one of our insureds in addition to Extra Contractual and Excess Policy Limits protection. The treaty covered $10.0 million in excess of a $2.0 million retention for loss occurrences within the treaty term. This coverage was put into runoff effective July 1, 2022. As of September 30, 2022, our average net retained limit per risk is $2.5 million.</w:t>
      </w:r>
    </w:p>
    <w:p>
      <w:pPr>
        <w:spacing w:after="0" w:line="85" w:lineRule="exact"/>
        <w:rPr>
          <w:sz w:val="20"/>
          <w:szCs w:val="20"/>
          <w:color w:val="auto"/>
        </w:rPr>
      </w:pPr>
    </w:p>
    <w:p>
      <w:pPr>
        <w:jc w:val="both"/>
        <w:ind w:firstLine="358"/>
        <w:spacing w:after="0" w:line="264" w:lineRule="auto"/>
        <w:rPr>
          <w:sz w:val="20"/>
          <w:szCs w:val="20"/>
          <w:color w:val="auto"/>
        </w:rPr>
      </w:pPr>
      <w:r>
        <w:rPr>
          <w:rFonts w:ascii="Arial" w:cs="Arial" w:eastAsia="Arial" w:hAnsi="Arial"/>
          <w:sz w:val="18"/>
          <w:szCs w:val="18"/>
          <w:color w:val="auto"/>
        </w:rPr>
        <w:t>Effective January 1, 2020, we purchased an additional $10.0 million in claims made coverage for excess policy limits and extra contractual obligations exposures above the clash and contingency treaty for the period 2014 to present. This treaty has one reinstatement.</w:t>
      </w:r>
    </w:p>
    <w:p>
      <w:pPr>
        <w:spacing w:after="0" w:line="75" w:lineRule="exact"/>
        <w:rPr>
          <w:sz w:val="20"/>
          <w:szCs w:val="20"/>
          <w:color w:val="auto"/>
        </w:rPr>
      </w:pPr>
    </w:p>
    <w:p>
      <w:pPr>
        <w:jc w:val="both"/>
        <w:ind w:firstLine="358"/>
        <w:spacing w:after="0" w:line="305" w:lineRule="auto"/>
        <w:rPr>
          <w:sz w:val="20"/>
          <w:szCs w:val="20"/>
          <w:color w:val="auto"/>
        </w:rPr>
      </w:pPr>
      <w:r>
        <w:rPr>
          <w:rFonts w:ascii="Arial" w:cs="Arial" w:eastAsia="Arial" w:hAnsi="Arial"/>
          <w:sz w:val="15"/>
          <w:szCs w:val="15"/>
          <w:color w:val="auto"/>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September 30, 2022, the allowance for credit losses on reinsurance recoverables was $621,000.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regard to insurance companies who act as reinsurers for us in such arrangements. We customarily require a collateral trust arrangement to secure the obligations of the insurance entity for whom we are fronting.</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September 30, 2022, we had reinsurance recoverables on unpaid losses of $1,584.8 million (net of a $621,000 allowance for credit losses) and reinsurance recoverables on paid losses of $110.3 million, and all material recoverable amounts were from companies with A.M. Best ratings of “A-" (Excellent) or better, are collateralized by the reinsurer for our benefit through letters of credit or funds on deposit in trust accounts, or represent recoverables from a state residual market for automobile insurance.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 and Reinsurer on Legacy Commercial Auto Book</w:t>
      </w:r>
    </w:p>
    <w:p>
      <w:pPr>
        <w:spacing w:after="0" w:line="111" w:lineRule="exact"/>
        <w:rPr>
          <w:sz w:val="20"/>
          <w:szCs w:val="20"/>
          <w:color w:val="auto"/>
        </w:rPr>
      </w:pPr>
    </w:p>
    <w:p>
      <w:pPr>
        <w:jc w:val="both"/>
        <w:ind w:firstLine="358"/>
        <w:spacing w:after="0" w:line="265" w:lineRule="auto"/>
        <w:rPr>
          <w:sz w:val="20"/>
          <w:szCs w:val="20"/>
          <w:color w:val="auto"/>
        </w:rPr>
      </w:pPr>
      <w:r>
        <w:rPr>
          <w:rFonts w:ascii="Arial" w:cs="Arial" w:eastAsia="Arial" w:hAnsi="Arial"/>
          <w:sz w:val="17"/>
          <w:szCs w:val="17"/>
          <w:color w:val="auto"/>
        </w:rPr>
        <w:t>James River previously issued a set of commercial auto insurance contracts to Rasier (the “Rasier Commercial Auto Policies”)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a loss portfolio transfer reinsurance agreement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Rasier and Aleka are required to post collateral under the Indemnity Agreements and the Commercial Auto LPT, respectively:</w:t>
      </w:r>
    </w:p>
    <w:p>
      <w:pPr>
        <w:spacing w:after="0" w:line="111" w:lineRule="exact"/>
        <w:rPr>
          <w:sz w:val="20"/>
          <w:szCs w:val="20"/>
          <w:color w:val="auto"/>
        </w:rPr>
      </w:pPr>
    </w:p>
    <w:p>
      <w:pPr>
        <w:jc w:val="both"/>
        <w:ind w:firstLine="364"/>
        <w:spacing w:after="0" w:line="265" w:lineRule="auto"/>
        <w:tabs>
          <w:tab w:leader="none" w:pos="631" w:val="left"/>
        </w:tabs>
        <w:numPr>
          <w:ilvl w:val="0"/>
          <w:numId w:val="22"/>
        </w:numPr>
        <w:rPr>
          <w:rFonts w:ascii="Arial" w:cs="Arial" w:eastAsia="Arial" w:hAnsi="Arial"/>
          <w:sz w:val="17"/>
          <w:szCs w:val="17"/>
          <w:color w:val="auto"/>
        </w:rPr>
      </w:pPr>
      <w:r>
        <w:rPr>
          <w:rFonts w:ascii="Arial" w:cs="Arial" w:eastAsia="Arial" w:hAnsi="Arial"/>
          <w:sz w:val="17"/>
          <w:szCs w:val="17"/>
          <w:color w:val="auto"/>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September 30, 2022, the balance in the Indemnity Trust was $262.1 million, and, together with the balance of the Loss Fund Trust (as defined below) attributable to the Indemnity Agreements as described below, the total balance of collateral securing Rasier’s obligations under the Indemnity Agreements was $331.3 million.</w:t>
      </w:r>
    </w:p>
    <w:p>
      <w:pPr>
        <w:spacing w:after="0" w:line="75" w:lineRule="exact"/>
        <w:rPr>
          <w:rFonts w:ascii="Arial" w:cs="Arial" w:eastAsia="Arial" w:hAnsi="Arial"/>
          <w:sz w:val="17"/>
          <w:szCs w:val="17"/>
          <w:color w:val="auto"/>
        </w:rPr>
      </w:pPr>
    </w:p>
    <w:p>
      <w:pPr>
        <w:jc w:val="both"/>
        <w:ind w:firstLine="364"/>
        <w:spacing w:after="0" w:line="309" w:lineRule="auto"/>
        <w:tabs>
          <w:tab w:leader="none" w:pos="631" w:val="left"/>
        </w:tabs>
        <w:numPr>
          <w:ilvl w:val="0"/>
          <w:numId w:val="22"/>
        </w:numPr>
        <w:rPr>
          <w:rFonts w:ascii="Arial" w:cs="Arial" w:eastAsia="Arial" w:hAnsi="Arial"/>
          <w:sz w:val="15"/>
          <w:szCs w:val="15"/>
          <w:color w:val="auto"/>
        </w:rPr>
      </w:pPr>
      <w:r>
        <w:rPr>
          <w:rFonts w:ascii="Arial" w:cs="Arial" w:eastAsia="Arial" w:hAnsi="Arial"/>
          <w:sz w:val="15"/>
          <w:szCs w:val="15"/>
          <w:color w:val="auto"/>
        </w:rPr>
        <w:t>Pursuant to the Commercial Auto LPT, Aleka is required to post collateral equal to 102% of James River's estimate of Aleka's obligations under the Commercial Auto LPT, calculated in accordance with statutory accounting principles. The collateral is provided through a collateral trust arrangement (the “LPT Trust”) established in favor of James River by Aleka. At September 30, 2022, the balance in the LPT Trust was $118.3 million, and, together with the balance of the Loss Fund Trust (as defined below) attributable to the Commercial Auto LPT as described below, the total balance of collateral securing Aleka’s obligations under the Commercial Auto LPT was $146.5 million. At September 30, 2022, the total reinsurance recoverables under the Commercial Auto LPT was $189.1 million (including $174.3 million of unpaid recoverables and $14.8 million of paid recoverables).</w:t>
      </w:r>
    </w:p>
    <w:p>
      <w:pPr>
        <w:spacing w:after="0" w:line="46" w:lineRule="exact"/>
        <w:rPr>
          <w:sz w:val="20"/>
          <w:szCs w:val="20"/>
          <w:color w:val="auto"/>
        </w:rPr>
      </w:pPr>
    </w:p>
    <w:p>
      <w:pPr>
        <w:jc w:val="both"/>
        <w:ind w:firstLine="358"/>
        <w:spacing w:after="0" w:line="303" w:lineRule="auto"/>
        <w:rPr>
          <w:sz w:val="20"/>
          <w:szCs w:val="20"/>
          <w:color w:val="auto"/>
        </w:rPr>
      </w:pPr>
      <w:r>
        <w:rPr>
          <w:rFonts w:ascii="Arial" w:cs="Arial" w:eastAsia="Arial" w:hAnsi="Arial"/>
          <w:sz w:val="15"/>
          <w:szCs w:val="15"/>
          <w:color w:val="auto"/>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September 30, 2022, the balance in the Loss Fund Trust was $102.5 million, including $69.2 million representing collateral supporting Rasier’s obligations under the Indemnity Agreements and $28.2 million representing collateral supporting Aleka’s obligations under the Commercial Auto LPT. Funds posted to the Loss Fund Trust are classified as restricted cash equivalents on the Company's balance sheet.</w:t>
      </w:r>
    </w:p>
    <w:p>
      <w:pPr>
        <w:spacing w:after="0" w:line="266" w:lineRule="exact"/>
        <w:rPr>
          <w:sz w:val="20"/>
          <w:szCs w:val="20"/>
          <w:color w:val="auto"/>
        </w:rPr>
      </w:pPr>
    </w:p>
    <w:p>
      <w:pPr>
        <w:jc w:val="both"/>
        <w:ind w:firstLine="358"/>
        <w:spacing w:after="0" w:line="312" w:lineRule="auto"/>
        <w:rPr>
          <w:sz w:val="20"/>
          <w:szCs w:val="20"/>
          <w:color w:val="auto"/>
        </w:rPr>
      </w:pPr>
      <w:r>
        <w:rPr>
          <w:rFonts w:ascii="Arial" w:cs="Arial" w:eastAsia="Arial" w:hAnsi="Arial"/>
          <w:sz w:val="15"/>
          <w:szCs w:val="15"/>
          <w:color w:val="auto"/>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material. To mitigate these risks, we closely and frequently monitor our exposure compared to our collateral held, and we request additional collateral in accordance with the terms of the Commercial Auto LPT and Indemnity Agreements when our analysis indicates that we have uncollateralized exposure.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Ratings</w:t>
      </w:r>
    </w:p>
    <w:p>
      <w:pPr>
        <w:spacing w:after="0" w:line="111" w:lineRule="exact"/>
        <w:rPr>
          <w:sz w:val="20"/>
          <w:szCs w:val="20"/>
          <w:color w:val="auto"/>
        </w:rPr>
      </w:pPr>
    </w:p>
    <w:p>
      <w:pPr>
        <w:jc w:val="both"/>
        <w:ind w:firstLine="358"/>
        <w:spacing w:after="0" w:line="301" w:lineRule="auto"/>
        <w:rPr>
          <w:sz w:val="20"/>
          <w:szCs w:val="20"/>
          <w:color w:val="auto"/>
        </w:rPr>
      </w:pPr>
      <w:r>
        <w:rPr>
          <w:rFonts w:ascii="Arial" w:cs="Arial" w:eastAsia="Arial" w:hAnsi="Arial"/>
          <w:sz w:val="15"/>
          <w:szCs w:val="15"/>
          <w:color w:val="auto"/>
        </w:rPr>
        <w:t>The A.M. Best financial strength rating for our group’s regulated insurance and reinsurance subsidiaries is “A-” (Excellent) with a stable outlook. This rating reflects A.M. Best’s opinion of our insurance and reinsurance subsidiaries’ financial strength, operating performance and ability to meet obligations to policyholders and is not an evaluation directed towards the protection of investors. The rating for our operating insurance and reinsurance companies of “A-” (Excellent) is the fourth highest rating of the thirteen ratings issued by A.M. Best and is assigned to insurers that have, in A.M. Best’s opinion, an excellent ability to meet their ongoing obligations to policyholders. On March 4, 2021, A.M. Best announced that it reduced the outlook on our regulated insurance subsidiaries to negative from stable on the “A” (Excellent) financial strength rating on such entities following our announcement of $86.0 million of adverse development on reserves for losses and loss adjustment expenses in the fourth quarter of 2020 principally related to our commercial auto business in our Excess and Surplus Lines segment. On May 7, 2021, following the Company's announcement of $168.7 million of further adverse development in the first quarter of 2021 on reserves for losses and loss adjustment expenses in our Excess and Surplus Lines segment, inclusive of $170.0 million of unfavorable development in our commercial auto business, A.M. Best announced a downgrade of our financial strength rating to “A-” (Excellent) and maintained a negative outlook on our regulated insurance subsidiaries. The Company's outlook was upgraded to stable by A.M. Best in the third quarter of 2021 following the closing of the Commercial Auto LPT which reinsures substantially all of the legacy commercial auto business.</w:t>
      </w:r>
    </w:p>
    <w:p>
      <w:pPr>
        <w:spacing w:after="0" w:line="270" w:lineRule="exact"/>
        <w:rPr>
          <w:sz w:val="20"/>
          <w:szCs w:val="20"/>
          <w:color w:val="auto"/>
        </w:rPr>
      </w:pPr>
    </w:p>
    <w:p>
      <w:pPr>
        <w:jc w:val="both"/>
        <w:ind w:firstLine="358"/>
        <w:spacing w:after="0" w:line="330" w:lineRule="auto"/>
        <w:rPr>
          <w:sz w:val="20"/>
          <w:szCs w:val="20"/>
          <w:color w:val="auto"/>
        </w:rPr>
      </w:pPr>
      <w:r>
        <w:rPr>
          <w:rFonts w:ascii="Arial" w:cs="Arial" w:eastAsia="Arial" w:hAnsi="Arial"/>
          <w:sz w:val="15"/>
          <w:szCs w:val="15"/>
          <w:color w:val="auto"/>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insurance and reinsurance subsidiaries allow our subsidiaries to actively pursue relationships with the agents and brokers identified in their marketing plans.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111" w:lineRule="exact"/>
        <w:rPr>
          <w:sz w:val="20"/>
          <w:szCs w:val="20"/>
          <w:color w:val="auto"/>
        </w:rPr>
      </w:pPr>
    </w:p>
    <w:p>
      <w:pPr>
        <w:jc w:val="both"/>
        <w:ind w:firstLine="358"/>
        <w:spacing w:after="0" w:line="318" w:lineRule="auto"/>
        <w:rPr>
          <w:sz w:val="20"/>
          <w:szCs w:val="20"/>
          <w:color w:val="auto"/>
        </w:rPr>
      </w:pPr>
      <w:r>
        <w:rPr>
          <w:rFonts w:ascii="Arial" w:cs="Arial" w:eastAsia="Arial" w:hAnsi="Arial"/>
          <w:sz w:val="15"/>
          <w:szCs w:val="15"/>
          <w:color w:val="auto"/>
        </w:rPr>
        <w:t>The Company closed on the issuance and sale of 150,000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initial rate of 7% of the Liquidation Preference per annum, which may be paid in cash, in-kind in common shares or in Series A Preferred Shares, at the Company’s election.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common shares outstanding increased from 37,373,066 at December 31, 2021 to 37,450,438 at September 30, 2022, reflecting 77,372 common shares issued in the nine months ended September 30, 2022 related to vesting of RSUs.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 Expense</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the three months ended September 30, 2022 and 2021, the Company recognized $2.2 million and $1.5 million of share based compensation expense, respectively ($6.2 million and $5.2 million in the nine month periods ended September 30, 2022 and 2021, respectively). As of September 30, 2022, the Company had $13.5 million of unrecognized share based compensation expense expected to be charged to earnings over a weighted-average period of 2.0 years.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activity: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5"/>
              </w:rPr>
              <w:t>Nine Months Ended September 30,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8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68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0"/>
              <w:spacing w:after="0" w:line="137"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9"/>
              <w:spacing w:after="0" w:line="13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9"/>
              <w:spacing w:after="0" w:line="142"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6"/>
        </w:trPr>
        <w:tc>
          <w:tcPr>
            <w:tcW w:w="5680" w:type="dxa"/>
            <w:vAlign w:val="bottom"/>
          </w:tcPr>
          <w:p>
            <w:pPr>
              <w:spacing w:after="0"/>
              <w:rPr>
                <w:sz w:val="11"/>
                <w:szCs w:val="11"/>
                <w:color w:val="auto"/>
              </w:rPr>
            </w:pPr>
          </w:p>
        </w:tc>
        <w:tc>
          <w:tcPr>
            <w:tcW w:w="13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7" w:lineRule="exact"/>
              <w:rPr>
                <w:sz w:val="20"/>
                <w:szCs w:val="20"/>
                <w:color w:val="auto"/>
              </w:rPr>
            </w:pPr>
            <w:r>
              <w:rPr>
                <w:rFonts w:ascii="Arial" w:cs="Arial" w:eastAsia="Arial" w:hAnsi="Arial"/>
                <w:sz w:val="14"/>
                <w:szCs w:val="14"/>
                <w:b w:val="1"/>
                <w:bCs w:val="1"/>
                <w:color w:val="auto"/>
                <w:w w:val="86"/>
              </w:rPr>
              <w:t>Exercise</w:t>
            </w:r>
          </w:p>
        </w:tc>
        <w:tc>
          <w:tcPr>
            <w:tcW w:w="13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9"/>
              <w:spacing w:after="0" w:line="137"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4"/>
        </w:trPr>
        <w:tc>
          <w:tcPr>
            <w:tcW w:w="56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4"/>
        </w:trPr>
        <w:tc>
          <w:tcPr>
            <w:tcW w:w="56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1300" w:type="dxa"/>
            <w:vAlign w:val="bottom"/>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463,324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(41,392)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35.26</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392,514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end of period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392,514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All of the outstanding options are fully vested (vesting period of three years from date of grant) and have a contractual life of seven years from the original date of grant.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activity: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3"/>
          </w:tcPr>
          <w:p>
            <w:pPr>
              <w:jc w:val="right"/>
              <w:ind w:right="217"/>
              <w:spacing w:after="0"/>
              <w:rPr>
                <w:sz w:val="20"/>
                <w:szCs w:val="20"/>
                <w:color w:val="auto"/>
              </w:rPr>
            </w:pPr>
            <w:r>
              <w:rPr>
                <w:rFonts w:ascii="Arial" w:cs="Arial" w:eastAsia="Arial" w:hAnsi="Arial"/>
                <w:sz w:val="14"/>
                <w:szCs w:val="14"/>
                <w:b w:val="1"/>
                <w:bCs w:val="1"/>
                <w:color w:val="auto"/>
                <w:w w:val="95"/>
              </w:rPr>
              <w:t>Nine Months Ended September 30,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8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68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1"/>
              <w:spacing w:after="0" w:line="133"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0"/>
              <w:spacing w:after="0" w:line="13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6"/>
        </w:trPr>
        <w:tc>
          <w:tcPr>
            <w:tcW w:w="5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7"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0"/>
              <w:spacing w:after="0" w:line="13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6"/>
        </w:trPr>
        <w:tc>
          <w:tcPr>
            <w:tcW w:w="5680" w:type="dxa"/>
            <w:vAlign w:val="bottom"/>
          </w:tcPr>
          <w:p>
            <w:pPr>
              <w:spacing w:after="0"/>
              <w:rPr>
                <w:sz w:val="12"/>
                <w:szCs w:val="12"/>
                <w:color w:val="auto"/>
              </w:rPr>
            </w:pPr>
          </w:p>
        </w:tc>
        <w:tc>
          <w:tcPr>
            <w:tcW w:w="13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color w:val="auto"/>
                <w:w w:val="97"/>
              </w:rPr>
              <w:t>Grant Date</w:t>
            </w:r>
          </w:p>
        </w:tc>
        <w:tc>
          <w:tcPr>
            <w:tcW w:w="13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40"/>
              <w:spacing w:after="0" w:line="146"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4"/>
        </w:trPr>
        <w:tc>
          <w:tcPr>
            <w:tcW w:w="56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Fair Value</w:t>
            </w: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
        </w:trPr>
        <w:tc>
          <w:tcPr>
            <w:tcW w:w="56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Unvested, beginning of period</w:t>
            </w:r>
          </w:p>
        </w:tc>
        <w:tc>
          <w:tcPr>
            <w:tcW w:w="1300" w:type="dxa"/>
            <w:vAlign w:val="bottom"/>
          </w:tcPr>
          <w:p>
            <w:pPr>
              <w:jc w:val="right"/>
              <w:spacing w:after="0"/>
              <w:rPr>
                <w:sz w:val="20"/>
                <w:szCs w:val="20"/>
                <w:color w:val="auto"/>
              </w:rPr>
            </w:pPr>
            <w:r>
              <w:rPr>
                <w:rFonts w:ascii="Arial" w:cs="Arial" w:eastAsia="Arial" w:hAnsi="Arial"/>
                <w:sz w:val="18"/>
                <w:szCs w:val="18"/>
                <w:color w:val="auto"/>
              </w:rPr>
              <w:t>292,135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45.89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399,856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545,450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25"/>
        </w:trPr>
        <w:tc>
          <w:tcPr>
            <w:tcW w:w="5680" w:type="dxa"/>
            <w:vAlign w:val="bottom"/>
          </w:tcPr>
          <w:p>
            <w:pPr>
              <w:ind w:left="180"/>
              <w:spacing w:after="0"/>
              <w:rPr>
                <w:sz w:val="20"/>
                <w:szCs w:val="20"/>
                <w:color w:val="auto"/>
              </w:rPr>
            </w:pPr>
            <w:r>
              <w:rPr>
                <w:rFonts w:ascii="Arial" w:cs="Arial" w:eastAsia="Arial" w:hAnsi="Arial"/>
                <w:sz w:val="18"/>
                <w:szCs w:val="18"/>
                <w:color w:val="auto"/>
              </w:rPr>
              <w:t>Vested</w:t>
            </w:r>
          </w:p>
        </w:tc>
        <w:tc>
          <w:tcPr>
            <w:tcW w:w="1300" w:type="dxa"/>
            <w:vAlign w:val="bottom"/>
          </w:tcPr>
          <w:p>
            <w:pPr>
              <w:jc w:val="right"/>
              <w:spacing w:after="0"/>
              <w:rPr>
                <w:sz w:val="20"/>
                <w:szCs w:val="20"/>
                <w:color w:val="auto"/>
              </w:rPr>
            </w:pPr>
            <w:r>
              <w:rPr>
                <w:rFonts w:ascii="Arial" w:cs="Arial" w:eastAsia="Arial" w:hAnsi="Arial"/>
                <w:sz w:val="18"/>
                <w:szCs w:val="18"/>
                <w:color w:val="auto"/>
              </w:rPr>
              <w:t>(112,527)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45.49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(165,131)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Arial" w:cs="Arial" w:eastAsia="Arial" w:hAnsi="Arial"/>
                <w:sz w:val="18"/>
                <w:szCs w:val="18"/>
                <w:color w:val="auto"/>
              </w:rPr>
              <w:t>Unvested, end of period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715,298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26.94</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317,832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Outstanding RSUs granted to employees generally vest ratably over a three year vesting period. RSUs granted to non-employee directors have a one year vesting period.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Performance Ratios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following table provides the underwriting performance ratios of the Company inclusive of the business subject to retroactive reinsurance accounting for loss portfolio transfers. There is no economic impact to the Company over the life of a loss portfolio transfer contract so long as any additional losses subject to the contract are within the limit of the loss portfolio transfer and the counterparty performs under the contract. Retroactive reinsurance accounting is not indicative of our current and ongoing operations. Management believes that providing loss ratios and combined ratios on business not subject to retroactive reinsurance accounting for loss portfolio transfers gives the users of our financial statements useful information in evaluating our current and ongoing operations.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3"/>
          </w:tcPr>
          <w:p>
            <w:pPr>
              <w:jc w:val="center"/>
              <w:ind w:left="835"/>
              <w:spacing w:after="0"/>
              <w:rPr>
                <w:sz w:val="20"/>
                <w:szCs w:val="20"/>
                <w:color w:val="auto"/>
              </w:rPr>
            </w:pPr>
            <w:r>
              <w:rPr>
                <w:rFonts w:ascii="Arial" w:cs="Arial" w:eastAsia="Arial" w:hAnsi="Arial"/>
                <w:sz w:val="14"/>
                <w:szCs w:val="14"/>
                <w:b w:val="1"/>
                <w:bCs w:val="1"/>
                <w:color w:val="auto"/>
                <w:w w:val="91"/>
              </w:rPr>
              <w:t>Nine Months Ended</w:t>
            </w:r>
          </w:p>
        </w:tc>
        <w:tc>
          <w:tcPr>
            <w:tcW w:w="920" w:type="dxa"/>
            <w:vAlign w:val="bottom"/>
          </w:tcPr>
          <w:p>
            <w:pPr>
              <w:spacing w:after="0"/>
              <w:rPr>
                <w:sz w:val="14"/>
                <w:szCs w:val="14"/>
                <w:color w:val="auto"/>
              </w:rPr>
            </w:pPr>
          </w:p>
        </w:tc>
      </w:tr>
      <w:tr>
        <w:trPr>
          <w:trHeight w:val="189"/>
        </w:trPr>
        <w:tc>
          <w:tcPr>
            <w:tcW w:w="49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gridSpan w:val="3"/>
          </w:tcPr>
          <w:p>
            <w:pPr>
              <w:jc w:val="center"/>
              <w:ind w:left="855"/>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49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2021</w:t>
            </w: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Excess and Surplus Lines: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Loss Ratio</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69.3 %</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97.9 %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66.2 %</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122.0 %</w:t>
            </w: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retroactive reinsurance</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14.9 %</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Loss Ratio including impact of retroactive reinsurance</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84.2 %</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97.9 %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71.3 %</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122.0 %</w:t>
            </w:r>
          </w:p>
        </w:tc>
      </w:tr>
      <w:tr>
        <w:trPr>
          <w:trHeight w:val="265"/>
        </w:trPr>
        <w:tc>
          <w:tcPr>
            <w:tcW w:w="49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25"/>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Combined Ratio</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88.2 %</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118.0 %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85.3 %</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141.4 %</w:t>
            </w: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retroactive reinsurance</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14.9 %</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8"/>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Combined Ratio including impact of retroactive reinsurance</w:t>
            </w:r>
          </w:p>
        </w:tc>
        <w:tc>
          <w:tcPr>
            <w:tcW w:w="600" w:type="dxa"/>
            <w:vAlign w:val="bottom"/>
          </w:tcPr>
          <w:p>
            <w:pPr>
              <w:jc w:val="right"/>
              <w:spacing w:after="0"/>
              <w:rPr>
                <w:sz w:val="20"/>
                <w:szCs w:val="20"/>
                <w:color w:val="auto"/>
              </w:rPr>
            </w:pPr>
            <w:r>
              <w:rPr>
                <w:rFonts w:ascii="Arial" w:cs="Arial" w:eastAsia="Arial" w:hAnsi="Arial"/>
                <w:sz w:val="18"/>
                <w:szCs w:val="18"/>
                <w:color w:val="auto"/>
                <w:w w:val="84"/>
              </w:rPr>
              <w:t>103.1 %</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118.0 %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90.4 %</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141.4 %</w:t>
            </w:r>
          </w:p>
        </w:tc>
      </w:tr>
      <w:tr>
        <w:trPr>
          <w:trHeight w:val="266"/>
        </w:trPr>
        <w:tc>
          <w:tcPr>
            <w:tcW w:w="49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25"/>
        </w:trPr>
        <w:tc>
          <w:tcPr>
            <w:tcW w:w="580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Ratio</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69.5 %</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109.1 %</w:t>
            </w:r>
          </w:p>
        </w:tc>
      </w:tr>
      <w:tr>
        <w:trPr>
          <w:trHeight w:val="225"/>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retroactive reinsurance</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10.9 %</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1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Ratio including impact of retroactive reinsurance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80.4 %</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109.1 %</w:t>
            </w:r>
          </w:p>
        </w:tc>
      </w:tr>
      <w:tr>
        <w:trPr>
          <w:trHeight w:val="265"/>
        </w:trPr>
        <w:tc>
          <w:tcPr>
            <w:tcW w:w="4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5"/>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Combined Ratio</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94.1 %</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135.6 %</w:t>
            </w:r>
          </w:p>
        </w:tc>
      </w:tr>
      <w:tr>
        <w:trPr>
          <w:trHeight w:val="225"/>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retroactive reinsurance</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10.9 %</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1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Combined Ratio including impact of retroactive reinsurance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105.0 %</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Underwriting Profit</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define underwriting profit as net earned premiums and gross fee income (in specific instances when the Company is not retaining insurance risk) less losses and loss adjustment expenses on business not subject to retroactive reinsurance accounting for loss portfolio transfers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spacing w:after="0" w:line="4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reconciles the underwriting profit (loss) of the operating segments by individual segment to consolidated (loss) income before income taxes: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40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189"/>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profit (loss) of the operating segments: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16,402</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(21,527)</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60,193</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(145,556)</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(16,857)</w:t>
            </w: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underwriting profit (loss) of operating segments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(155,925)</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(23,258)</w:t>
            </w:r>
          </w:p>
        </w:tc>
      </w:tr>
      <w:tr>
        <w:trPr>
          <w:trHeight w:val="219"/>
        </w:trPr>
        <w:tc>
          <w:tcPr>
            <w:tcW w:w="54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 xml:space="preserve">Underwriting profit (loss) </w:t>
            </w:r>
            <w:r>
              <w:rPr>
                <w:rFonts w:ascii="Arial" w:cs="Arial" w:eastAsia="Arial" w:hAnsi="Arial"/>
                <w:sz w:val="14"/>
                <w:szCs w:val="14"/>
                <w:color w:val="auto"/>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(179,183)</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Losses and loss adjustment expenses - retroactive reinsurance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44,726</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Net realized and unrealized (losses) gains on investments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13,738</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Other income and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(1,964)</w:t>
            </w: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(6,692)</w:t>
            </w:r>
          </w:p>
        </w:tc>
      </w:tr>
      <w:tr>
        <w:trPr>
          <w:trHeight w:val="219"/>
        </w:trPr>
        <w:tc>
          <w:tcPr>
            <w:tcW w:w="542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(129,647)</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40" w:right="480" w:hanging="316"/>
        <w:spacing w:after="0" w:line="264" w:lineRule="auto"/>
        <w:tabs>
          <w:tab w:leader="none" w:pos="634"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and nine months ended September 30, 2022 is gross fee income of $5.9 million and $17.4 million, respectively ($5.6 million and $16.2 million in the respective prior year periods).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Net Operating Income</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Adjusted net operating income is defined as income available to common shareholders excluding a) the impact of loss portfolio transfers accounted for as retroactive reinsurance, b) net realized and unrealized gains (losses) on investments, c) certain non-operating expenses such as professional service fees related to a purported class action lawsuit, various strategic initiatives, and the filing of registration statements for the offering of securities, and d) severance costs associated with terminated employees. Adjusted net operating income should not be viewed as a substitute for net income calculated in accordance with GAAP, and our definition of adjusted net operating income may not be comparable to that of other companies.</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income (loss) available to common shareholders reconciles to our adjusted net operating income (loss)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440" w:type="dxa"/>
            <w:vAlign w:val="bottom"/>
          </w:tcPr>
          <w:p>
            <w:pPr>
              <w:spacing w:after="0"/>
              <w:rPr>
                <w:sz w:val="11"/>
                <w:szCs w:val="11"/>
                <w:color w:val="auto"/>
              </w:rPr>
            </w:pPr>
          </w:p>
        </w:tc>
        <w:tc>
          <w:tcPr>
            <w:tcW w:w="100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85"/>
              </w:rPr>
              <w:t>Loss</w:t>
            </w:r>
          </w:p>
        </w:tc>
        <w:tc>
          <w:tcPr>
            <w:tcW w:w="320" w:type="dxa"/>
            <w:vAlign w:val="bottom"/>
          </w:tcPr>
          <w:p>
            <w:pPr>
              <w:spacing w:after="0"/>
              <w:rPr>
                <w:sz w:val="11"/>
                <w:szCs w:val="11"/>
                <w:color w:val="auto"/>
              </w:rPr>
            </w:pPr>
          </w:p>
        </w:tc>
        <w:tc>
          <w:tcPr>
            <w:tcW w:w="102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6"/>
        </w:trPr>
        <w:tc>
          <w:tcPr>
            <w:tcW w:w="5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90"/>
              </w:rPr>
              <w:t>Before</w:t>
            </w: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center"/>
              <w:ind w:right="560"/>
              <w:spacing w:after="0" w:line="146" w:lineRule="exact"/>
              <w:rPr>
                <w:sz w:val="20"/>
                <w:szCs w:val="20"/>
                <w:color w:val="auto"/>
              </w:rPr>
            </w:pPr>
            <w:r>
              <w:rPr>
                <w:rFonts w:ascii="Arial" w:cs="Arial" w:eastAsia="Arial" w:hAnsi="Arial"/>
                <w:sz w:val="14"/>
                <w:szCs w:val="14"/>
                <w:b w:val="1"/>
                <w:bCs w:val="1"/>
                <w:color w:val="auto"/>
                <w:w w:val="90"/>
              </w:rPr>
              <w:t>Before</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5"/>
              </w:rPr>
              <w:t>Taxes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5"/>
              </w:rPr>
              <w:t>Taxes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available to common shareholders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(23,889)</w:t>
            </w:r>
          </w:p>
        </w:tc>
        <w:tc>
          <w:tcPr>
            <w:tcW w:w="0" w:type="dxa"/>
            <w:vAlign w:val="bottom"/>
          </w:tcPr>
          <w:p>
            <w:pPr>
              <w:spacing w:after="0"/>
              <w:rPr>
                <w:sz w:val="1"/>
                <w:szCs w:val="1"/>
                <w:color w:val="auto"/>
              </w:rPr>
            </w:pP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Losses and loss adjustment expenses - retroactive reinsurance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investment losses (gains)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25"/>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operating income (loss)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2022</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jc w:val="center"/>
              <w:ind w:right="380"/>
              <w:spacing w:after="0" w:line="137"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1"/>
                <w:szCs w:val="11"/>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440" w:type="dxa"/>
            <w:vAlign w:val="bottom"/>
          </w:tcPr>
          <w:p>
            <w:pPr>
              <w:spacing w:after="0"/>
              <w:rPr>
                <w:sz w:val="11"/>
                <w:szCs w:val="11"/>
                <w:color w:val="auto"/>
              </w:rPr>
            </w:pPr>
          </w:p>
        </w:tc>
        <w:tc>
          <w:tcPr>
            <w:tcW w:w="1000" w:type="dxa"/>
            <w:vAlign w:val="bottom"/>
            <w:gridSpan w:val="2"/>
          </w:tcPr>
          <w:p>
            <w:pPr>
              <w:jc w:val="center"/>
              <w:ind w:right="560"/>
              <w:spacing w:after="0" w:line="137" w:lineRule="exact"/>
              <w:rPr>
                <w:sz w:val="20"/>
                <w:szCs w:val="20"/>
                <w:color w:val="auto"/>
              </w:rPr>
            </w:pPr>
            <w:r>
              <w:rPr>
                <w:rFonts w:ascii="Arial" w:cs="Arial" w:eastAsia="Arial" w:hAnsi="Arial"/>
                <w:sz w:val="14"/>
                <w:szCs w:val="14"/>
                <w:b w:val="1"/>
                <w:bCs w:val="1"/>
                <w:color w:val="auto"/>
                <w:w w:val="85"/>
              </w:rPr>
              <w:t>Loss</w:t>
            </w:r>
          </w:p>
        </w:tc>
        <w:tc>
          <w:tcPr>
            <w:tcW w:w="320" w:type="dxa"/>
            <w:vAlign w:val="bottom"/>
          </w:tcPr>
          <w:p>
            <w:pPr>
              <w:spacing w:after="0"/>
              <w:rPr>
                <w:sz w:val="11"/>
                <w:szCs w:val="11"/>
                <w:color w:val="auto"/>
              </w:rPr>
            </w:pPr>
          </w:p>
        </w:tc>
        <w:tc>
          <w:tcPr>
            <w:tcW w:w="102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0"/>
              </w:rPr>
              <w:t>Before</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90"/>
              </w:rPr>
              <w:t>Before</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5"/>
              </w:rPr>
              <w:t>Taxes</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Income</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5"/>
              </w:rPr>
              <w:t>Taxes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88"/>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available to common shareholders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(129,647)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(106,506)</w:t>
            </w:r>
          </w:p>
        </w:tc>
        <w:tc>
          <w:tcPr>
            <w:tcW w:w="0" w:type="dxa"/>
            <w:vAlign w:val="bottom"/>
          </w:tcPr>
          <w:p>
            <w:pPr>
              <w:spacing w:after="0"/>
              <w:rPr>
                <w:sz w:val="1"/>
                <w:szCs w:val="1"/>
                <w:color w:val="auto"/>
              </w:rPr>
            </w:pP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Losses and loss adjustment expenses - retroactive reinsurance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investment losses (gains)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(11,914)</w:t>
            </w:r>
          </w:p>
        </w:tc>
        <w:tc>
          <w:tcPr>
            <w:tcW w:w="0" w:type="dxa"/>
            <w:vAlign w:val="bottom"/>
          </w:tcPr>
          <w:p>
            <w:pPr>
              <w:spacing w:after="0"/>
              <w:rPr>
                <w:sz w:val="1"/>
                <w:szCs w:val="1"/>
                <w:color w:val="auto"/>
              </w:rPr>
            </w:pPr>
          </w:p>
        </w:tc>
      </w:tr>
      <w:tr>
        <w:trPr>
          <w:trHeight w:val="225"/>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operating income (loss)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(116,780)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Equity and Tangible Equity per Share</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Tangible equity is defined as shareholders' equity plus mezzanine Series A Preferred Shares and the unrecognized deferred retroactive reinsurance gain on loss portfolio transfers less goodwill and intangible assets, net of amortization. Tangible equity per share represents tangible equity divided by the sum of total common shares outstanding plus the common shares resulting from an assumed conversion of the outstanding Series A Preferred Shares into common shares (at the current conversion price). Our definitions of tangible equity and tangible equity per share may not be comparable to that of other companies, and they should not be viewed as a substitute for shareholders’ equity and shareholders’ equity per share calculated in accordance with GAAP.</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shareholders’ equity to tangible equity as of September 30, 2022 and December 31, 2021: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 2022</w:t>
            </w:r>
          </w:p>
        </w:tc>
        <w:tc>
          <w:tcPr>
            <w:tcW w:w="240" w:type="dxa"/>
            <w:vAlign w:val="bottom"/>
          </w:tcPr>
          <w:p>
            <w:pPr>
              <w:spacing w:after="0"/>
              <w:rPr>
                <w:sz w:val="15"/>
                <w:szCs w:val="15"/>
                <w:color w:val="auto"/>
              </w:rPr>
            </w:pPr>
          </w:p>
        </w:tc>
        <w:tc>
          <w:tcPr>
            <w:tcW w:w="2200" w:type="dxa"/>
            <w:vAlign w:val="bottom"/>
            <w:gridSpan w:val="3"/>
          </w:tcPr>
          <w:p>
            <w:pPr>
              <w:jc w:val="right"/>
              <w:ind w:right="56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6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6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0"/>
                <w:szCs w:val="10"/>
                <w:color w:val="auto"/>
              </w:rPr>
            </w:pPr>
          </w:p>
        </w:tc>
        <w:tc>
          <w:tcPr>
            <w:tcW w:w="940" w:type="dxa"/>
            <w:vAlign w:val="bottom"/>
          </w:tcPr>
          <w:p>
            <w:pPr>
              <w:jc w:val="center"/>
              <w:ind w:right="81"/>
              <w:spacing w:after="0" w:line="126" w:lineRule="exact"/>
              <w:rPr>
                <w:sz w:val="20"/>
                <w:szCs w:val="20"/>
                <w:color w:val="auto"/>
              </w:rPr>
            </w:pPr>
            <w:r>
              <w:rPr>
                <w:rFonts w:ascii="Arial" w:cs="Arial" w:eastAsia="Arial" w:hAnsi="Arial"/>
                <w:sz w:val="14"/>
                <w:szCs w:val="14"/>
                <w:b w:val="1"/>
                <w:bCs w:val="1"/>
                <w:color w:val="auto"/>
                <w:w w:val="96"/>
              </w:rPr>
              <w:t>Equity per</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0"/>
                <w:szCs w:val="10"/>
                <w:color w:val="auto"/>
              </w:rPr>
            </w:pPr>
          </w:p>
        </w:tc>
        <w:tc>
          <w:tcPr>
            <w:tcW w:w="940" w:type="dxa"/>
            <w:vAlign w:val="bottom"/>
          </w:tcPr>
          <w:p>
            <w:pPr>
              <w:jc w:val="right"/>
              <w:ind w:right="141"/>
              <w:spacing w:after="0" w:line="126" w:lineRule="exact"/>
              <w:rPr>
                <w:sz w:val="20"/>
                <w:szCs w:val="20"/>
                <w:color w:val="auto"/>
              </w:rPr>
            </w:pPr>
            <w:r>
              <w:rPr>
                <w:rFonts w:ascii="Arial" w:cs="Arial" w:eastAsia="Arial" w:hAnsi="Arial"/>
                <w:sz w:val="14"/>
                <w:szCs w:val="14"/>
                <w:b w:val="1"/>
                <w:bCs w:val="1"/>
                <w:color w:val="auto"/>
              </w:rPr>
              <w:t>Equity per</w:t>
            </w:r>
          </w:p>
        </w:tc>
        <w:tc>
          <w:tcPr>
            <w:tcW w:w="0" w:type="dxa"/>
            <w:vAlign w:val="bottom"/>
          </w:tcPr>
          <w:p>
            <w:pPr>
              <w:spacing w:after="0"/>
              <w:rPr>
                <w:sz w:val="1"/>
                <w:szCs w:val="1"/>
                <w:color w:val="auto"/>
              </w:rPr>
            </w:pPr>
          </w:p>
        </w:tc>
      </w:tr>
      <w:tr>
        <w:trPr>
          <w:trHeight w:val="192"/>
        </w:trPr>
        <w:tc>
          <w:tcPr>
            <w:tcW w:w="6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9"/>
        </w:trPr>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i w:val="1"/>
                <w:iCs w:val="1"/>
                <w:color w:val="auto"/>
                <w:w w:val="91"/>
              </w:rPr>
              <w:t>($ in thousands, except share amounts)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526,804</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725,362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25"/>
        </w:trPr>
        <w:tc>
          <w:tcPr>
            <w:tcW w:w="6220" w:type="dxa"/>
            <w:vAlign w:val="bottom"/>
          </w:tcPr>
          <w:p>
            <w:pPr>
              <w:ind w:left="20"/>
              <w:spacing w:after="0"/>
              <w:rPr>
                <w:sz w:val="20"/>
                <w:szCs w:val="20"/>
                <w:color w:val="auto"/>
              </w:rPr>
            </w:pPr>
            <w:r>
              <w:rPr>
                <w:rFonts w:ascii="Arial" w:cs="Arial" w:eastAsia="Arial" w:hAnsi="Arial"/>
                <w:sz w:val="18"/>
                <w:szCs w:val="18"/>
                <w:color w:val="auto"/>
              </w:rPr>
              <w:t>Series A redeemable preferred shares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144,898</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reinsurance gain</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20" w:type="dxa"/>
            <w:vAlign w:val="bottom"/>
          </w:tcPr>
          <w:p>
            <w:pPr>
              <w:ind w:left="20"/>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35,767</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36,039</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2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8"/>
                <w:szCs w:val="18"/>
                <w:color w:val="auto"/>
              </w:rPr>
              <w:t>Tangible equity</w:t>
            </w:r>
          </w:p>
        </w:tc>
        <w:tc>
          <w:tcPr>
            <w:tcW w:w="240" w:type="dxa"/>
            <w:vAlign w:val="bottom"/>
            <w:tcBorders>
              <w:bottom w:val="single" w:sz="8" w:color="auto"/>
            </w:tcBorders>
            <w:shd w:val="clear" w:color="auto" w:fill="CCEEFF"/>
          </w:tcPr>
          <w:p>
            <w:pPr>
              <w:jc w:val="right"/>
              <w:ind w:right="52"/>
              <w:spacing w:after="0" w:line="19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474,877</w:t>
            </w:r>
          </w:p>
        </w:tc>
        <w:tc>
          <w:tcPr>
            <w:tcW w:w="260" w:type="dxa"/>
            <w:vAlign w:val="bottom"/>
            <w:tcBorders>
              <w:bottom w:val="single" w:sz="8" w:color="CCEEFF"/>
            </w:tcBorders>
            <w:shd w:val="clear" w:color="auto" w:fill="CCEEFF"/>
          </w:tcPr>
          <w:p>
            <w:pPr>
              <w:ind w:left="120"/>
              <w:spacing w:after="0" w:line="19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
              <w:spacing w:after="0" w:line="193" w:lineRule="exact"/>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2"/>
              <w:spacing w:after="0" w:line="19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507,492</w:t>
            </w:r>
          </w:p>
        </w:tc>
        <w:tc>
          <w:tcPr>
            <w:tcW w:w="260" w:type="dxa"/>
            <w:vAlign w:val="bottom"/>
            <w:tcBorders>
              <w:bottom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outstanding</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37,450,438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37,373,066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shares from assumed conversion of Series A Preferred Shares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5,640,158</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Common shares outstanding after assumed conversion of Series A Preferred Shares</w:t>
            </w: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43,090,596</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37,373,066</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4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There have been no material changes in market risk from the information provided in Item 7A of our Annual Report on Form 10-K for the year ended December 31, 2021. The fair values of our fixed maturity securities have been negatively impacted in 2022 by higher interest rates. For the nine months ended September 30, 2022, unrealized losses on fixed maturities of $205.2 million were recognized in other comprehensive loss. Market risk was also reflected in net realized and unrealized investment losses of $29.9 million for the nine months ended September 30, 2022, which included $16.0 million </w:t>
      </w:r>
      <w:r>
        <w:rPr>
          <w:rFonts w:ascii="Arial" w:cs="Arial" w:eastAsia="Arial" w:hAnsi="Arial"/>
          <w:sz w:val="15"/>
          <w:szCs w:val="15"/>
          <w:color w:val="231F20"/>
        </w:rPr>
        <w:t>and</w:t>
      </w:r>
      <w:r>
        <w:rPr>
          <w:rFonts w:ascii="Arial" w:cs="Arial" w:eastAsia="Arial" w:hAnsi="Arial"/>
          <w:sz w:val="15"/>
          <w:szCs w:val="15"/>
          <w:color w:val="auto"/>
        </w:rPr>
        <w:t xml:space="preserve"> $13.8 million </w:t>
      </w:r>
      <w:r>
        <w:rPr>
          <w:rFonts w:ascii="Arial" w:cs="Arial" w:eastAsia="Arial" w:hAnsi="Arial"/>
          <w:sz w:val="15"/>
          <w:szCs w:val="15"/>
          <w:color w:val="231F20"/>
        </w:rPr>
        <w:t>of unrealized losses related to changes in unrealized gains and losses on equity securities and bank loan participations,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September 30, 2022,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September 30, 2022.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our quarter ended September 30, 2022 that have materially affected, or are reasonably likely to materially affect,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involved in various legal proceedings, including commercial matters and litigation regarding insurance claims which arise in the ordinary course of business, as well as an alleged class action lawsuit. In addition, the Company is involved from time to time in legal actions which seek extra-contractual damages, punitive damages or penalties, including claims alleging bad faith in handling of insurance claims. We believe that the outcome of such matters, individually and in the aggregate, is not reasonably likely to have a material adverse effect on our consolidated financial position, results of operations or cash flows.</w:t>
      </w:r>
    </w:p>
    <w:p>
      <w:pPr>
        <w:spacing w:after="0" w:line="7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“First Amended Complaint”). The Defendants filed a motion to dismiss the First Amended Complaint on January 18, 2022, Plaintiffs’ opposition thereto was filed on March 4, 2022, and the Defendants’ reply to the Plaintiffs’ opposition was filed on April 4, 2022. On August 25, 2022, Plaintiffs filed a motion for leave to file a second amended class action complaint (the "Second Amended Complaint"). On September 8, 2022, the Defendants consented to the Plaintiffs’ motion to file the Second Amended Complaint, and filed a motion to dismiss the Second Amended Complaint on October 24, 2022 (the "Second MTD"). The Plaintiffs’ opposition to the Second MTD is due December 8, 2022, and the Defendant's reply to the Plaintiffs’ opposition is due January 9, 2023. The First Amended Complaint and Second Amended Complaint assert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claims under Sections 10(b) and 20(a) of the Securities Exchange Act of 1934 on behalf of a putative class of persons and entities that purchased the Company's stock between February 22, 2019 and October 25, 2021, and allege that Defendants failed to make appropriate disclosures concerning the adequacy of reserves for policies that covered Rasier LLC, a subsidiary of Uber Technologies, Inc., and seek unspecified damages, costs, attorneys’ fees and such other relief as the court may deem proper. We believe that the Plaintiffs’ claims are without merit and we intend to vigorously defend this lawsuit.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have been no material changes in our risk factors in the quarter ended September 30, 2022 from those disclosed in our Annual Report on Form 10-K for the year ended December 31,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140" w:type="dxa"/>
            <w:vAlign w:val="bottom"/>
            <w:gridSpan w:val="10"/>
            <w:vMerge w:val="restart"/>
          </w:tcPr>
          <w:p>
            <w:pPr>
              <w:ind w:left="3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14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640" w:type="dxa"/>
            <w:vAlign w:val="bottom"/>
            <w:tcBorders>
              <w:top w:val="single" w:sz="8" w:color="auto"/>
            </w:tcBorders>
            <w:gridSpan w:val="11"/>
          </w:tcPr>
          <w:p>
            <w:pPr>
              <w:spacing w:after="0"/>
              <w:rPr>
                <w:rFonts w:ascii="Arial" w:cs="Arial" w:eastAsia="Arial" w:hAnsi="Arial"/>
                <w:sz w:val="18"/>
                <w:szCs w:val="18"/>
                <w:color w:val="0000FF"/>
                <w:w w:val="99"/>
              </w:rPr>
            </w:pPr>
            <w:hyperlink r:id="rId78">
              <w:r>
                <w:rPr>
                  <w:rFonts w:ascii="Arial" w:cs="Arial" w:eastAsia="Arial" w:hAnsi="Arial"/>
                  <w:sz w:val="18"/>
                  <w:szCs w:val="18"/>
                  <w:color w:val="0000FF"/>
                  <w:w w:val="99"/>
                </w:rPr>
                <w:t>James River Group Holdings, Ltd. Short-Term Incentive Plan (incorporated by reference to Exhibit 10.1 to the</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0" w:type="dxa"/>
            <w:vAlign w:val="bottom"/>
            <w:tcBorders>
              <w:top w:val="single" w:sz="8" w:color="0000FF"/>
            </w:tcBorders>
            <w:gridSpan w:val="7"/>
          </w:tcPr>
          <w:p>
            <w:pPr>
              <w:spacing w:after="0" w:line="152" w:lineRule="exact"/>
              <w:rPr>
                <w:rFonts w:ascii="Arial" w:cs="Arial" w:eastAsia="Arial" w:hAnsi="Arial"/>
                <w:sz w:val="17"/>
                <w:szCs w:val="17"/>
                <w:color w:val="0000FF"/>
                <w:w w:val="95"/>
              </w:rPr>
            </w:pPr>
            <w:hyperlink r:id="rId78">
              <w:r>
                <w:rPr>
                  <w:rFonts w:ascii="Arial" w:cs="Arial" w:eastAsia="Arial" w:hAnsi="Arial"/>
                  <w:sz w:val="17"/>
                  <w:szCs w:val="17"/>
                  <w:color w:val="0000FF"/>
                  <w:w w:val="95"/>
                </w:rPr>
                <w:t>Registrant’s Current Report on Form 8-K filed with the Commission on August 1, 2022, Commission File No.</w:t>
              </w:r>
            </w:hyperlink>
          </w:p>
        </w:tc>
        <w:tc>
          <w:tcPr>
            <w:tcW w:w="460" w:type="dxa"/>
            <w:vAlign w:val="bottom"/>
            <w:gridSpan w:val="2"/>
          </w:tcPr>
          <w:p>
            <w:pPr>
              <w:jc w:val="right"/>
              <w:ind w:right="100"/>
              <w:spacing w:after="0" w:line="152" w:lineRule="exact"/>
              <w:rPr>
                <w:rFonts w:ascii="Arial" w:cs="Arial" w:eastAsia="Arial" w:hAnsi="Arial"/>
                <w:sz w:val="17"/>
                <w:szCs w:val="17"/>
                <w:color w:val="0000FF"/>
                <w:w w:val="99"/>
              </w:rPr>
            </w:pPr>
            <w:hyperlink r:id="rId78">
              <w:r>
                <w:rPr>
                  <w:rFonts w:ascii="Arial" w:cs="Arial" w:eastAsia="Arial" w:hAnsi="Arial"/>
                  <w:sz w:val="17"/>
                  <w:szCs w:val="17"/>
                  <w:color w:val="0000FF"/>
                  <w:w w:val="99"/>
                </w:rPr>
                <w:t>001-</w:t>
              </w:r>
            </w:hyperlink>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0"/>
              </w:rPr>
            </w:pPr>
            <w:hyperlink r:id="rId78">
              <w:r>
                <w:rPr>
                  <w:rFonts w:ascii="Arial" w:cs="Arial" w:eastAsia="Arial" w:hAnsi="Arial"/>
                  <w:sz w:val="17"/>
                  <w:szCs w:val="17"/>
                  <w:color w:val="0000FF"/>
                  <w:w w:val="90"/>
                </w:rPr>
                <w:t>36777)</w:t>
              </w:r>
            </w:hyperlink>
          </w:p>
        </w:tc>
        <w:tc>
          <w:tcPr>
            <w:tcW w:w="35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900" w:type="dxa"/>
            <w:vAlign w:val="bottom"/>
          </w:tcPr>
          <w:p>
            <w:pPr>
              <w:ind w:left="20"/>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40" w:type="dxa"/>
            <w:vAlign w:val="bottom"/>
            <w:gridSpan w:val="11"/>
          </w:tcPr>
          <w:p>
            <w:pPr>
              <w:spacing w:after="0"/>
              <w:rPr>
                <w:rFonts w:ascii="Arial" w:cs="Arial" w:eastAsia="Arial" w:hAnsi="Arial"/>
                <w:sz w:val="18"/>
                <w:szCs w:val="18"/>
                <w:color w:val="0000FF"/>
                <w:w w:val="93"/>
              </w:rPr>
            </w:pPr>
            <w:hyperlink r:id="rId79">
              <w:r>
                <w:rPr>
                  <w:rFonts w:ascii="Arial" w:cs="Arial" w:eastAsia="Arial" w:hAnsi="Arial"/>
                  <w:sz w:val="18"/>
                  <w:szCs w:val="18"/>
                  <w:color w:val="0000FF"/>
                  <w:w w:val="93"/>
                </w:rPr>
                <w:t>Form of Performance Restricted Share Unit Agreement (incorporated by reference to Exhibit 10.2 to the Registrant’s</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tcBorders>
            <w:gridSpan w:val="9"/>
          </w:tcPr>
          <w:p>
            <w:pPr>
              <w:spacing w:after="0" w:line="152" w:lineRule="exact"/>
              <w:rPr>
                <w:rFonts w:ascii="Arial" w:cs="Arial" w:eastAsia="Arial" w:hAnsi="Arial"/>
                <w:sz w:val="17"/>
                <w:szCs w:val="17"/>
                <w:color w:val="0000FF"/>
              </w:rPr>
            </w:pPr>
            <w:hyperlink r:id="rId79">
              <w:r>
                <w:rPr>
                  <w:rFonts w:ascii="Arial" w:cs="Arial" w:eastAsia="Arial" w:hAnsi="Arial"/>
                  <w:sz w:val="17"/>
                  <w:szCs w:val="17"/>
                  <w:color w:val="0000FF"/>
                </w:rPr>
                <w:t>Current Report on Form 8-K filed with the Commission on August 1, 2022, Commission File No. 001-36777)</w:t>
              </w:r>
            </w:hyperlink>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900" w:type="dxa"/>
            <w:vAlign w:val="bottom"/>
          </w:tcPr>
          <w:p>
            <w:pPr>
              <w:ind w:left="20"/>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7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Form of Service-Based Restricted Share Unit Agreement</w:t>
            </w:r>
          </w:p>
        </w:tc>
        <w:tc>
          <w:tcPr>
            <w:tcW w:w="880" w:type="dxa"/>
            <w:vAlign w:val="bottom"/>
            <w:gridSpan w:val="5"/>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900" w:type="dxa"/>
            <w:vAlign w:val="bottom"/>
          </w:tcPr>
          <w:p>
            <w:pPr>
              <w:ind w:left="20"/>
              <w:spacing w:after="0" w:line="205" w:lineRule="exact"/>
              <w:rPr>
                <w:sz w:val="20"/>
                <w:szCs w:val="20"/>
                <w:color w:val="auto"/>
              </w:rPr>
            </w:pPr>
            <w:r>
              <w:rPr>
                <w:rFonts w:ascii="Arial" w:cs="Arial" w:eastAsia="Arial" w:hAnsi="Arial"/>
                <w:sz w:val="18"/>
                <w:szCs w:val="18"/>
                <w:color w:val="auto"/>
              </w:rPr>
              <w:t>31.1</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bottom w:val="single" w:sz="8" w:color="0000FF"/>
            </w:tcBorders>
            <w:gridSpan w:val="5"/>
          </w:tcPr>
          <w:p>
            <w:pPr>
              <w:spacing w:after="0" w:line="205" w:lineRule="exact"/>
              <w:rPr>
                <w:sz w:val="20"/>
                <w:szCs w:val="20"/>
                <w:color w:val="auto"/>
              </w:rPr>
            </w:pPr>
            <w:r>
              <w:rPr>
                <w:rFonts w:ascii="Arial" w:cs="Arial" w:eastAsia="Arial" w:hAnsi="Arial"/>
                <w:sz w:val="18"/>
                <w:szCs w:val="18"/>
                <w:color w:val="0000FF"/>
                <w:w w:val="90"/>
              </w:rPr>
              <w:t>Chief Executive Officer Certification pursuant to Rule 13a-14(a)/15d-14(a)</w:t>
            </w:r>
          </w:p>
        </w:tc>
        <w:tc>
          <w:tcPr>
            <w:tcW w:w="3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40" w:type="dxa"/>
            <w:vAlign w:val="bottom"/>
            <w:gridSpan w:val="11"/>
          </w:tcPr>
          <w:p>
            <w:pPr>
              <w:spacing w:after="0"/>
              <w:rPr>
                <w:sz w:val="20"/>
                <w:szCs w:val="20"/>
                <w:color w:val="auto"/>
              </w:rPr>
            </w:pPr>
            <w:r>
              <w:rPr>
                <w:rFonts w:ascii="Arial" w:cs="Arial" w:eastAsia="Arial" w:hAnsi="Arial"/>
                <w:sz w:val="18"/>
                <w:szCs w:val="18"/>
                <w:color w:val="0000FF"/>
              </w:rPr>
              <w:t>Chief Financial Officer Certification pursuant to Rule 13a-14(a)/15d-14(a)</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40" w:type="dxa"/>
            <w:vAlign w:val="bottom"/>
            <w:gridSpan w:val="11"/>
          </w:tcPr>
          <w:p>
            <w:pPr>
              <w:spacing w:after="0"/>
              <w:rPr>
                <w:sz w:val="20"/>
                <w:szCs w:val="20"/>
                <w:color w:val="auto"/>
              </w:rPr>
            </w:pPr>
            <w:r>
              <w:rPr>
                <w:rFonts w:ascii="Arial" w:cs="Arial" w:eastAsia="Arial" w:hAnsi="Arial"/>
                <w:sz w:val="18"/>
                <w:szCs w:val="18"/>
                <w:color w:val="0000FF"/>
                <w:w w:val="97"/>
              </w:rPr>
              <w:t>Chief Executive Officer and Chief Financial Officer Certification pursuant to 18 U.S.C. Section 1350, as adopted</w:t>
            </w: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3"/>
          </w:tcPr>
          <w:p>
            <w:pPr>
              <w:spacing w:after="0" w:line="152" w:lineRule="exact"/>
              <w:rPr>
                <w:sz w:val="20"/>
                <w:szCs w:val="20"/>
                <w:color w:val="auto"/>
              </w:rPr>
            </w:pPr>
            <w:r>
              <w:rPr>
                <w:rFonts w:ascii="Arial" w:cs="Arial" w:eastAsia="Arial" w:hAnsi="Arial"/>
                <w:sz w:val="17"/>
                <w:szCs w:val="17"/>
                <w:color w:val="0000FF"/>
                <w:w w:val="93"/>
              </w:rPr>
              <w:t>pursuant to Section 906 of the Sarbanes-Oxley Act of 2002</w:t>
            </w:r>
          </w:p>
        </w:tc>
        <w:tc>
          <w:tcPr>
            <w:tcW w:w="44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640" w:type="dxa"/>
            <w:vAlign w:val="bottom"/>
            <w:gridSpan w:val="11"/>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64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64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64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64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64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7"/>
        </w:trPr>
        <w:tc>
          <w:tcPr>
            <w:tcW w:w="1900" w:type="dxa"/>
            <w:vAlign w:val="bottom"/>
          </w:tcPr>
          <w:p>
            <w:pPr>
              <w:ind w:left="20"/>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40" w:type="dxa"/>
            <w:vAlign w:val="bottom"/>
            <w:gridSpan w:val="11"/>
          </w:tcPr>
          <w:p>
            <w:pPr>
              <w:spacing w:after="0"/>
              <w:rPr>
                <w:sz w:val="20"/>
                <w:szCs w:val="20"/>
                <w:color w:val="auto"/>
              </w:rPr>
            </w:pPr>
            <w:r>
              <w:rPr>
                <w:rFonts w:ascii="Arial" w:cs="Arial" w:eastAsia="Arial" w:hAnsi="Arial"/>
                <w:sz w:val="18"/>
                <w:szCs w:val="18"/>
                <w:color w:val="auto"/>
                <w:w w:val="90"/>
              </w:rPr>
              <w:t>Cover Page Interactive Data File - the cover page XBRL tags are embedded within the Inline XBRL document in Exhibit</w:t>
            </w: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3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4"/>
        </w:trPr>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40" w:type="dxa"/>
            <w:vAlign w:val="bottom"/>
            <w:gridSpan w:val="3"/>
          </w:tcPr>
          <w:p>
            <w:pPr>
              <w:jc w:val="right"/>
              <w:ind w:right="829"/>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9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3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460" w:type="dxa"/>
            <w:vAlign w:val="bottom"/>
            <w:gridSpan w:val="2"/>
          </w:tcPr>
          <w:p>
            <w:pPr>
              <w:ind w:left="1600"/>
              <w:spacing w:after="0"/>
              <w:rPr>
                <w:sz w:val="20"/>
                <w:szCs w:val="20"/>
                <w:color w:val="auto"/>
              </w:rPr>
            </w:pPr>
            <w:r>
              <w:rPr>
                <w:rFonts w:ascii="Arial" w:cs="Arial" w:eastAsia="Arial" w:hAnsi="Arial"/>
                <w:sz w:val="18"/>
                <w:szCs w:val="18"/>
                <w:color w:val="auto"/>
              </w:rPr>
              <w:t>James River Group Holdings, Ltd.</w:t>
            </w:r>
          </w:p>
        </w:tc>
      </w:tr>
      <w:tr>
        <w:trPr>
          <w:trHeight w:val="451"/>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40" w:type="dxa"/>
            <w:vAlign w:val="bottom"/>
          </w:tcPr>
          <w:p>
            <w:pPr>
              <w:ind w:left="120"/>
              <w:spacing w:after="0"/>
              <w:rPr>
                <w:sz w:val="20"/>
                <w:szCs w:val="20"/>
                <w:color w:val="auto"/>
              </w:rPr>
            </w:pPr>
            <w:r>
              <w:rPr>
                <w:rFonts w:ascii="Arial" w:cs="Arial" w:eastAsia="Arial" w:hAnsi="Arial"/>
                <w:sz w:val="18"/>
                <w:szCs w:val="18"/>
                <w:color w:val="auto"/>
              </w:rPr>
              <w:t>November 2, 2022</w:t>
            </w:r>
          </w:p>
        </w:tc>
        <w:tc>
          <w:tcPr>
            <w:tcW w:w="2280" w:type="dxa"/>
            <w:vAlign w:val="bottom"/>
          </w:tcPr>
          <w:p>
            <w:pPr>
              <w:ind w:left="160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N. D’Orazio</w:t>
            </w:r>
          </w:p>
        </w:tc>
      </w:tr>
      <w:tr>
        <w:trPr>
          <w:trHeight w:val="218"/>
        </w:trPr>
        <w:tc>
          <w:tcPr>
            <w:tcW w:w="5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Frank N. D’Orazio</w:t>
            </w:r>
          </w:p>
        </w:tc>
      </w:tr>
      <w:tr>
        <w:trPr>
          <w:trHeight w:val="225"/>
        </w:trPr>
        <w:tc>
          <w:tcPr>
            <w:tcW w:w="5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5"/>
        </w:trPr>
        <w:tc>
          <w:tcPr>
            <w:tcW w:w="5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1"/>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40" w:type="dxa"/>
            <w:vAlign w:val="bottom"/>
          </w:tcPr>
          <w:p>
            <w:pPr>
              <w:ind w:left="120"/>
              <w:spacing w:after="0"/>
              <w:rPr>
                <w:sz w:val="20"/>
                <w:szCs w:val="20"/>
                <w:color w:val="auto"/>
              </w:rPr>
            </w:pPr>
            <w:r>
              <w:rPr>
                <w:rFonts w:ascii="Arial" w:cs="Arial" w:eastAsia="Arial" w:hAnsi="Arial"/>
                <w:sz w:val="18"/>
                <w:szCs w:val="18"/>
                <w:color w:val="auto"/>
              </w:rPr>
              <w:t>November 2, 2022</w:t>
            </w:r>
          </w:p>
        </w:tc>
        <w:tc>
          <w:tcPr>
            <w:tcW w:w="2280" w:type="dxa"/>
            <w:vAlign w:val="bottom"/>
          </w:tcPr>
          <w:p>
            <w:pPr>
              <w:ind w:left="160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C. Doran</w:t>
            </w:r>
          </w:p>
        </w:tc>
      </w:tr>
      <w:tr>
        <w:trPr>
          <w:trHeight w:val="218"/>
        </w:trPr>
        <w:tc>
          <w:tcPr>
            <w:tcW w:w="5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Sarah C. Doran</w:t>
            </w:r>
          </w:p>
        </w:tc>
      </w:tr>
    </w:tbl>
    <w:p>
      <w:pPr>
        <w:spacing w:after="0" w:line="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40"/>
          </w:cols>
          <w:pgMar w:left="320" w:top="127" w:right="539" w:bottom="1440" w:gutter="0" w:footer="0" w:header="0"/>
        </w:sectPr>
      </w:pPr>
    </w:p>
    <w:bookmarkStart w:id="62" w:name="page63"/>
    <w:bookmarkEnd w:id="62"/>
    <w:p>
      <w:pPr>
        <w:jc w:val="right"/>
        <w:spacing w:after="0"/>
        <w:rPr>
          <w:sz w:val="20"/>
          <w:szCs w:val="20"/>
          <w:color w:val="auto"/>
        </w:rPr>
      </w:pPr>
      <w:r>
        <w:rPr>
          <w:rFonts w:ascii="Arial" w:cs="Arial" w:eastAsia="Arial" w:hAnsi="Arial"/>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JAMES RIVER GROUP HOLDINGS, LTD.</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2014 LONG–TERM INCENTIVE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SERVICE-BASED RESTRICTED SHARE UNIT AGREEMENT</w:t>
      </w:r>
    </w:p>
    <w:p>
      <w:pPr>
        <w:spacing w:after="0" w:line="236" w:lineRule="exact"/>
        <w:rPr>
          <w:sz w:val="20"/>
          <w:szCs w:val="20"/>
          <w:color w:val="auto"/>
        </w:rPr>
      </w:pPr>
    </w:p>
    <w:p>
      <w:pPr>
        <w:jc w:val="both"/>
        <w:ind w:firstLine="1272"/>
        <w:spacing w:after="0" w:line="261" w:lineRule="auto"/>
        <w:rPr>
          <w:sz w:val="20"/>
          <w:szCs w:val="20"/>
          <w:color w:val="auto"/>
        </w:rPr>
      </w:pPr>
      <w:r>
        <w:rPr>
          <w:rFonts w:ascii="Arial" w:cs="Arial" w:eastAsia="Arial" w:hAnsi="Arial"/>
          <w:sz w:val="21"/>
          <w:szCs w:val="21"/>
          <w:color w:val="auto"/>
        </w:rPr>
        <w:t>This SERVICE-BASED RESTRICTED SHARE UNIT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dated as of the Grant Date set forth in </w:t>
      </w:r>
      <w:r>
        <w:rPr>
          <w:rFonts w:ascii="Arial" w:cs="Arial" w:eastAsia="Arial" w:hAnsi="Arial"/>
          <w:sz w:val="21"/>
          <w:szCs w:val="21"/>
          <w:u w:val="single" w:color="auto"/>
          <w:color w:val="auto"/>
        </w:rPr>
        <w:t>Schedule A</w:t>
      </w:r>
      <w:r>
        <w:rPr>
          <w:rFonts w:ascii="Arial" w:cs="Arial" w:eastAsia="Arial" w:hAnsi="Arial"/>
          <w:sz w:val="21"/>
          <w:szCs w:val="21"/>
          <w:color w:val="auto"/>
        </w:rPr>
        <w:t>, attached hereto and incorporated herein by reference, is made by and between James River Group Holdings, Ltd., an exempted company registered under the laws of Bermuda (the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and the Grantee listed in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A</w:t>
      </w:r>
      <w:r>
        <w:rPr>
          <w:rFonts w:ascii="Arial" w:cs="Arial" w:eastAsia="Arial" w:hAnsi="Arial"/>
          <w:sz w:val="21"/>
          <w:szCs w:val="21"/>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 E C I T A L S</w:t>
      </w:r>
      <w:r>
        <w:rPr>
          <w:rFonts w:ascii="Arial" w:cs="Arial" w:eastAsia="Arial" w:hAnsi="Arial"/>
          <w:sz w:val="21"/>
          <w:szCs w:val="21"/>
          <w:color w:val="auto"/>
        </w:rPr>
        <w:t xml:space="preserve"> :</w:t>
      </w:r>
    </w:p>
    <w:p>
      <w:pPr>
        <w:spacing w:after="0" w:line="236"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21"/>
          <w:szCs w:val="21"/>
          <w:color w:val="auto"/>
        </w:rPr>
        <w:t>WHEREAS, the Company has adopted the James River Group Holdings, Ltd. 2014 Long-Term Incentive Plan, as amended (the “</w:t>
      </w:r>
      <w:r>
        <w:rPr>
          <w:rFonts w:ascii="Arial" w:cs="Arial" w:eastAsia="Arial" w:hAnsi="Arial"/>
          <w:sz w:val="21"/>
          <w:szCs w:val="21"/>
          <w:b w:val="1"/>
          <w:bCs w:val="1"/>
          <w:color w:val="auto"/>
        </w:rPr>
        <w:t>Plan</w:t>
      </w:r>
      <w:r>
        <w:rPr>
          <w:rFonts w:ascii="Arial" w:cs="Arial" w:eastAsia="Arial" w:hAnsi="Arial"/>
          <w:sz w:val="21"/>
          <w:szCs w:val="21"/>
          <w:color w:val="auto"/>
        </w:rPr>
        <w:t>”); and</w:t>
      </w:r>
    </w:p>
    <w:p>
      <w:pPr>
        <w:spacing w:after="0" w:line="154"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21"/>
          <w:szCs w:val="21"/>
          <w:color w:val="auto"/>
        </w:rPr>
        <w:t>WHEREAS, the Company desires to grant to the Grantee Restricted Share Units pursuant to the Plan and on the terms and conditions set forth herein (the “</w:t>
      </w:r>
      <w:r>
        <w:rPr>
          <w:rFonts w:ascii="Arial" w:cs="Arial" w:eastAsia="Arial" w:hAnsi="Arial"/>
          <w:sz w:val="21"/>
          <w:szCs w:val="21"/>
          <w:b w:val="1"/>
          <w:bCs w:val="1"/>
          <w:color w:val="auto"/>
        </w:rPr>
        <w:t>Award</w:t>
      </w:r>
      <w:r>
        <w:rPr>
          <w:rFonts w:ascii="Arial" w:cs="Arial" w:eastAsia="Arial" w:hAnsi="Arial"/>
          <w:sz w:val="21"/>
          <w:szCs w:val="21"/>
          <w:color w:val="auto"/>
        </w:rPr>
        <w:t>”).</w:t>
      </w:r>
    </w:p>
    <w:p>
      <w:pPr>
        <w:spacing w:after="0" w:line="154"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21"/>
          <w:szCs w:val="21"/>
          <w:color w:val="auto"/>
        </w:rPr>
        <w:t>NOW, THEREFORE, for good and valuable consideration, the receipt and adequacy of which is hereby acknowledged, the Company and the Grantee hereby agree as follows:</w:t>
      </w:r>
    </w:p>
    <w:p>
      <w:pPr>
        <w:spacing w:after="0" w:line="167" w:lineRule="exact"/>
        <w:rPr>
          <w:sz w:val="20"/>
          <w:szCs w:val="20"/>
          <w:color w:val="auto"/>
        </w:rPr>
      </w:pPr>
    </w:p>
    <w:p>
      <w:pPr>
        <w:jc w:val="both"/>
        <w:ind w:firstLine="1272"/>
        <w:spacing w:after="0" w:line="276"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Grant of Restricted Share Units</w:t>
      </w:r>
      <w:r>
        <w:rPr>
          <w:rFonts w:ascii="Arial" w:cs="Arial" w:eastAsia="Arial" w:hAnsi="Arial"/>
          <w:sz w:val="20"/>
          <w:szCs w:val="20"/>
          <w:color w:val="auto"/>
        </w:rPr>
        <w:t xml:space="preserve">. The Company hereby grants to the Grantee, pursuant to the Plan and on the terms and conditions set forth herein, the number of Restricted Share Units set forth in </w:t>
      </w:r>
      <w:r>
        <w:rPr>
          <w:rFonts w:ascii="Arial" w:cs="Arial" w:eastAsia="Arial" w:hAnsi="Arial"/>
          <w:sz w:val="20"/>
          <w:szCs w:val="20"/>
          <w:u w:val="single" w:color="auto"/>
          <w:color w:val="auto"/>
        </w:rPr>
        <w:t>Schedule A</w:t>
      </w:r>
      <w:r>
        <w:rPr>
          <w:rFonts w:ascii="Arial" w:cs="Arial" w:eastAsia="Arial" w:hAnsi="Arial"/>
          <w:sz w:val="20"/>
          <w:szCs w:val="20"/>
          <w:color w:val="auto"/>
        </w:rPr>
        <w:t>. Each Restricted Share Unit represents the right to receive one Share to be issued and delivered upon becoming Vested Share Units, subject to the Restricted Share Unit becoming Vested Share Unit (as defined herein), and subject to the other terms described herein.</w:t>
      </w:r>
    </w:p>
    <w:p>
      <w:pPr>
        <w:spacing w:after="0" w:line="161" w:lineRule="exact"/>
        <w:rPr>
          <w:sz w:val="20"/>
          <w:szCs w:val="20"/>
          <w:color w:val="auto"/>
        </w:rPr>
      </w:pPr>
    </w:p>
    <w:p>
      <w:pPr>
        <w:ind w:left="1280"/>
        <w:spacing w:after="0"/>
        <w:tabs>
          <w:tab w:leader="none" w:pos="2320" w:val="left"/>
        </w:tabs>
        <w:rPr>
          <w:sz w:val="20"/>
          <w:szCs w:val="20"/>
          <w:color w:val="auto"/>
        </w:rPr>
      </w:pPr>
      <w:r>
        <w:rPr>
          <w:rFonts w:ascii="Arial" w:cs="Arial" w:eastAsia="Arial" w:hAnsi="Arial"/>
          <w:sz w:val="21"/>
          <w:szCs w:val="21"/>
          <w:color w:val="auto"/>
        </w:rPr>
        <w:t>Section 2.</w:t>
      </w:r>
      <w:r>
        <w:rPr>
          <w:sz w:val="20"/>
          <w:szCs w:val="20"/>
          <w:color w:val="auto"/>
        </w:rPr>
        <w:tab/>
      </w:r>
      <w:r>
        <w:rPr>
          <w:rFonts w:ascii="Arial" w:cs="Arial" w:eastAsia="Arial" w:hAnsi="Arial"/>
          <w:sz w:val="19"/>
          <w:szCs w:val="19"/>
          <w:u w:val="single" w:color="auto"/>
          <w:color w:val="auto"/>
        </w:rPr>
        <w:t>Becoming a Vested Share Unit</w:t>
      </w:r>
      <w:r>
        <w:rPr>
          <w:rFonts w:ascii="Arial" w:cs="Arial" w:eastAsia="Arial" w:hAnsi="Arial"/>
          <w:sz w:val="19"/>
          <w:szCs w:val="19"/>
          <w:color w:val="auto"/>
        </w:rPr>
        <w:t>.</w:t>
      </w:r>
    </w:p>
    <w:p>
      <w:pPr>
        <w:spacing w:after="0" w:line="236" w:lineRule="exact"/>
        <w:rPr>
          <w:sz w:val="20"/>
          <w:szCs w:val="20"/>
          <w:color w:val="auto"/>
        </w:rPr>
      </w:pPr>
    </w:p>
    <w:p>
      <w:pPr>
        <w:jc w:val="both"/>
        <w:ind w:firstLine="1278"/>
        <w:spacing w:after="0" w:line="295" w:lineRule="auto"/>
        <w:tabs>
          <w:tab w:leader="none" w:pos="1772"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Vesting of Restricted Share Units; General Rule</w:t>
      </w:r>
      <w:r>
        <w:rPr>
          <w:rFonts w:ascii="Arial" w:cs="Arial" w:eastAsia="Arial" w:hAnsi="Arial"/>
          <w:sz w:val="19"/>
          <w:szCs w:val="19"/>
          <w:color w:val="auto"/>
        </w:rPr>
        <w:t xml:space="preserve">. Except as provided in this Section 2, Restricted Share Units shall become Vested Share Units in accordance with the Vesting Schedule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If the Grantee experiences a Separation from Service prior to one or more Continuous Service Dates (as defined in </w:t>
      </w:r>
      <w:r>
        <w:rPr>
          <w:rFonts w:ascii="Arial" w:cs="Arial" w:eastAsia="Arial" w:hAnsi="Arial"/>
          <w:sz w:val="19"/>
          <w:szCs w:val="19"/>
          <w:u w:val="single" w:color="auto"/>
          <w:color w:val="auto"/>
        </w:rPr>
        <w:t>Schedule A</w:t>
      </w:r>
      <w:r>
        <w:rPr>
          <w:rFonts w:ascii="Arial" w:cs="Arial" w:eastAsia="Arial" w:hAnsi="Arial"/>
          <w:sz w:val="19"/>
          <w:szCs w:val="19"/>
          <w:color w:val="auto"/>
        </w:rPr>
        <w:t>), the Restricted Share Units that have not become Vested Share Units prior thereto shall be forfeited, except as provided in Subsections 2(b) and 2(c).</w:t>
      </w:r>
    </w:p>
    <w:p>
      <w:pPr>
        <w:spacing w:after="0" w:line="144" w:lineRule="exact"/>
        <w:rPr>
          <w:rFonts w:ascii="Arial" w:cs="Arial" w:eastAsia="Arial" w:hAnsi="Arial"/>
          <w:sz w:val="19"/>
          <w:szCs w:val="19"/>
          <w:color w:val="auto"/>
        </w:rPr>
      </w:pPr>
    </w:p>
    <w:p>
      <w:pPr>
        <w:ind w:left="1740" w:hanging="462"/>
        <w:spacing w:after="0"/>
        <w:tabs>
          <w:tab w:leader="none" w:pos="1740"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Vesting Prior to Continuous Service Date(s)</w:t>
      </w:r>
      <w:r>
        <w:rPr>
          <w:rFonts w:ascii="Arial" w:cs="Arial" w:eastAsia="Arial" w:hAnsi="Arial"/>
          <w:sz w:val="21"/>
          <w:szCs w:val="21"/>
          <w:color w:val="auto"/>
        </w:rPr>
        <w:t>.</w:t>
      </w:r>
    </w:p>
    <w:p>
      <w:pPr>
        <w:spacing w:after="0" w:line="235" w:lineRule="exact"/>
        <w:rPr>
          <w:rFonts w:ascii="Arial" w:cs="Arial" w:eastAsia="Arial" w:hAnsi="Arial"/>
          <w:sz w:val="21"/>
          <w:szCs w:val="21"/>
          <w:color w:val="auto"/>
        </w:rPr>
      </w:pPr>
    </w:p>
    <w:p>
      <w:pPr>
        <w:jc w:val="both"/>
        <w:ind w:firstLine="1914"/>
        <w:spacing w:after="0" w:line="264" w:lineRule="auto"/>
        <w:tabs>
          <w:tab w:leader="none" w:pos="2393" w:val="left"/>
        </w:tabs>
        <w:numPr>
          <w:ilvl w:val="1"/>
          <w:numId w:val="24"/>
        </w:numPr>
        <w:rPr>
          <w:rFonts w:ascii="Arial" w:cs="Arial" w:eastAsia="Arial" w:hAnsi="Arial"/>
          <w:sz w:val="21"/>
          <w:szCs w:val="21"/>
          <w:color w:val="auto"/>
        </w:rPr>
      </w:pPr>
      <w:r>
        <w:rPr>
          <w:rFonts w:ascii="Arial" w:cs="Arial" w:eastAsia="Arial" w:hAnsi="Arial"/>
          <w:sz w:val="21"/>
          <w:szCs w:val="21"/>
          <w:color w:val="auto"/>
        </w:rPr>
        <w:t>If prior to one or more Continuous Service Dates, the Grantee experiences a Separation from Service due to the Grantee’s death or Disability, the Restricted Share Units that have not become Vested Share Units prior thereto shall become Vested Share Units as of the date of death or Disability, as applicable.</w:t>
      </w:r>
    </w:p>
    <w:p>
      <w:pPr>
        <w:sectPr>
          <w:pgSz w:w="11900" w:h="16838" w:orient="portrait"/>
          <w:cols w:equalWidth="0" w:num="1">
            <w:col w:w="11240"/>
          </w:cols>
          <w:pgMar w:left="320" w:top="125" w:right="339" w:bottom="1440" w:gutter="0" w:footer="0" w:header="0"/>
        </w:sectPr>
      </w:pPr>
    </w:p>
    <w:bookmarkStart w:id="63" w:name="page64"/>
    <w:bookmarkEnd w:id="63"/>
    <w:p>
      <w:pPr>
        <w:jc w:val="both"/>
        <w:ind w:firstLine="1914"/>
        <w:spacing w:after="0" w:line="281" w:lineRule="auto"/>
        <w:tabs>
          <w:tab w:leader="none" w:pos="2440" w:val="left"/>
        </w:tabs>
        <w:numPr>
          <w:ilvl w:val="1"/>
          <w:numId w:val="25"/>
        </w:numPr>
        <w:rPr>
          <w:rFonts w:ascii="Arial" w:cs="Arial" w:eastAsia="Arial" w:hAnsi="Arial"/>
          <w:sz w:val="20"/>
          <w:szCs w:val="20"/>
          <w:color w:val="auto"/>
        </w:rPr>
      </w:pPr>
      <w:r>
        <w:rPr>
          <w:rFonts w:ascii="Arial" w:cs="Arial" w:eastAsia="Arial" w:hAnsi="Arial"/>
          <w:sz w:val="20"/>
          <w:szCs w:val="20"/>
          <w:color w:val="auto"/>
        </w:rPr>
        <w:t>If prior to one or more Continuous Service Dates, the Grantee experiences a Separation from Service due to the Grantee’s attainment of Retirement Age, the Grantee will be deemed vested as of the date of the Separation from Service in those Restricted Share Units that would have become Vested Share Units as of the immediately succeeding Continuous Service Date had the Grantee not experienced a Separation from Service prior thereto.</w:t>
      </w:r>
    </w:p>
    <w:p>
      <w:pPr>
        <w:spacing w:after="0" w:line="102" w:lineRule="exact"/>
        <w:rPr>
          <w:rFonts w:ascii="Arial" w:cs="Arial" w:eastAsia="Arial" w:hAnsi="Arial"/>
          <w:sz w:val="20"/>
          <w:szCs w:val="20"/>
          <w:color w:val="auto"/>
        </w:rPr>
      </w:pPr>
    </w:p>
    <w:p>
      <w:pPr>
        <w:jc w:val="both"/>
        <w:ind w:firstLine="1278"/>
        <w:spacing w:after="0" w:line="294" w:lineRule="auto"/>
        <w:tabs>
          <w:tab w:leader="none" w:pos="1719"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Change in Control Prior to Service Condition Being Met</w:t>
      </w:r>
      <w:r>
        <w:rPr>
          <w:rFonts w:ascii="Arial" w:cs="Arial" w:eastAsia="Arial" w:hAnsi="Arial"/>
          <w:sz w:val="19"/>
          <w:szCs w:val="19"/>
          <w:color w:val="auto"/>
        </w:rPr>
        <w:t>. If a Change in Control occurs prior to any Continuous Service Dates and before the Grantee has experienced a Separation from Service and the Grantee later experiences a Separation from Service due to an involuntary termination of employment without Cause, the Company’s election not to renew the term of any employment agreement then in effect between the Company and Grantee, or a resignation by the Grantee for Good Reason, the Restricted Share Units that have not become Vested Share Units prior thereto shall become Vested Share Units.</w:t>
      </w:r>
    </w:p>
    <w:p>
      <w:pPr>
        <w:spacing w:after="0" w:line="145" w:lineRule="exact"/>
        <w:rPr>
          <w:rFonts w:ascii="Arial" w:cs="Arial" w:eastAsia="Arial" w:hAnsi="Arial"/>
          <w:sz w:val="19"/>
          <w:szCs w:val="19"/>
          <w:color w:val="auto"/>
        </w:rPr>
      </w:pPr>
    </w:p>
    <w:p>
      <w:pPr>
        <w:ind w:firstLine="1278"/>
        <w:spacing w:after="0" w:line="279" w:lineRule="auto"/>
        <w:tabs>
          <w:tab w:leader="none" w:pos="1758"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Vested Share Units</w:t>
      </w:r>
      <w:r>
        <w:rPr>
          <w:rFonts w:ascii="Arial" w:cs="Arial" w:eastAsia="Arial" w:hAnsi="Arial"/>
          <w:sz w:val="21"/>
          <w:szCs w:val="21"/>
          <w:color w:val="auto"/>
        </w:rPr>
        <w:t>. Restricted Share Units that become vested pursuant to this Section 2 are referred to herein as a “</w:t>
      </w:r>
      <w:r>
        <w:rPr>
          <w:rFonts w:ascii="Arial" w:cs="Arial" w:eastAsia="Arial" w:hAnsi="Arial"/>
          <w:sz w:val="21"/>
          <w:szCs w:val="21"/>
          <w:b w:val="1"/>
          <w:bCs w:val="1"/>
          <w:color w:val="auto"/>
        </w:rPr>
        <w:t>Vested Share Unit</w:t>
      </w:r>
      <w:r>
        <w:rPr>
          <w:rFonts w:ascii="Arial" w:cs="Arial" w:eastAsia="Arial" w:hAnsi="Arial"/>
          <w:sz w:val="21"/>
          <w:szCs w:val="21"/>
          <w:color w:val="auto"/>
        </w:rPr>
        <w:t>” or, collectively, as “</w:t>
      </w:r>
      <w:r>
        <w:rPr>
          <w:rFonts w:ascii="Arial" w:cs="Arial" w:eastAsia="Arial" w:hAnsi="Arial"/>
          <w:sz w:val="21"/>
          <w:szCs w:val="21"/>
          <w:b w:val="1"/>
          <w:bCs w:val="1"/>
          <w:color w:val="auto"/>
        </w:rPr>
        <w:t>Vested Share Units</w:t>
      </w:r>
      <w:r>
        <w:rPr>
          <w:rFonts w:ascii="Arial" w:cs="Arial" w:eastAsia="Arial" w:hAnsi="Arial"/>
          <w:sz w:val="21"/>
          <w:szCs w:val="21"/>
          <w:color w:val="auto"/>
        </w:rPr>
        <w:t>”.</w:t>
      </w:r>
    </w:p>
    <w:p>
      <w:pPr>
        <w:spacing w:after="0" w:line="154" w:lineRule="exact"/>
        <w:rPr>
          <w:rFonts w:ascii="Arial" w:cs="Arial" w:eastAsia="Arial" w:hAnsi="Arial"/>
          <w:sz w:val="21"/>
          <w:szCs w:val="21"/>
          <w:color w:val="auto"/>
        </w:rPr>
      </w:pPr>
    </w:p>
    <w:p>
      <w:pPr>
        <w:jc w:val="both"/>
        <w:ind w:firstLine="1278"/>
        <w:spacing w:after="0" w:line="264" w:lineRule="auto"/>
        <w:tabs>
          <w:tab w:leader="none" w:pos="1825"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Forfeitures</w:t>
      </w:r>
      <w:r>
        <w:rPr>
          <w:rFonts w:ascii="Arial" w:cs="Arial" w:eastAsia="Arial" w:hAnsi="Arial"/>
          <w:sz w:val="21"/>
          <w:szCs w:val="21"/>
          <w:color w:val="auto"/>
        </w:rPr>
        <w:t>. Except as provided in this Section 2, upon the Grantee’s Separation from Service prior to any Restricted Shares Units becoming Vested Share Units, such Restricted Share Units shall immediately be forfeited. Upon forfeiture of Restricted Share Units, the Grantee will have no further rights with respect to those Restricted Share Units, and the Restricted Share Units shall become forfeited for no value and without any issuance of Shares.</w:t>
      </w:r>
    </w:p>
    <w:p>
      <w:pPr>
        <w:spacing w:after="0" w:line="170" w:lineRule="exact"/>
        <w:rPr>
          <w:sz w:val="20"/>
          <w:szCs w:val="20"/>
          <w:color w:val="auto"/>
        </w:rPr>
      </w:pPr>
    </w:p>
    <w:p>
      <w:pPr>
        <w:jc w:val="both"/>
        <w:ind w:firstLine="1272"/>
        <w:spacing w:after="0" w:line="257"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Settlement of Vested Share Units</w:t>
      </w:r>
      <w:r>
        <w:rPr>
          <w:rFonts w:ascii="Arial" w:cs="Arial" w:eastAsia="Arial" w:hAnsi="Arial"/>
          <w:sz w:val="21"/>
          <w:szCs w:val="21"/>
          <w:color w:val="auto"/>
        </w:rPr>
        <w:t>. Vested Share Units shall be settled on or within thirty (30) days following the date they become Vested Share Units and shall be distributed in the form of Shares. The value of any Shares distributed in settlement of the Agreement are subject to any Company clawback policy or applicable law as in effect from time to time and, in accordance with such policy or law, may be subject to the requirement that any value delivered pursuant to the Agreement be repaid to the Company. The action permitted to be taken by the Committee under this Section is in addition to, and not in lieu of, any and all other rights of the Committee and/or the Company under applicable law and shall apply notwithstanding anything to the contrary in the Plan.</w:t>
      </w:r>
    </w:p>
    <w:p>
      <w:pPr>
        <w:spacing w:after="0" w:line="177" w:lineRule="exact"/>
        <w:rPr>
          <w:sz w:val="20"/>
          <w:szCs w:val="20"/>
          <w:color w:val="auto"/>
        </w:rPr>
      </w:pPr>
    </w:p>
    <w:p>
      <w:pPr>
        <w:jc w:val="both"/>
        <w:ind w:firstLine="1272"/>
        <w:spacing w:after="0" w:line="256"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Shareholder Rights</w:t>
      </w:r>
      <w:r>
        <w:rPr>
          <w:rFonts w:ascii="Arial" w:cs="Arial" w:eastAsia="Arial" w:hAnsi="Arial"/>
          <w:sz w:val="21"/>
          <w:szCs w:val="21"/>
          <w:color w:val="auto"/>
        </w:rPr>
        <w:t>. No rights of a shareholder shall exist with respect to the Restricted Share Units as a result of the mere grant of the Restricted Share Units or as a result of the Restricted Share Units becoming earned or vested. Such rights shall exist only after issuance of any Shares. Without limiting the foregoing, the Grantee shall not be entitled to receive currently any dividends issued on Shares prior to the issuance of any Shares. However, the Grantee shall be credited with dividend equivalents with respect to any outstanding Restricted Share Units, and such dividend equivalents shall be subject to the same restrictions, conditions, and risks of forfeiture that apply to the Restricted Share Units to which they relate and shall be vested, payable and otherwise settled, if at all, at the same time that any underlying Restricted Share Units to which they relate are vested, payable and otherwise settled.</w:t>
      </w:r>
    </w:p>
    <w:p>
      <w:pPr>
        <w:sectPr>
          <w:pgSz w:w="11900" w:h="16838" w:orient="portrait"/>
          <w:cols w:equalWidth="0" w:num="1">
            <w:col w:w="11240"/>
          </w:cols>
          <w:pgMar w:left="320" w:top="1403" w:right="339" w:bottom="1440" w:gutter="0" w:footer="0" w:header="0"/>
        </w:sectPr>
      </w:pPr>
    </w:p>
    <w:bookmarkStart w:id="64" w:name="page65"/>
    <w:bookmarkEnd w:id="64"/>
    <w:p>
      <w:pPr>
        <w:jc w:val="both"/>
        <w:ind w:firstLine="1272"/>
        <w:spacing w:after="0" w:line="258"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Withholding; Offset</w:t>
      </w:r>
      <w:r>
        <w:rPr>
          <w:rFonts w:ascii="Arial" w:cs="Arial" w:eastAsia="Arial" w:hAnsi="Arial"/>
          <w:sz w:val="21"/>
          <w:szCs w:val="21"/>
          <w:color w:val="auto"/>
        </w:rPr>
        <w:t>. The Company shall deduct from any payment, or otherwise collect from the Grantee, any taxes required to be withheld by federal, state, or local governments in connection with the Agreement. No opinion is expressed nor warranties made as to the effect for federal, state, or local tax purposes of the Agreement. If at any time prior to any payment the Grantee is indebted to the Company, by accepting the Award, the Grantee grants the Company the right to offset against the payment amount the amount of the Grantee’s indebtedness, but only to the extent such offset is permissible under and would not trigger adverse tax consequences under Code Section 409A.</w:t>
      </w:r>
    </w:p>
    <w:p>
      <w:pPr>
        <w:spacing w:after="0" w:line="178" w:lineRule="exact"/>
        <w:rPr>
          <w:sz w:val="20"/>
          <w:szCs w:val="20"/>
          <w:color w:val="auto"/>
        </w:rPr>
      </w:pPr>
    </w:p>
    <w:p>
      <w:pPr>
        <w:jc w:val="both"/>
        <w:ind w:firstLine="1272"/>
        <w:spacing w:after="0" w:line="312"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No Right to Continued Service</w:t>
      </w:r>
      <w:r>
        <w:rPr>
          <w:rFonts w:ascii="Arial" w:cs="Arial" w:eastAsia="Arial" w:hAnsi="Arial"/>
          <w:sz w:val="19"/>
          <w:szCs w:val="19"/>
          <w:color w:val="auto"/>
        </w:rPr>
        <w:t>. Nothing contained herein shall be construed to confer on the Grantee any right to continue in service with the Company or to derogate from any right of the Company to retire, request the resignation of or discharge the Grantee, or to require a leave of absence of the Grantee, with or without pay, at any time, with or without Cause.</w:t>
      </w:r>
    </w:p>
    <w:p>
      <w:pPr>
        <w:spacing w:after="0" w:line="128"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No Fractional Shares</w:t>
      </w:r>
      <w:r>
        <w:rPr>
          <w:rFonts w:ascii="Arial" w:cs="Arial" w:eastAsia="Arial" w:hAnsi="Arial"/>
          <w:sz w:val="21"/>
          <w:szCs w:val="21"/>
          <w:color w:val="auto"/>
        </w:rPr>
        <w:t>. No fractional Shares shall be issued in respect of Restricted Share Units, and any fractional Shares will be rounded down to the nearest whole Share.</w:t>
      </w:r>
    </w:p>
    <w:p>
      <w:pPr>
        <w:spacing w:after="0" w:line="154"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Non-Transferability</w:t>
      </w:r>
      <w:r>
        <w:rPr>
          <w:rFonts w:ascii="Arial" w:cs="Arial" w:eastAsia="Arial" w:hAnsi="Arial"/>
          <w:sz w:val="21"/>
          <w:szCs w:val="21"/>
          <w:color w:val="auto"/>
        </w:rPr>
        <w:t>. The Restricted Share Units may not be assigned, transferred, or in any way encumbered except by will or the laws of descent and distribution.</w:t>
      </w:r>
    </w:p>
    <w:p>
      <w:pPr>
        <w:spacing w:after="0" w:line="154" w:lineRule="exact"/>
        <w:rPr>
          <w:sz w:val="20"/>
          <w:szCs w:val="20"/>
          <w:color w:val="auto"/>
        </w:rPr>
      </w:pPr>
    </w:p>
    <w:p>
      <w:pPr>
        <w:jc w:val="both"/>
        <w:ind w:firstLine="1272"/>
        <w:spacing w:after="0" w:line="271"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and the Plan contain the entire agreement between the parties hereto with respect to the matters contemplated herein and supersede all prior agreements or understandings among the parties related to such matters.</w:t>
      </w:r>
    </w:p>
    <w:p>
      <w:pPr>
        <w:spacing w:after="0" w:line="162" w:lineRule="exact"/>
        <w:rPr>
          <w:sz w:val="20"/>
          <w:szCs w:val="20"/>
          <w:color w:val="auto"/>
        </w:rPr>
      </w:pPr>
    </w:p>
    <w:p>
      <w:pPr>
        <w:jc w:val="both"/>
        <w:ind w:firstLine="1272"/>
        <w:spacing w:after="0" w:line="264"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Binding Effect</w:t>
      </w:r>
      <w:r>
        <w:rPr>
          <w:rFonts w:ascii="Arial" w:cs="Arial" w:eastAsia="Arial" w:hAnsi="Arial"/>
          <w:sz w:val="21"/>
          <w:szCs w:val="21"/>
          <w:color w:val="auto"/>
        </w:rPr>
        <w:t>. Subject to the restrictions on transfer herein set forth, this Agreement shall be binding upon and inure to the benefit of the Company and its successors and assigns and upon the Grantee and the Grantee’s assigns, heirs, executors, administrators and legal representatives.</w:t>
      </w:r>
    </w:p>
    <w:p>
      <w:pPr>
        <w:spacing w:after="0" w:line="184" w:lineRule="exact"/>
        <w:rPr>
          <w:sz w:val="20"/>
          <w:szCs w:val="20"/>
          <w:color w:val="auto"/>
        </w:rPr>
      </w:pPr>
    </w:p>
    <w:p>
      <w:pPr>
        <w:jc w:val="both"/>
        <w:ind w:firstLine="1272"/>
        <w:spacing w:after="0" w:line="290"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Committee reserves the right to amend or terminate the Agreement at any time, provided that no amendment or termination (a) shall deprive the Grantee of any Restricted Share Units that have become Vested Share Units as of the amendment or termination, provided the Grantee has not experienced a Separation from Service prior to such time, except under circumstances contemplated by Sections 2(b) and 2(c), or (b) shall result in the acceleration of any settlement of the Agreement if such acceleration would result in the Grantee incurring a tax under Section 409A of the Code.</w:t>
      </w:r>
    </w:p>
    <w:p>
      <w:pPr>
        <w:spacing w:after="0" w:line="164" w:lineRule="exact"/>
        <w:rPr>
          <w:sz w:val="20"/>
          <w:szCs w:val="20"/>
          <w:color w:val="auto"/>
        </w:rPr>
      </w:pPr>
    </w:p>
    <w:p>
      <w:pPr>
        <w:jc w:val="both"/>
        <w:ind w:firstLine="1272"/>
        <w:spacing w:after="0" w:line="305"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construed and enforced in accordance with the internal laws of New York, except for those matters subject to The Companies Act, 1981 of Bermuda (as amended), which shall be governed by such law, without giving effect to principles of conflicts of laws, and construed accordingly, and by applicable federal tax law.</w:t>
      </w:r>
    </w:p>
    <w:p>
      <w:pPr>
        <w:sectPr>
          <w:pgSz w:w="11900" w:h="16838" w:orient="portrait"/>
          <w:cols w:equalWidth="0" w:num="1">
            <w:col w:w="11240"/>
          </w:cols>
          <w:pgMar w:left="320" w:top="1403" w:right="339" w:bottom="1440" w:gutter="0" w:footer="0" w:header="0"/>
        </w:sectPr>
      </w:pPr>
    </w:p>
    <w:bookmarkStart w:id="65" w:name="page66"/>
    <w:bookmarkEnd w:id="65"/>
    <w:p>
      <w:pPr>
        <w:jc w:val="both"/>
        <w:ind w:firstLine="1272"/>
        <w:spacing w:after="0" w:line="334"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Defined Terms</w:t>
      </w:r>
      <w:r>
        <w:rPr>
          <w:rFonts w:ascii="Arial" w:cs="Arial" w:eastAsia="Arial" w:hAnsi="Arial"/>
          <w:sz w:val="19"/>
          <w:szCs w:val="19"/>
          <w:color w:val="auto"/>
        </w:rPr>
        <w:t>. Capitalized terms used in this Agreement and not otherwise defined herein have the meaning ascribed to them in the Plan. The following words and phrases shall, when used herein, have the meanings set forth below:</w:t>
      </w:r>
    </w:p>
    <w:p>
      <w:pPr>
        <w:spacing w:after="0" w:line="107" w:lineRule="exact"/>
        <w:rPr>
          <w:sz w:val="20"/>
          <w:szCs w:val="20"/>
          <w:color w:val="auto"/>
        </w:rPr>
      </w:pPr>
    </w:p>
    <w:p>
      <w:pPr>
        <w:jc w:val="both"/>
        <w:ind w:firstLine="1278"/>
        <w:spacing w:after="0" w:line="271" w:lineRule="auto"/>
        <w:tabs>
          <w:tab w:leader="none" w:pos="1759" w:val="left"/>
        </w:tabs>
        <w:numPr>
          <w:ilvl w:val="0"/>
          <w:numId w:val="2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Cause</w:t>
      </w:r>
      <w:r>
        <w:rPr>
          <w:rFonts w:ascii="Arial" w:cs="Arial" w:eastAsia="Arial" w:hAnsi="Arial"/>
          <w:sz w:val="21"/>
          <w:szCs w:val="21"/>
          <w:color w:val="auto"/>
        </w:rPr>
        <w:t>” has the meaning ascribed to it in the Plan unless an employment agreement between the Grantee and the Company is in effect immediately prior to the Separation from Service having the same or similar term in which event such meaning provided in the employment agreement shall control for purposes of the Award.</w:t>
      </w:r>
    </w:p>
    <w:p>
      <w:pPr>
        <w:spacing w:after="0" w:line="162" w:lineRule="exact"/>
        <w:rPr>
          <w:rFonts w:ascii="Arial" w:cs="Arial" w:eastAsia="Arial" w:hAnsi="Arial"/>
          <w:sz w:val="21"/>
          <w:szCs w:val="21"/>
          <w:color w:val="auto"/>
        </w:rPr>
      </w:pPr>
    </w:p>
    <w:p>
      <w:pPr>
        <w:jc w:val="both"/>
        <w:ind w:firstLine="1278"/>
        <w:spacing w:after="0" w:line="267" w:lineRule="auto"/>
        <w:tabs>
          <w:tab w:leader="none" w:pos="1824" w:val="left"/>
        </w:tabs>
        <w:numPr>
          <w:ilvl w:val="0"/>
          <w:numId w:val="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any of the following: (i) the purchase or other acquisition (other than from the Company), in a single transaction or series of related transactions, by any person, entity, or group of persons, within the meaning of Section 13(d) or 14(d) of the Exchange Act (excluding, for this purpose, the Company or its subsidiaries or any employee benefit plan of the Company or its subsidiaries),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(ii) consummation of a reorganization, merger, amalgamation, or consolidation involving the Company, in each case with respect to which persons who were the shareholders of the Company immediately prior to such reorganization, merger, amalgamation, or consolidation do not, immediately thereafter, own more than fifty percent (50%) of, respectively, the Shares and the combined voting power entitled to vote generally in the election of directors of the reorganized, merged, amalgamated, or consolidated corporation’s then-outstanding voting securities; or (iii) a liquidation or dissolution of the Company, or the sale of all or substantially all of the assets of the Company. Notwithstanding anything herein to the contrary, an event described above shall be considered a Change in Control hereunder only if it also constitutes a “change in the ownership or effective control of the corporation or in the ownership of a substantial portion of the assets of the corporation” within the meaning of Section 409A(a)(2)(v) of the Code, to the extent necessary to avoid the adverse tax consequences thereunder with respect to any payment subject to Section 409A of the Code. A Change in Control shall be deemed to occur on the date on which the event giving rise to the Change in Control occurs, provided, in the case of a Change in Control by reason of a liquidation or dissolution of the Company, such date shall be the date on which the Company shall commence such liquidation or dissolution.</w:t>
      </w:r>
    </w:p>
    <w:p>
      <w:pPr>
        <w:spacing w:after="0" w:line="177" w:lineRule="exact"/>
        <w:rPr>
          <w:rFonts w:ascii="Arial" w:cs="Arial" w:eastAsia="Arial" w:hAnsi="Arial"/>
          <w:sz w:val="20"/>
          <w:szCs w:val="20"/>
          <w:color w:val="auto"/>
        </w:rPr>
      </w:pPr>
    </w:p>
    <w:p>
      <w:pPr>
        <w:jc w:val="both"/>
        <w:ind w:firstLine="1278"/>
        <w:spacing w:after="0" w:line="274" w:lineRule="auto"/>
        <w:tabs>
          <w:tab w:leader="none" w:pos="1839" w:val="left"/>
        </w:tabs>
        <w:numPr>
          <w:ilvl w:val="0"/>
          <w:numId w:val="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that the Grantee is unable to engage in any substantial gainful activity by reason of a medically determinable physical or mental impairment that can be expected to result in death or can be expected to last for a continuous period of not less than twelve (12) months, or is, by reason of any medically determinable physical or mental impairment that can be expected to result in death or can be expected to last for a continuous period of not less than twelve (12) months, receiving income replacement benefits for a period of not less than three months under an accident or disability insurance benefit plan covering Company employees. The determination of whether the Grantee has a</w:t>
      </w:r>
    </w:p>
    <w:p>
      <w:pPr>
        <w:sectPr>
          <w:pgSz w:w="11900" w:h="16838" w:orient="portrait"/>
          <w:cols w:equalWidth="0" w:num="1">
            <w:col w:w="11240"/>
          </w:cols>
          <w:pgMar w:left="320" w:top="1403" w:right="339" w:bottom="1440" w:gutter="0" w:footer="0" w:header="0"/>
        </w:sectPr>
      </w:pPr>
    </w:p>
    <w:bookmarkStart w:id="66" w:name="page67"/>
    <w:bookmarkEnd w:id="66"/>
    <w:p>
      <w:pPr>
        <w:jc w:val="both"/>
        <w:spacing w:after="0" w:line="264" w:lineRule="auto"/>
        <w:rPr>
          <w:sz w:val="20"/>
          <w:szCs w:val="20"/>
          <w:color w:val="auto"/>
        </w:rPr>
      </w:pPr>
      <w:r>
        <w:rPr>
          <w:rFonts w:ascii="Arial" w:cs="Arial" w:eastAsia="Arial" w:hAnsi="Arial"/>
          <w:sz w:val="21"/>
          <w:szCs w:val="21"/>
          <w:color w:val="auto"/>
        </w:rPr>
        <w:t>Disability shall be determined under procedures established by the Committee. The Committee may rely on any determination that the Grantee is disabled for purposes of benefits under any long-term disability plan maintained by the Company or any Affiliate in which the Grantee, provided that the definition of disability applied under such disability plan meets the requirements of a Disability in the first sentence hereof.</w:t>
      </w:r>
    </w:p>
    <w:p>
      <w:pPr>
        <w:spacing w:after="0" w:line="170" w:lineRule="exact"/>
        <w:rPr>
          <w:sz w:val="20"/>
          <w:szCs w:val="20"/>
          <w:color w:val="auto"/>
        </w:rPr>
      </w:pPr>
    </w:p>
    <w:p>
      <w:pPr>
        <w:jc w:val="both"/>
        <w:ind w:firstLine="1278"/>
        <w:spacing w:after="0" w:line="269" w:lineRule="auto"/>
        <w:tabs>
          <w:tab w:leader="none" w:pos="1797" w:val="left"/>
        </w:tabs>
        <w:numPr>
          <w:ilvl w:val="0"/>
          <w:numId w:val="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means the occurrence of one or more of the following without the Grantee’s express written consent, which circumstances are not remedied by the Company within thirty (30) days after its receipt of a written notice from the Grantee describing the applicable circumstances (which notice must be provided by the Grantee within ninety (90) days after the Grantee’s knowledge of the applicable circumstances): (i) any material, adverse change in the Grantee’s duties, responsibilities, authority, status, or reporting structure; (ii) a material reduction in the Grantee’s base salary; or (iii) a geographical relocation of the Grantee’s principal office location by more than fifty (50) miles; provided that, in each case, the Company has failed to cure the circumstance and the Grantee actually terminates the Grantee’s employment within thirty (30) days following the Company’s thirty (30)-day cure period; provided, however, if an employment agreement between the Grantee and the Company is in effect immediately prior to the Separation from Service having the same or similar term as “Good Reason,” then the meaning provided in the employment agreement shall control for purposes of the Award.</w:t>
      </w:r>
    </w:p>
    <w:p>
      <w:pPr>
        <w:spacing w:after="0" w:line="178" w:lineRule="exact"/>
        <w:rPr>
          <w:rFonts w:ascii="Arial" w:cs="Arial" w:eastAsia="Arial" w:hAnsi="Arial"/>
          <w:sz w:val="20"/>
          <w:szCs w:val="20"/>
          <w:color w:val="auto"/>
        </w:rPr>
      </w:pPr>
    </w:p>
    <w:p>
      <w:pPr>
        <w:jc w:val="both"/>
        <w:ind w:firstLine="1278"/>
        <w:spacing w:after="0" w:line="264" w:lineRule="auto"/>
        <w:tabs>
          <w:tab w:leader="none" w:pos="1772" w:val="left"/>
        </w:tabs>
        <w:numPr>
          <w:ilvl w:val="0"/>
          <w:numId w:val="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Retirement Age</w:t>
      </w:r>
      <w:r>
        <w:rPr>
          <w:rFonts w:ascii="Arial" w:cs="Arial" w:eastAsia="Arial" w:hAnsi="Arial"/>
          <w:sz w:val="21"/>
          <w:szCs w:val="21"/>
          <w:color w:val="auto"/>
        </w:rPr>
        <w:t>” means the Grantee’s attainment of age 70 prior to experiencing a Separation from Service; provided, however, the Committee in its discretion may establish an earlier retirement age for the Grantee by communicating in writing that decision to the Grantee.</w:t>
      </w:r>
    </w:p>
    <w:p>
      <w:pPr>
        <w:spacing w:after="0" w:line="170" w:lineRule="exact"/>
        <w:rPr>
          <w:rFonts w:ascii="Arial" w:cs="Arial" w:eastAsia="Arial" w:hAnsi="Arial"/>
          <w:sz w:val="21"/>
          <w:szCs w:val="21"/>
          <w:color w:val="auto"/>
        </w:rPr>
      </w:pPr>
    </w:p>
    <w:p>
      <w:pPr>
        <w:jc w:val="both"/>
        <w:ind w:firstLine="1278"/>
        <w:spacing w:after="0" w:line="256" w:lineRule="auto"/>
        <w:tabs>
          <w:tab w:leader="none" w:pos="1762" w:val="left"/>
        </w:tabs>
        <w:numPr>
          <w:ilvl w:val="0"/>
          <w:numId w:val="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Separation from Service</w:t>
      </w:r>
      <w:r>
        <w:rPr>
          <w:rFonts w:ascii="Arial" w:cs="Arial" w:eastAsia="Arial" w:hAnsi="Arial"/>
          <w:sz w:val="21"/>
          <w:szCs w:val="21"/>
          <w:color w:val="auto"/>
        </w:rPr>
        <w:t>” means a termination of the Grantee’s employment relationship with the Company where either (i) the Grantee has ceased to perform any services for the Company and all affiliated companies that, together with the Company, constitute the “service recipient” within the meaning of Code Section 409A (collectively, the “</w:t>
      </w:r>
      <w:r>
        <w:rPr>
          <w:rFonts w:ascii="Arial" w:cs="Arial" w:eastAsia="Arial" w:hAnsi="Arial"/>
          <w:sz w:val="21"/>
          <w:szCs w:val="21"/>
          <w:b w:val="1"/>
          <w:bCs w:val="1"/>
          <w:color w:val="auto"/>
        </w:rPr>
        <w:t>Service Recipient</w:t>
      </w:r>
      <w:r>
        <w:rPr>
          <w:rFonts w:ascii="Arial" w:cs="Arial" w:eastAsia="Arial" w:hAnsi="Arial"/>
          <w:sz w:val="21"/>
          <w:szCs w:val="21"/>
          <w:color w:val="auto"/>
        </w:rPr>
        <w:t>”) or (ii) the level of bona fide services the Grantee performs for the Service Recipient after a given date permanently decreases (excluding a decrease as a result of military leave, sick leave, or other bona fide leave of absence if the period of such leave does not exceed six months, or if longer, so long as the Grantee retains a right to reemployment with the Service Recipient under an applicable statute or by contract) to no more than twenty percent (20%) of the average level of bona fide services performed for the Service Recipient over the immediately preceding 36-month period (or the full period of service if the Grantee has been providing services to the Service Recipient for less than 36 months) that, in either case, constitutes a “separation from service” within the meaning of Code Section 409A.</w:t>
      </w:r>
    </w:p>
    <w:p>
      <w:pPr>
        <w:spacing w:after="0" w:line="180" w:lineRule="exact"/>
        <w:rPr>
          <w:rFonts w:ascii="Arial" w:cs="Arial" w:eastAsia="Arial" w:hAnsi="Arial"/>
          <w:sz w:val="21"/>
          <w:szCs w:val="21"/>
          <w:color w:val="auto"/>
        </w:rPr>
      </w:pPr>
    </w:p>
    <w:p>
      <w:pPr>
        <w:ind w:left="1740" w:hanging="462"/>
        <w:spacing w:after="0"/>
        <w:tabs>
          <w:tab w:leader="none" w:pos="1740" w:val="left"/>
        </w:tabs>
        <w:numPr>
          <w:ilvl w:val="0"/>
          <w:numId w:val="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Service Condition</w:t>
      </w:r>
      <w:r>
        <w:rPr>
          <w:rFonts w:ascii="Arial" w:cs="Arial" w:eastAsia="Arial" w:hAnsi="Arial"/>
          <w:sz w:val="21"/>
          <w:szCs w:val="21"/>
          <w:color w:val="auto"/>
        </w:rPr>
        <w:t xml:space="preserve">” has the meaning ascribed to it in </w:t>
      </w:r>
      <w:r>
        <w:rPr>
          <w:rFonts w:ascii="Arial" w:cs="Arial" w:eastAsia="Arial" w:hAnsi="Arial"/>
          <w:sz w:val="21"/>
          <w:szCs w:val="21"/>
          <w:u w:val="single" w:color="auto"/>
          <w:color w:val="auto"/>
        </w:rPr>
        <w:t>Schedule A</w:t>
      </w:r>
      <w:r>
        <w:rPr>
          <w:rFonts w:ascii="Arial" w:cs="Arial" w:eastAsia="Arial" w:hAnsi="Arial"/>
          <w:sz w:val="21"/>
          <w:szCs w:val="21"/>
          <w:color w:val="auto"/>
        </w:rPr>
        <w:t>.</w:t>
      </w:r>
    </w:p>
    <w:p>
      <w:pPr>
        <w:sectPr>
          <w:pgSz w:w="11900" w:h="16838" w:orient="portrait"/>
          <w:cols w:equalWidth="0" w:num="1">
            <w:col w:w="11240"/>
          </w:cols>
          <w:pgMar w:left="320" w:top="1403" w:right="339" w:bottom="1440" w:gutter="0" w:footer="0" w:header="0"/>
        </w:sectPr>
      </w:pPr>
    </w:p>
    <w:bookmarkStart w:id="67" w:name="page68"/>
    <w:bookmarkEnd w:id="67"/>
    <w:p>
      <w:pPr>
        <w:jc w:val="both"/>
        <w:ind w:firstLine="1272"/>
        <w:spacing w:after="0" w:line="256" w:lineRule="auto"/>
        <w:rPr>
          <w:sz w:val="20"/>
          <w:szCs w:val="20"/>
          <w:color w:val="auto"/>
        </w:rPr>
      </w:pPr>
      <w:r>
        <w:rPr>
          <w:rFonts w:ascii="Arial" w:cs="Arial" w:eastAsia="Arial" w:hAnsi="Arial"/>
          <w:sz w:val="21"/>
          <w:szCs w:val="21"/>
          <w:color w:val="auto"/>
        </w:rPr>
        <w:t xml:space="preserve">Section 14. </w:t>
      </w:r>
      <w:r>
        <w:rPr>
          <w:rFonts w:ascii="Arial" w:cs="Arial" w:eastAsia="Arial" w:hAnsi="Arial"/>
          <w:sz w:val="21"/>
          <w:szCs w:val="21"/>
          <w:u w:val="single" w:color="auto"/>
          <w:color w:val="auto"/>
        </w:rPr>
        <w:t>Section 409A</w:t>
      </w:r>
      <w:r>
        <w:rPr>
          <w:rFonts w:ascii="Arial" w:cs="Arial" w:eastAsia="Arial" w:hAnsi="Arial"/>
          <w:sz w:val="21"/>
          <w:szCs w:val="21"/>
          <w:color w:val="auto"/>
        </w:rPr>
        <w:t>. It is intended that this Agreement shall be administered in a manner that will comply with or meet an exception from Section 409A of the Code, and this Agreement shall be administered and interpreted in accordance with such intent. Notwithstanding anything herein to the contrary, to the extent applicable, if the Grantee is a “specified employee” within the meaning of Section 409A of the Code, and to the extent necessary to avoid the adverse tax consequences under Section 409A of the Code, no portion of any payments hereunder shall be distributed on account of a Separation from Service before the earlier of: (a) the date which is six months following the date of the Grantee’s Separation from Service, or (b) the date of death of the Grantee. Amounts that would have been paid during the delay will be paid on the first business day following the six month delay.</w:t>
      </w:r>
    </w:p>
    <w:p>
      <w:pPr>
        <w:spacing w:after="0" w:line="192" w:lineRule="exact"/>
        <w:rPr>
          <w:sz w:val="20"/>
          <w:szCs w:val="20"/>
          <w:color w:val="auto"/>
        </w:rPr>
      </w:pPr>
    </w:p>
    <w:p>
      <w:pPr>
        <w:jc w:val="both"/>
        <w:ind w:firstLine="1272"/>
        <w:spacing w:after="0" w:line="259"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The Plan</w:t>
      </w:r>
      <w:r>
        <w:rPr>
          <w:rFonts w:ascii="Arial" w:cs="Arial" w:eastAsia="Arial" w:hAnsi="Arial"/>
          <w:sz w:val="21"/>
          <w:szCs w:val="21"/>
          <w:color w:val="auto"/>
        </w:rPr>
        <w:t>. The Grantee acknowledges having received a copy of the Plan. The Restricted Share Units herein granted are subject to all of the terms and provisions of the Plan, all of which are hereby incorporated herein by reference. In the event of any inconsistency between the provisions of this Agreement and the provisions of the Plan, the provisions of the Plan shall govern.</w:t>
      </w:r>
    </w:p>
    <w:p>
      <w:pPr>
        <w:spacing w:after="0" w:line="177" w:lineRule="exact"/>
        <w:rPr>
          <w:sz w:val="20"/>
          <w:szCs w:val="20"/>
          <w:color w:val="auto"/>
        </w:rPr>
      </w:pPr>
    </w:p>
    <w:p>
      <w:pPr>
        <w:jc w:val="both"/>
        <w:ind w:firstLine="1272"/>
        <w:spacing w:after="0" w:line="279" w:lineRule="auto"/>
        <w:rPr>
          <w:sz w:val="20"/>
          <w:szCs w:val="20"/>
          <w:color w:val="auto"/>
        </w:rPr>
      </w:pPr>
      <w:r>
        <w:rPr>
          <w:rFonts w:ascii="Arial" w:cs="Arial" w:eastAsia="Arial" w:hAnsi="Arial"/>
          <w:sz w:val="21"/>
          <w:szCs w:val="21"/>
          <w:color w:val="auto"/>
        </w:rPr>
        <w:t>IN WITNESS WHEREOF, the parties hereto have executed this Service-Based Restricted Share Unit Award Agreement as of the Grant Date.</w:t>
      </w:r>
    </w:p>
    <w:p>
      <w:pPr>
        <w:spacing w:after="0" w:line="200" w:lineRule="exact"/>
        <w:rPr>
          <w:sz w:val="20"/>
          <w:szCs w:val="20"/>
          <w:color w:val="auto"/>
        </w:rPr>
      </w:pPr>
    </w:p>
    <w:p>
      <w:pPr>
        <w:spacing w:after="0" w:line="259"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JAMES RIVER GROUP HOLDINGS, LTD.</w:t>
      </w:r>
    </w:p>
    <w:p>
      <w:pPr>
        <w:spacing w:after="0" w:line="289"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By: _________________________________</w:t>
      </w:r>
    </w:p>
    <w:p>
      <w:pPr>
        <w:spacing w:after="0" w:line="29"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Title: _______________________________</w:t>
      </w:r>
    </w:p>
    <w:p>
      <w:pPr>
        <w:spacing w:after="0" w:line="200" w:lineRule="exact"/>
        <w:rPr>
          <w:sz w:val="20"/>
          <w:szCs w:val="20"/>
          <w:color w:val="auto"/>
        </w:rPr>
      </w:pPr>
    </w:p>
    <w:p>
      <w:pPr>
        <w:spacing w:after="0" w:line="348"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GRANTEE:</w:t>
      </w:r>
    </w:p>
    <w:p>
      <w:pPr>
        <w:spacing w:after="0" w:line="289"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_______________________________________</w:t>
      </w:r>
    </w:p>
    <w:p>
      <w:pPr>
        <w:spacing w:after="0" w:line="29"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Name: ______________________________</w:t>
      </w:r>
    </w:p>
    <w:p>
      <w:pPr>
        <w:sectPr>
          <w:pgSz w:w="11900" w:h="16838" w:orient="portrait"/>
          <w:cols w:equalWidth="0" w:num="1">
            <w:col w:w="11240"/>
          </w:cols>
          <w:pgMar w:left="320" w:top="1403" w:right="339" w:bottom="1440" w:gutter="0" w:footer="0" w:header="0"/>
        </w:sectPr>
      </w:pPr>
    </w:p>
    <w:bookmarkStart w:id="68" w:name="page69"/>
    <w:bookmarkEnd w:id="68"/>
    <w:tbl>
      <w:tblPr>
        <w:tblLayout w:type="fixed"/>
        <w:tblInd w:w="540" w:type="dxa"/>
        <w:tblCellMar>
          <w:top w:w="0" w:type="dxa"/>
          <w:left w:w="0" w:type="dxa"/>
          <w:bottom w:w="0" w:type="dxa"/>
          <w:right w:w="0" w:type="dxa"/>
        </w:tblCellMar>
      </w:tblPr>
      <w:tr>
        <w:trPr>
          <w:trHeight w:val="252"/>
        </w:trPr>
        <w:tc>
          <w:tcPr>
            <w:tcW w:w="2000" w:type="dxa"/>
            <w:vAlign w:val="bottom"/>
          </w:tcPr>
          <w:p>
            <w:pPr>
              <w:spacing w:after="0"/>
              <w:rPr>
                <w:sz w:val="21"/>
                <w:szCs w:val="21"/>
                <w:color w:val="auto"/>
              </w:rPr>
            </w:pPr>
          </w:p>
        </w:tc>
        <w:tc>
          <w:tcPr>
            <w:tcW w:w="6060" w:type="dxa"/>
            <w:vAlign w:val="bottom"/>
          </w:tcPr>
          <w:p>
            <w:pPr>
              <w:jc w:val="center"/>
              <w:spacing w:after="0"/>
              <w:rPr>
                <w:sz w:val="20"/>
                <w:szCs w:val="20"/>
                <w:color w:val="auto"/>
              </w:rPr>
            </w:pPr>
            <w:r>
              <w:rPr>
                <w:rFonts w:ascii="Arial" w:cs="Arial" w:eastAsia="Arial" w:hAnsi="Arial"/>
                <w:sz w:val="21"/>
                <w:szCs w:val="21"/>
                <w:b w:val="1"/>
                <w:bCs w:val="1"/>
                <w:color w:val="auto"/>
              </w:rPr>
              <w:t>JAMES RIVER GROUP HOLDINGS, LTD.</w:t>
            </w:r>
          </w:p>
        </w:tc>
        <w:tc>
          <w:tcPr>
            <w:tcW w:w="0" w:type="dxa"/>
            <w:vAlign w:val="bottom"/>
          </w:tcPr>
          <w:p>
            <w:pPr>
              <w:spacing w:after="0"/>
              <w:rPr>
                <w:sz w:val="1"/>
                <w:szCs w:val="1"/>
                <w:color w:val="auto"/>
              </w:rPr>
            </w:pPr>
          </w:p>
        </w:tc>
      </w:tr>
      <w:tr>
        <w:trPr>
          <w:trHeight w:val="277"/>
        </w:trPr>
        <w:tc>
          <w:tcPr>
            <w:tcW w:w="2000" w:type="dxa"/>
            <w:vAlign w:val="bottom"/>
          </w:tcPr>
          <w:p>
            <w:pPr>
              <w:spacing w:after="0"/>
              <w:rPr>
                <w:sz w:val="24"/>
                <w:szCs w:val="24"/>
                <w:color w:val="auto"/>
              </w:rPr>
            </w:pPr>
          </w:p>
        </w:tc>
        <w:tc>
          <w:tcPr>
            <w:tcW w:w="6060" w:type="dxa"/>
            <w:vAlign w:val="bottom"/>
          </w:tcPr>
          <w:p>
            <w:pPr>
              <w:ind w:left="1240"/>
              <w:spacing w:after="0"/>
              <w:rPr>
                <w:sz w:val="20"/>
                <w:szCs w:val="20"/>
                <w:color w:val="auto"/>
              </w:rPr>
            </w:pPr>
            <w:r>
              <w:rPr>
                <w:rFonts w:ascii="Arial" w:cs="Arial" w:eastAsia="Arial" w:hAnsi="Arial"/>
                <w:sz w:val="21"/>
                <w:szCs w:val="21"/>
                <w:b w:val="1"/>
                <w:bCs w:val="1"/>
                <w:color w:val="auto"/>
              </w:rPr>
              <w:t>2014 LONG-TERM INCENTIVE PLAN</w:t>
            </w:r>
          </w:p>
        </w:tc>
        <w:tc>
          <w:tcPr>
            <w:tcW w:w="0" w:type="dxa"/>
            <w:vAlign w:val="bottom"/>
          </w:tcPr>
          <w:p>
            <w:pPr>
              <w:spacing w:after="0"/>
              <w:rPr>
                <w:sz w:val="1"/>
                <w:szCs w:val="1"/>
                <w:color w:val="auto"/>
              </w:rPr>
            </w:pPr>
          </w:p>
        </w:tc>
      </w:tr>
      <w:tr>
        <w:trPr>
          <w:trHeight w:val="464"/>
        </w:trPr>
        <w:tc>
          <w:tcPr>
            <w:tcW w:w="200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Arial" w:cs="Arial" w:eastAsia="Arial" w:hAnsi="Arial"/>
                <w:sz w:val="21"/>
                <w:szCs w:val="21"/>
                <w:b w:val="1"/>
                <w:bCs w:val="1"/>
                <w:color w:val="auto"/>
              </w:rPr>
              <w:t>SERVICE-BASED RESTRICTED SHARE UNIT AGREEMENT</w:t>
            </w:r>
          </w:p>
        </w:tc>
        <w:tc>
          <w:tcPr>
            <w:tcW w:w="0" w:type="dxa"/>
            <w:vAlign w:val="bottom"/>
          </w:tcPr>
          <w:p>
            <w:pPr>
              <w:spacing w:after="0"/>
              <w:rPr>
                <w:sz w:val="1"/>
                <w:szCs w:val="1"/>
                <w:color w:val="auto"/>
              </w:rPr>
            </w:pPr>
          </w:p>
        </w:tc>
      </w:tr>
      <w:tr>
        <w:trPr>
          <w:trHeight w:val="477"/>
        </w:trPr>
        <w:tc>
          <w:tcPr>
            <w:tcW w:w="2000" w:type="dxa"/>
            <w:vAlign w:val="bottom"/>
          </w:tcPr>
          <w:p>
            <w:pPr>
              <w:spacing w:after="0"/>
              <w:rPr>
                <w:sz w:val="24"/>
                <w:szCs w:val="24"/>
                <w:color w:val="auto"/>
              </w:rPr>
            </w:pPr>
          </w:p>
        </w:tc>
        <w:tc>
          <w:tcPr>
            <w:tcW w:w="6060" w:type="dxa"/>
            <w:vAlign w:val="bottom"/>
          </w:tcPr>
          <w:p>
            <w:pPr>
              <w:jc w:val="center"/>
              <w:ind w:left="14"/>
              <w:spacing w:after="0"/>
              <w:rPr>
                <w:sz w:val="20"/>
                <w:szCs w:val="20"/>
                <w:color w:val="auto"/>
              </w:rPr>
            </w:pPr>
            <w:r>
              <w:rPr>
                <w:rFonts w:ascii="Arial" w:cs="Arial" w:eastAsia="Arial" w:hAnsi="Arial"/>
                <w:sz w:val="21"/>
                <w:szCs w:val="21"/>
                <w:b w:val="1"/>
                <w:bCs w:val="1"/>
                <w:color w:val="auto"/>
              </w:rPr>
              <w:t>SCHEDULE A</w:t>
            </w:r>
          </w:p>
        </w:tc>
        <w:tc>
          <w:tcPr>
            <w:tcW w:w="0" w:type="dxa"/>
            <w:vAlign w:val="bottom"/>
          </w:tcPr>
          <w:p>
            <w:pPr>
              <w:spacing w:after="0"/>
              <w:rPr>
                <w:sz w:val="1"/>
                <w:szCs w:val="1"/>
                <w:color w:val="auto"/>
              </w:rPr>
            </w:pPr>
          </w:p>
        </w:tc>
      </w:tr>
      <w:tr>
        <w:trPr>
          <w:trHeight w:val="490"/>
        </w:trPr>
        <w:tc>
          <w:tcPr>
            <w:tcW w:w="2000" w:type="dxa"/>
            <w:vAlign w:val="bottom"/>
          </w:tcPr>
          <w:p>
            <w:pPr>
              <w:spacing w:after="0"/>
              <w:rPr>
                <w:sz w:val="20"/>
                <w:szCs w:val="20"/>
                <w:color w:val="auto"/>
              </w:rPr>
            </w:pPr>
            <w:r>
              <w:rPr>
                <w:rFonts w:ascii="Arial" w:cs="Arial" w:eastAsia="Arial" w:hAnsi="Arial"/>
                <w:sz w:val="21"/>
                <w:szCs w:val="21"/>
                <w:color w:val="auto"/>
              </w:rPr>
              <w:t>Name of Grantee:</w:t>
            </w:r>
          </w:p>
        </w:tc>
        <w:tc>
          <w:tcPr>
            <w:tcW w:w="6060" w:type="dxa"/>
            <w:vAlign w:val="bottom"/>
          </w:tcPr>
          <w:p>
            <w:pPr>
              <w:ind w:left="120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477"/>
        </w:trPr>
        <w:tc>
          <w:tcPr>
            <w:tcW w:w="2000" w:type="dxa"/>
            <w:vAlign w:val="bottom"/>
          </w:tcPr>
          <w:p>
            <w:pPr>
              <w:spacing w:after="0"/>
              <w:rPr>
                <w:sz w:val="20"/>
                <w:szCs w:val="20"/>
                <w:color w:val="auto"/>
              </w:rPr>
            </w:pPr>
            <w:r>
              <w:rPr>
                <w:rFonts w:ascii="Arial" w:cs="Arial" w:eastAsia="Arial" w:hAnsi="Arial"/>
                <w:sz w:val="21"/>
                <w:szCs w:val="21"/>
                <w:color w:val="auto"/>
              </w:rPr>
              <w:t>Grant Date:</w:t>
            </w:r>
          </w:p>
        </w:tc>
        <w:tc>
          <w:tcPr>
            <w:tcW w:w="6060" w:type="dxa"/>
            <w:vAlign w:val="bottom"/>
          </w:tcPr>
          <w:p>
            <w:pPr>
              <w:ind w:left="120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21"/>
                <w:szCs w:val="21"/>
                <w:color w:val="auto"/>
              </w:rPr>
              <w:t>Number of</w:t>
            </w: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00" w:type="dxa"/>
            <w:vAlign w:val="bottom"/>
          </w:tcPr>
          <w:p>
            <w:pPr>
              <w:spacing w:after="0" w:line="212" w:lineRule="exact"/>
              <w:rPr>
                <w:sz w:val="20"/>
                <w:szCs w:val="20"/>
                <w:color w:val="auto"/>
              </w:rPr>
            </w:pPr>
            <w:r>
              <w:rPr>
                <w:rFonts w:ascii="Arial" w:cs="Arial" w:eastAsia="Arial" w:hAnsi="Arial"/>
                <w:sz w:val="21"/>
                <w:szCs w:val="21"/>
                <w:color w:val="auto"/>
                <w:w w:val="94"/>
              </w:rPr>
              <w:t>Restricted Share Units</w:t>
            </w:r>
          </w:p>
        </w:tc>
        <w:tc>
          <w:tcPr>
            <w:tcW w:w="6060" w:type="dxa"/>
            <w:vAlign w:val="bottom"/>
            <w:vMerge w:val="restart"/>
          </w:tcPr>
          <w:p>
            <w:pPr>
              <w:ind w:left="120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65"/>
        </w:trPr>
        <w:tc>
          <w:tcPr>
            <w:tcW w:w="2000" w:type="dxa"/>
            <w:vAlign w:val="bottom"/>
            <w:vMerge w:val="restart"/>
          </w:tcPr>
          <w:p>
            <w:pPr>
              <w:spacing w:after="0"/>
              <w:rPr>
                <w:sz w:val="20"/>
                <w:szCs w:val="20"/>
                <w:color w:val="auto"/>
              </w:rPr>
            </w:pPr>
            <w:r>
              <w:rPr>
                <w:rFonts w:ascii="Arial" w:cs="Arial" w:eastAsia="Arial" w:hAnsi="Arial"/>
                <w:sz w:val="21"/>
                <w:szCs w:val="21"/>
                <w:color w:val="auto"/>
                <w:w w:val="95"/>
              </w:rPr>
              <w:t>Subject to Agreement:</w:t>
            </w:r>
          </w:p>
        </w:tc>
        <w:tc>
          <w:tcPr>
            <w:tcW w:w="6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00" w:type="dxa"/>
            <w:vAlign w:val="bottom"/>
            <w:vMerge w:val="continue"/>
          </w:tcPr>
          <w:p>
            <w:pPr>
              <w:spacing w:after="0"/>
              <w:rPr>
                <w:sz w:val="9"/>
                <w:szCs w:val="9"/>
                <w:color w:val="auto"/>
              </w:rPr>
            </w:pPr>
          </w:p>
        </w:tc>
        <w:tc>
          <w:tcPr>
            <w:tcW w:w="6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ind w:right="140"/>
        <w:spacing w:after="0" w:line="264" w:lineRule="auto"/>
        <w:rPr>
          <w:sz w:val="20"/>
          <w:szCs w:val="20"/>
          <w:color w:val="auto"/>
        </w:rPr>
      </w:pPr>
      <w:r>
        <w:rPr>
          <w:rFonts w:ascii="Arial" w:cs="Arial" w:eastAsia="Arial" w:hAnsi="Arial"/>
          <w:sz w:val="21"/>
          <w:szCs w:val="21"/>
          <w:color w:val="auto"/>
        </w:rPr>
        <w:t>Vesting Schedule: The Restricted Share Units shall become Vested Share Units, as and to the extent indicated below, only if and to the extent the Grantee provides continuous service to the Company and/or any Affiliate for the period beginning with the Grant Date through the date described in the following Vesting Schedule without experiencing a Separation from Service (the “</w:t>
      </w:r>
      <w:r>
        <w:rPr>
          <w:rFonts w:ascii="Arial" w:cs="Arial" w:eastAsia="Arial" w:hAnsi="Arial"/>
          <w:sz w:val="21"/>
          <w:szCs w:val="21"/>
          <w:b w:val="1"/>
          <w:bCs w:val="1"/>
          <w:color w:val="auto"/>
        </w:rPr>
        <w:t>Service</w:t>
      </w:r>
      <w:r>
        <w:rPr>
          <w:rFonts w:ascii="Arial" w:cs="Arial" w:eastAsia="Arial" w:hAnsi="Arial"/>
          <w:sz w:val="21"/>
          <w:szCs w:val="21"/>
          <w:color w:val="auto"/>
        </w:rPr>
        <w:t xml:space="preserve"> </w:t>
      </w:r>
      <w:r>
        <w:rPr>
          <w:rFonts w:ascii="Arial" w:cs="Arial" w:eastAsia="Arial" w:hAnsi="Arial"/>
          <w:sz w:val="21"/>
          <w:szCs w:val="21"/>
          <w:b w:val="1"/>
          <w:bCs w:val="1"/>
          <w:color w:val="auto"/>
        </w:rPr>
        <w:t>Condition</w:t>
      </w:r>
      <w:r>
        <w:rPr>
          <w:rFonts w:ascii="Arial" w:cs="Arial" w:eastAsia="Arial" w:hAnsi="Arial"/>
          <w:sz w:val="21"/>
          <w:szCs w:val="21"/>
          <w:color w:val="auto"/>
        </w:rPr>
        <w:t>”):</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241"/>
        </w:trPr>
        <w:tc>
          <w:tcPr>
            <w:tcW w:w="1200" w:type="dxa"/>
            <w:vAlign w:val="bottom"/>
          </w:tcPr>
          <w:p>
            <w:pPr>
              <w:spacing w:after="0"/>
              <w:rPr>
                <w:sz w:val="20"/>
                <w:szCs w:val="20"/>
                <w:color w:val="auto"/>
              </w:rPr>
            </w:pPr>
          </w:p>
        </w:tc>
        <w:tc>
          <w:tcPr>
            <w:tcW w:w="2120" w:type="dxa"/>
            <w:vAlign w:val="bottom"/>
            <w:vMerge w:val="restart"/>
          </w:tcPr>
          <w:p>
            <w:pPr>
              <w:spacing w:after="0"/>
              <w:rPr>
                <w:sz w:val="20"/>
                <w:szCs w:val="20"/>
                <w:color w:val="auto"/>
              </w:rPr>
            </w:pPr>
            <w:r>
              <w:rPr>
                <w:rFonts w:ascii="Arial" w:cs="Arial" w:eastAsia="Arial" w:hAnsi="Arial"/>
                <w:sz w:val="21"/>
                <w:szCs w:val="21"/>
                <w:color w:val="auto"/>
                <w:w w:val="90"/>
              </w:rPr>
              <w:t>Continuous Service Date</w:t>
            </w:r>
          </w:p>
        </w:tc>
        <w:tc>
          <w:tcPr>
            <w:tcW w:w="1660" w:type="dxa"/>
            <w:vAlign w:val="bottom"/>
            <w:vMerge w:val="restart"/>
          </w:tcPr>
          <w:p>
            <w:pPr>
              <w:spacing w:after="0"/>
              <w:rPr>
                <w:sz w:val="20"/>
                <w:szCs w:val="20"/>
                <w:color w:val="auto"/>
              </w:rPr>
            </w:pPr>
          </w:p>
        </w:tc>
        <w:tc>
          <w:tcPr>
            <w:tcW w:w="4060" w:type="dxa"/>
            <w:vAlign w:val="bottom"/>
            <w:gridSpan w:val="3"/>
          </w:tcPr>
          <w:p>
            <w:pPr>
              <w:jc w:val="center"/>
              <w:ind w:left="841"/>
              <w:spacing w:after="0"/>
              <w:rPr>
                <w:sz w:val="20"/>
                <w:szCs w:val="20"/>
                <w:color w:val="auto"/>
              </w:rPr>
            </w:pPr>
            <w:r>
              <w:rPr>
                <w:rFonts w:ascii="Arial" w:cs="Arial" w:eastAsia="Arial" w:hAnsi="Arial"/>
                <w:sz w:val="21"/>
                <w:szCs w:val="21"/>
                <w:color w:val="auto"/>
                <w:w w:val="89"/>
              </w:rPr>
              <w:t>Percentage of Restricted Share Units</w:t>
            </w:r>
          </w:p>
        </w:tc>
        <w:tc>
          <w:tcPr>
            <w:tcW w:w="0" w:type="dxa"/>
            <w:vAlign w:val="bottom"/>
          </w:tcPr>
          <w:p>
            <w:pPr>
              <w:spacing w:after="0"/>
              <w:rPr>
                <w:sz w:val="1"/>
                <w:szCs w:val="1"/>
                <w:color w:val="auto"/>
              </w:rPr>
            </w:pPr>
          </w:p>
        </w:tc>
      </w:tr>
      <w:tr>
        <w:trPr>
          <w:trHeight w:val="220"/>
        </w:trPr>
        <w:tc>
          <w:tcPr>
            <w:tcW w:w="120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2820" w:type="dxa"/>
            <w:vAlign w:val="bottom"/>
            <w:gridSpan w:val="2"/>
          </w:tcPr>
          <w:p>
            <w:pPr>
              <w:jc w:val="center"/>
              <w:ind w:right="320"/>
              <w:spacing w:after="0" w:line="220" w:lineRule="exact"/>
              <w:rPr>
                <w:sz w:val="20"/>
                <w:szCs w:val="20"/>
                <w:color w:val="auto"/>
              </w:rPr>
            </w:pPr>
            <w:r>
              <w:rPr>
                <w:rFonts w:ascii="Arial" w:cs="Arial" w:eastAsia="Arial" w:hAnsi="Arial"/>
                <w:sz w:val="21"/>
                <w:szCs w:val="21"/>
                <w:color w:val="auto"/>
                <w:w w:val="90"/>
              </w:rPr>
              <w:t>which are Vested Share Units</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4980" w:type="dxa"/>
            <w:vAlign w:val="bottom"/>
            <w:gridSpan w:val="3"/>
          </w:tcPr>
          <w:p>
            <w:pPr>
              <w:jc w:val="center"/>
              <w:ind w:right="940"/>
              <w:spacing w:after="0"/>
              <w:rPr>
                <w:sz w:val="20"/>
                <w:szCs w:val="20"/>
                <w:color w:val="auto"/>
              </w:rPr>
            </w:pPr>
            <w:r>
              <w:rPr>
                <w:rFonts w:ascii="Arial" w:cs="Arial" w:eastAsia="Arial" w:hAnsi="Arial"/>
                <w:sz w:val="21"/>
                <w:szCs w:val="21"/>
                <w:color w:val="auto"/>
                <w:w w:val="92"/>
              </w:rPr>
              <w:t>Prior to the first anniversary of the Grant Date</w:t>
            </w:r>
          </w:p>
        </w:tc>
        <w:tc>
          <w:tcPr>
            <w:tcW w:w="3740" w:type="dxa"/>
            <w:vAlign w:val="bottom"/>
            <w:gridSpan w:val="2"/>
          </w:tcPr>
          <w:p>
            <w:pPr>
              <w:jc w:val="center"/>
              <w:ind w:left="1161"/>
              <w:spacing w:after="0"/>
              <w:rPr>
                <w:sz w:val="20"/>
                <w:szCs w:val="20"/>
                <w:color w:val="auto"/>
              </w:rPr>
            </w:pPr>
            <w:r>
              <w:rPr>
                <w:rFonts w:ascii="Arial" w:cs="Arial" w:eastAsia="Arial" w:hAnsi="Arial"/>
                <w:sz w:val="21"/>
                <w:szCs w:val="21"/>
                <w:color w:val="auto"/>
                <w:w w:val="92"/>
              </w:rPr>
              <w:t>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980" w:type="dxa"/>
            <w:vAlign w:val="bottom"/>
            <w:gridSpan w:val="3"/>
          </w:tcPr>
          <w:p>
            <w:pPr>
              <w:jc w:val="center"/>
              <w:ind w:right="940"/>
              <w:spacing w:after="0"/>
              <w:rPr>
                <w:sz w:val="20"/>
                <w:szCs w:val="20"/>
                <w:color w:val="auto"/>
              </w:rPr>
            </w:pPr>
            <w:r>
              <w:rPr>
                <w:rFonts w:ascii="Arial" w:cs="Arial" w:eastAsia="Arial" w:hAnsi="Arial"/>
                <w:sz w:val="21"/>
                <w:szCs w:val="21"/>
                <w:color w:val="auto"/>
                <w:w w:val="92"/>
              </w:rPr>
              <w:t>First anniversary of the Grant Date, but prior</w:t>
            </w:r>
          </w:p>
        </w:tc>
        <w:tc>
          <w:tcPr>
            <w:tcW w:w="3740" w:type="dxa"/>
            <w:vAlign w:val="bottom"/>
            <w:gridSpan w:val="2"/>
          </w:tcPr>
          <w:p>
            <w:pPr>
              <w:jc w:val="center"/>
              <w:ind w:left="1161"/>
              <w:spacing w:after="0" w:line="417" w:lineRule="exact"/>
              <w:rPr>
                <w:sz w:val="20"/>
                <w:szCs w:val="20"/>
                <w:color w:val="auto"/>
              </w:rPr>
            </w:pPr>
            <w:r>
              <w:rPr>
                <w:rFonts w:ascii="Arial" w:cs="Arial" w:eastAsia="Arial" w:hAnsi="Arial"/>
                <w:sz w:val="42"/>
                <w:szCs w:val="42"/>
                <w:color w:val="auto"/>
                <w:w w:val="74"/>
                <w:vertAlign w:val="subscript"/>
              </w:rPr>
              <w:t>33</w:t>
            </w:r>
            <w:r>
              <w:rPr>
                <w:rFonts w:ascii="Arial" w:cs="Arial" w:eastAsia="Arial" w:hAnsi="Arial"/>
                <w:sz w:val="14"/>
                <w:szCs w:val="14"/>
                <w:color w:val="auto"/>
                <w:w w:val="74"/>
              </w:rPr>
              <w:t>1/3</w:t>
            </w:r>
            <w:r>
              <w:rPr>
                <w:rFonts w:ascii="Arial" w:cs="Arial" w:eastAsia="Arial" w:hAnsi="Arial"/>
                <w:sz w:val="42"/>
                <w:szCs w:val="42"/>
                <w:color w:val="auto"/>
                <w:w w:val="74"/>
                <w:vertAlign w:val="subscript"/>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980" w:type="dxa"/>
            <w:vAlign w:val="bottom"/>
            <w:gridSpan w:val="3"/>
          </w:tcPr>
          <w:p>
            <w:pPr>
              <w:jc w:val="center"/>
              <w:ind w:right="940"/>
              <w:spacing w:after="0"/>
              <w:rPr>
                <w:sz w:val="20"/>
                <w:szCs w:val="20"/>
                <w:color w:val="auto"/>
              </w:rPr>
            </w:pPr>
            <w:r>
              <w:rPr>
                <w:rFonts w:ascii="Arial" w:cs="Arial" w:eastAsia="Arial" w:hAnsi="Arial"/>
                <w:sz w:val="21"/>
                <w:szCs w:val="21"/>
                <w:color w:val="auto"/>
                <w:w w:val="89"/>
              </w:rPr>
              <w:t>to the second anniversary</w:t>
            </w:r>
          </w:p>
        </w:tc>
        <w:tc>
          <w:tcPr>
            <w:tcW w:w="12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4980" w:type="dxa"/>
            <w:vAlign w:val="bottom"/>
            <w:gridSpan w:val="3"/>
          </w:tcPr>
          <w:p>
            <w:pPr>
              <w:jc w:val="center"/>
              <w:ind w:right="940"/>
              <w:spacing w:after="0"/>
              <w:rPr>
                <w:sz w:val="20"/>
                <w:szCs w:val="20"/>
                <w:color w:val="auto"/>
              </w:rPr>
            </w:pPr>
            <w:r>
              <w:rPr>
                <w:rFonts w:ascii="Arial" w:cs="Arial" w:eastAsia="Arial" w:hAnsi="Arial"/>
                <w:sz w:val="21"/>
                <w:szCs w:val="21"/>
                <w:color w:val="auto"/>
                <w:w w:val="91"/>
              </w:rPr>
              <w:t>Second anniversary of the Grant Date, but prior</w:t>
            </w:r>
          </w:p>
        </w:tc>
        <w:tc>
          <w:tcPr>
            <w:tcW w:w="3740" w:type="dxa"/>
            <w:vAlign w:val="bottom"/>
            <w:gridSpan w:val="2"/>
          </w:tcPr>
          <w:p>
            <w:pPr>
              <w:jc w:val="center"/>
              <w:ind w:left="1161"/>
              <w:spacing w:after="0"/>
              <w:rPr>
                <w:sz w:val="20"/>
                <w:szCs w:val="20"/>
                <w:color w:val="auto"/>
              </w:rPr>
            </w:pPr>
            <w:r>
              <w:rPr>
                <w:rFonts w:ascii="Arial" w:cs="Arial" w:eastAsia="Arial" w:hAnsi="Arial"/>
                <w:sz w:val="21"/>
                <w:szCs w:val="21"/>
                <w:color w:val="auto"/>
                <w:w w:val="83"/>
              </w:rPr>
              <w:t>66</w:t>
            </w:r>
            <w:r>
              <w:rPr>
                <w:rFonts w:ascii="Arial" w:cs="Arial" w:eastAsia="Arial" w:hAnsi="Arial"/>
                <w:sz w:val="27"/>
                <w:szCs w:val="27"/>
                <w:color w:val="auto"/>
                <w:w w:val="83"/>
                <w:vertAlign w:val="superscript"/>
              </w:rPr>
              <w:t>2/3</w:t>
            </w:r>
            <w:r>
              <w:rPr>
                <w:rFonts w:ascii="Arial" w:cs="Arial" w:eastAsia="Arial" w:hAnsi="Arial"/>
                <w:sz w:val="21"/>
                <w:szCs w:val="21"/>
                <w:color w:val="auto"/>
                <w:w w:val="83"/>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980" w:type="dxa"/>
            <w:vAlign w:val="bottom"/>
            <w:gridSpan w:val="3"/>
          </w:tcPr>
          <w:p>
            <w:pPr>
              <w:jc w:val="center"/>
              <w:ind w:right="940"/>
              <w:spacing w:after="0"/>
              <w:rPr>
                <w:sz w:val="20"/>
                <w:szCs w:val="20"/>
                <w:color w:val="auto"/>
              </w:rPr>
            </w:pPr>
            <w:r>
              <w:rPr>
                <w:rFonts w:ascii="Arial" w:cs="Arial" w:eastAsia="Arial" w:hAnsi="Arial"/>
                <w:sz w:val="21"/>
                <w:szCs w:val="21"/>
                <w:color w:val="auto"/>
                <w:w w:val="91"/>
              </w:rPr>
              <w:t>to the third anniversary</w:t>
            </w:r>
          </w:p>
        </w:tc>
        <w:tc>
          <w:tcPr>
            <w:tcW w:w="12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7"/>
        </w:trPr>
        <w:tc>
          <w:tcPr>
            <w:tcW w:w="4980" w:type="dxa"/>
            <w:vAlign w:val="bottom"/>
            <w:gridSpan w:val="3"/>
          </w:tcPr>
          <w:p>
            <w:pPr>
              <w:jc w:val="center"/>
              <w:ind w:right="940"/>
              <w:spacing w:after="0"/>
              <w:rPr>
                <w:sz w:val="20"/>
                <w:szCs w:val="20"/>
                <w:color w:val="auto"/>
              </w:rPr>
            </w:pPr>
            <w:r>
              <w:rPr>
                <w:rFonts w:ascii="Arial" w:cs="Arial" w:eastAsia="Arial" w:hAnsi="Arial"/>
                <w:sz w:val="21"/>
                <w:szCs w:val="21"/>
                <w:color w:val="auto"/>
                <w:w w:val="92"/>
              </w:rPr>
              <w:t>Third anniversary of the Grant Date</w:t>
            </w:r>
          </w:p>
        </w:tc>
        <w:tc>
          <w:tcPr>
            <w:tcW w:w="3740" w:type="dxa"/>
            <w:vAlign w:val="bottom"/>
            <w:gridSpan w:val="2"/>
          </w:tcPr>
          <w:p>
            <w:pPr>
              <w:jc w:val="center"/>
              <w:ind w:left="1141"/>
              <w:spacing w:after="0"/>
              <w:rPr>
                <w:sz w:val="20"/>
                <w:szCs w:val="20"/>
                <w:color w:val="auto"/>
              </w:rPr>
            </w:pPr>
            <w:r>
              <w:rPr>
                <w:rFonts w:ascii="Arial" w:cs="Arial" w:eastAsia="Arial" w:hAnsi="Arial"/>
                <w:sz w:val="21"/>
                <w:szCs w:val="21"/>
                <w:color w:val="auto"/>
                <w:w w:val="93"/>
              </w:rPr>
              <w:t>100%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spacing w:after="0" w:line="279" w:lineRule="auto"/>
        <w:rPr>
          <w:sz w:val="20"/>
          <w:szCs w:val="20"/>
          <w:color w:val="auto"/>
        </w:rPr>
      </w:pPr>
      <w:r>
        <w:rPr>
          <w:rFonts w:ascii="Arial" w:cs="Arial" w:eastAsia="Arial" w:hAnsi="Arial"/>
          <w:sz w:val="21"/>
          <w:szCs w:val="21"/>
          <w:color w:val="auto"/>
        </w:rPr>
        <w:t>Notwithstanding the foregoing, the Service Condition will be deemed satisfied as to all or a portion of the Restricted Share Units, as provided in Section 2 of the Agreement.</w:t>
      </w:r>
    </w:p>
    <w:p>
      <w:pPr>
        <w:sectPr>
          <w:pgSz w:w="11900" w:h="16838" w:orient="portrait"/>
          <w:cols w:equalWidth="0" w:num="1">
            <w:col w:w="11220"/>
          </w:cols>
          <w:pgMar w:left="320" w:top="1397" w:right="35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Frank N. D’Orazio, certify that:</w:t>
      </w:r>
    </w:p>
    <w:p>
      <w:pPr>
        <w:spacing w:after="0" w:line="111"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111"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40" w:right="320" w:hanging="316"/>
        <w:spacing w:after="0" w:line="255"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280" w:right="120" w:hanging="320"/>
        <w:spacing w:after="0" w:line="255" w:lineRule="auto"/>
        <w:tabs>
          <w:tab w:leader="none" w:pos="127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1280" w:right="260" w:hanging="320"/>
        <w:spacing w:after="0" w:line="255" w:lineRule="auto"/>
        <w:tabs>
          <w:tab w:leader="none" w:pos="12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jc w:val="both"/>
        <w:ind w:left="1280" w:right="420" w:hanging="320"/>
        <w:spacing w:after="0" w:line="365" w:lineRule="auto"/>
        <w:tabs>
          <w:tab w:leader="none" w:pos="1277"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ind w:left="1280" w:right="120" w:hanging="320"/>
        <w:spacing w:after="0" w:line="255" w:lineRule="auto"/>
        <w:tabs>
          <w:tab w:leader="none" w:pos="12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640" w:right="20" w:hanging="316"/>
        <w:spacing w:after="0" w:line="365" w:lineRule="auto"/>
        <w:tabs>
          <w:tab w:leader="none" w:pos="6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1280" w:right="660" w:hanging="320"/>
        <w:spacing w:after="0" w:line="365" w:lineRule="auto"/>
        <w:tabs>
          <w:tab w:leader="none" w:pos="1277" w:val="left"/>
        </w:tabs>
        <w:numPr>
          <w:ilvl w:val="1"/>
          <w:numId w:val="2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5"/>
          <w:szCs w:val="15"/>
          <w:color w:val="auto"/>
        </w:rPr>
      </w:pPr>
    </w:p>
    <w:p>
      <w:pPr>
        <w:ind w:left="1280" w:right="360" w:hanging="320"/>
        <w:spacing w:after="0" w:line="264" w:lineRule="auto"/>
        <w:tabs>
          <w:tab w:leader="none" w:pos="127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2022</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10795</wp:posOffset>
            </wp:positionV>
            <wp:extent cx="35502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Frank N. D’Orazio</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76"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Sarah C. Doran, certify that:</w:t>
      </w:r>
    </w:p>
    <w:p>
      <w:pPr>
        <w:spacing w:after="0" w:line="111"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111"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40" w:right="320" w:hanging="316"/>
        <w:spacing w:after="0" w:line="255"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280" w:right="120" w:hanging="320"/>
        <w:spacing w:after="0" w:line="255" w:lineRule="auto"/>
        <w:tabs>
          <w:tab w:leader="none" w:pos="127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1280" w:right="260" w:hanging="320"/>
        <w:spacing w:after="0" w:line="255" w:lineRule="auto"/>
        <w:tabs>
          <w:tab w:leader="none" w:pos="127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jc w:val="both"/>
        <w:ind w:left="1280" w:right="420" w:hanging="320"/>
        <w:spacing w:after="0" w:line="365" w:lineRule="auto"/>
        <w:tabs>
          <w:tab w:leader="none" w:pos="1277"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ind w:left="1280" w:right="120" w:hanging="320"/>
        <w:spacing w:after="0" w:line="255" w:lineRule="auto"/>
        <w:tabs>
          <w:tab w:leader="none" w:pos="127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640" w:right="20" w:hanging="316"/>
        <w:spacing w:after="0" w:line="365" w:lineRule="auto"/>
        <w:tabs>
          <w:tab w:leader="none" w:pos="6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1280" w:right="660" w:hanging="320"/>
        <w:spacing w:after="0" w:line="365" w:lineRule="auto"/>
        <w:tabs>
          <w:tab w:leader="none" w:pos="1277" w:val="left"/>
        </w:tabs>
        <w:numPr>
          <w:ilvl w:val="1"/>
          <w:numId w:val="3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5"/>
          <w:szCs w:val="15"/>
          <w:color w:val="auto"/>
        </w:rPr>
      </w:pPr>
    </w:p>
    <w:p>
      <w:pPr>
        <w:ind w:left="1280" w:right="360" w:hanging="320"/>
        <w:spacing w:after="0" w:line="264" w:lineRule="auto"/>
        <w:tabs>
          <w:tab w:leader="none" w:pos="127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2022</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10795</wp:posOffset>
            </wp:positionV>
            <wp:extent cx="35420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542030" cy="8255"/>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Sarah C. Doran</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76"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2" w:lineRule="exact"/>
        <w:rPr>
          <w:sz w:val="20"/>
          <w:szCs w:val="20"/>
          <w:color w:val="auto"/>
        </w:rPr>
      </w:pPr>
    </w:p>
    <w:p>
      <w:pPr>
        <w:ind w:right="340" w:firstLine="636"/>
        <w:spacing w:after="0" w:line="252" w:lineRule="auto"/>
        <w:rPr>
          <w:sz w:val="20"/>
          <w:szCs w:val="20"/>
          <w:color w:val="auto"/>
        </w:rPr>
      </w:pPr>
      <w:r>
        <w:rPr>
          <w:rFonts w:ascii="Arial" w:cs="Arial" w:eastAsia="Arial" w:hAnsi="Arial"/>
          <w:sz w:val="18"/>
          <w:szCs w:val="18"/>
          <w:color w:val="auto"/>
        </w:rPr>
        <w:t>In connection with the quarterly report of James River Group Holdings, Ltd. (the “Company”) on Form 10-Q for the period ended September 30, 2022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spacing w:after="0" w:line="85" w:lineRule="exact"/>
        <w:rPr>
          <w:sz w:val="20"/>
          <w:szCs w:val="20"/>
          <w:color w:val="auto"/>
        </w:rPr>
      </w:pPr>
    </w:p>
    <w:p>
      <w:pPr>
        <w:ind w:left="640" w:hanging="634"/>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1" w:lineRule="exact"/>
        <w:rPr>
          <w:rFonts w:ascii="Arial" w:cs="Arial" w:eastAsia="Arial" w:hAnsi="Arial"/>
          <w:sz w:val="18"/>
          <w:szCs w:val="18"/>
          <w:color w:val="auto"/>
        </w:rPr>
      </w:pPr>
    </w:p>
    <w:p>
      <w:pPr>
        <w:ind w:left="640" w:hanging="634"/>
        <w:spacing w:after="0"/>
        <w:tabs>
          <w:tab w:leader="none" w:pos="6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591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Frank N. D’Orazio</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2, 2022</w:t>
      </w: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591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Sarah C. Doran</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2, 2022</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2"/>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decimal"/>
      <w:start w:val="6"/>
    </w:lvl>
  </w:abstractNum>
  <w:abstractNum w:abstractNumId="10">
    <w:nsid w:val="628C895D"/>
    <w:multiLevelType w:val="hybridMultilevel"/>
    <w:lvl w:ilvl="0">
      <w:lvlJc w:val="left"/>
      <w:lvlText w:val="%1."/>
      <w:numFmt w:val="decimal"/>
      <w:start w:val="7"/>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2"/>
    </w:lvl>
  </w:abstractNum>
  <w:abstractNum w:abstractNumId="13">
    <w:nsid w:val="2443A858"/>
    <w:multiLevelType w:val="hybridMultilevel"/>
    <w:lvl w:ilvl="0">
      <w:lvlJc w:val="left"/>
      <w:lvlText w:val="%1."/>
      <w:numFmt w:val="decimal"/>
      <w:start w:val="13"/>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lowerLetter"/>
      <w:start w:val="1"/>
    </w:lvl>
    <w:lvl w:ilvl="1">
      <w:lvlJc w:val="left"/>
      <w:lvlText w:val="(%2)"/>
      <w:numFmt w:val="lowerLetter"/>
      <w:start w:val="9"/>
    </w:lvl>
  </w:abstractNum>
  <w:abstractNum w:abstractNumId="24">
    <w:nsid w:val="2CA88611"/>
    <w:multiLevelType w:val="hybridMultilevel"/>
    <w:lvl w:ilvl="0">
      <w:lvlJc w:val="left"/>
      <w:lvlText w:val="%1"/>
      <w:numFmt w:val="lowerLetter"/>
      <w:start w:val="1"/>
    </w:lvl>
    <w:lvl w:ilvl="1">
      <w:lvlJc w:val="left"/>
      <w:lvlText w:val="(%2)"/>
      <w:numFmt w:val="lowerLetter"/>
      <w:start w:val="35"/>
    </w:lvl>
  </w:abstractNum>
  <w:abstractNum w:abstractNumId="25">
    <w:nsid w:val="836C40E"/>
    <w:multiLevelType w:val="hybridMultilevel"/>
    <w:lvl w:ilvl="0">
      <w:lvlJc w:val="left"/>
      <w:lvlText w:val="(%1)"/>
      <w:numFmt w:val="lowerLetter"/>
      <w:start w:val="3"/>
    </w:lvl>
    <w:lvl w:ilvl="1">
      <w:lvlJc w:val="left"/>
      <w:lvlText w:val="%2"/>
      <w:numFmt w:val="lowerLetter"/>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4"/>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78" Type="http://schemas.openxmlformats.org/officeDocument/2006/relationships/hyperlink" Target="https://www.sec.gov/Archives/edgar/data/1620459/000162045922000089/a2q22jrvrex101.htm" TargetMode="External"/><Relationship Id="rId79" Type="http://schemas.openxmlformats.org/officeDocument/2006/relationships/hyperlink" Target="https://www.sec.gov/Archives/edgar/data/1620459/000162045922000089/a2q22jrvr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2022-11-02T15:35:01Z</dcterms:created>
  <dcterms:modified xsi:type="dcterms:W3CDTF">2022-11-02T15:35:01Z</dcterms:modified>
</cp:coreProperties>
</file>